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ind w:firstLine="632" w:firstLineChars="200"/>
        <w:jc w:val="right"/>
        <w:rPr>
          <w:rFonts w:ascii="仿宋_GB2312" w:eastAsia="仿宋_GB2312"/>
        </w:rPr>
      </w:pPr>
    </w:p>
    <w:p>
      <w:pPr>
        <w:jc w:val="center"/>
        <w:rPr>
          <w:rFonts w:ascii="仿宋_GB2312" w:eastAsia="仿宋_GB2312"/>
        </w:rPr>
      </w:pPr>
    </w:p>
    <w:p>
      <w:pPr>
        <w:jc w:val="center"/>
        <w:rPr>
          <w:rFonts w:ascii="仿宋_GB2312" w:eastAsia="仿宋_GB2312"/>
        </w:rPr>
      </w:pPr>
    </w:p>
    <w:p>
      <w:pPr>
        <w:jc w:val="center"/>
        <w:rPr>
          <w:rFonts w:ascii="方正小标宋简体" w:hAnsi="Times New Roman" w:eastAsia="方正小标宋简体"/>
          <w:spacing w:val="60"/>
          <w:sz w:val="74"/>
        </w:rPr>
      </w:pPr>
      <w:r>
        <w:rPr>
          <w:rFonts w:hint="eastAsia" w:ascii="方正小标宋简体" w:hAnsi="Times New Roman" w:eastAsia="方正小标宋简体"/>
          <w:spacing w:val="60"/>
          <w:sz w:val="74"/>
        </w:rPr>
        <w:t>2020年度</w:t>
      </w:r>
    </w:p>
    <w:p>
      <w:pPr>
        <w:jc w:val="center"/>
        <w:rPr>
          <w:rFonts w:ascii="方正小标宋简体" w:hAnsi="方正小标宋简体" w:eastAsia="方正小标宋简体" w:cs="方正小标宋简体"/>
          <w:sz w:val="74"/>
          <w:szCs w:val="74"/>
        </w:rPr>
      </w:pPr>
      <w:r>
        <w:rPr>
          <w:rFonts w:hint="eastAsia" w:ascii="方正小标宋简体" w:hAnsi="方正小标宋简体" w:eastAsia="方正小标宋简体" w:cs="方正小标宋简体"/>
          <w:sz w:val="74"/>
          <w:szCs w:val="74"/>
        </w:rPr>
        <w:t>荣成市好运角旅游度区</w:t>
      </w:r>
    </w:p>
    <w:p>
      <w:pPr>
        <w:jc w:val="center"/>
        <w:rPr>
          <w:rFonts w:ascii="方正小标宋简体" w:hAnsi="方正小标宋简体" w:eastAsia="方正小标宋简体" w:cs="方正小标宋简体"/>
          <w:sz w:val="74"/>
          <w:szCs w:val="74"/>
        </w:rPr>
      </w:pPr>
      <w:r>
        <w:rPr>
          <w:rFonts w:hint="eastAsia" w:ascii="方正小标宋简体" w:hAnsi="方正小标宋简体" w:eastAsia="方正小标宋简体" w:cs="方正小标宋简体"/>
          <w:sz w:val="74"/>
          <w:szCs w:val="74"/>
        </w:rPr>
        <w:t>部门决算</w:t>
      </w:r>
    </w:p>
    <w:p>
      <w:pPr>
        <w:jc w:val="center"/>
        <w:rPr>
          <w:rFonts w:ascii="楷体_GB2312" w:eastAsia="楷体_GB2312"/>
          <w:b/>
          <w:sz w:val="42"/>
        </w:rPr>
      </w:pPr>
    </w:p>
    <w:p>
      <w:pPr>
        <w:jc w:val="center"/>
        <w:rPr>
          <w:rFonts w:ascii="楷体_GB2312" w:eastAsia="楷体_GB2312"/>
          <w:b/>
          <w:sz w:val="42"/>
        </w:rPr>
      </w:pPr>
    </w:p>
    <w:p>
      <w:pPr>
        <w:rPr>
          <w:rFonts w:ascii="仿宋_GB2312" w:eastAsia="仿宋_GB2312"/>
        </w:rPr>
      </w:pPr>
    </w:p>
    <w:p>
      <w:pPr>
        <w:spacing w:after="305" w:afterLines="50" w:line="580" w:lineRule="exact"/>
        <w:jc w:val="center"/>
        <w:rPr>
          <w:rFonts w:ascii="方正小标宋简体" w:eastAsia="方正小标宋简体"/>
          <w:sz w:val="44"/>
          <w:szCs w:val="44"/>
        </w:rPr>
      </w:pPr>
    </w:p>
    <w:p>
      <w:pPr>
        <w:spacing w:after="305" w:afterLines="50" w:line="580" w:lineRule="exact"/>
        <w:jc w:val="center"/>
        <w:rPr>
          <w:rFonts w:ascii="方正小标宋简体" w:eastAsia="方正小标宋简体"/>
          <w:sz w:val="44"/>
          <w:szCs w:val="44"/>
        </w:rPr>
      </w:pPr>
    </w:p>
    <w:p>
      <w:pPr>
        <w:spacing w:after="305" w:afterLines="50" w:line="580" w:lineRule="exact"/>
        <w:jc w:val="center"/>
        <w:rPr>
          <w:rFonts w:hint="eastAsia" w:ascii="方正小标宋简体" w:eastAsia="方正小标宋简体"/>
          <w:sz w:val="44"/>
          <w:szCs w:val="44"/>
        </w:rPr>
      </w:pPr>
    </w:p>
    <w:p>
      <w:pPr>
        <w:spacing w:after="305" w:afterLines="50" w:line="580" w:lineRule="exact"/>
        <w:jc w:val="center"/>
        <w:rPr>
          <w:rFonts w:ascii="方正小标宋简体" w:eastAsia="方正小标宋简体"/>
          <w:sz w:val="44"/>
          <w:szCs w:val="44"/>
        </w:rPr>
      </w:pPr>
    </w:p>
    <w:p>
      <w:pPr>
        <w:spacing w:after="305" w:afterLines="50" w:line="580" w:lineRule="exact"/>
        <w:jc w:val="center"/>
        <w:rPr>
          <w:rFonts w:ascii="方正小标宋简体" w:eastAsia="方正小标宋简体"/>
          <w:sz w:val="44"/>
          <w:szCs w:val="44"/>
        </w:rPr>
      </w:pPr>
    </w:p>
    <w:p>
      <w:pPr>
        <w:spacing w:after="305" w:afterLines="50" w:line="580" w:lineRule="exact"/>
        <w:rPr>
          <w:rFonts w:ascii="方正小标宋简体" w:eastAsia="方正小标宋简体"/>
          <w:sz w:val="44"/>
          <w:szCs w:val="44"/>
        </w:rPr>
      </w:pPr>
    </w:p>
    <w:p>
      <w:pPr>
        <w:widowControl/>
        <w:jc w:val="left"/>
        <w:rPr>
          <w:rFonts w:ascii="方正小标宋简体" w:eastAsia="方正小标宋简体"/>
          <w:sz w:val="44"/>
          <w:szCs w:val="44"/>
        </w:rPr>
      </w:pPr>
      <w:r>
        <w:rPr>
          <w:rFonts w:ascii="方正小标宋简体" w:eastAsia="方正小标宋简体"/>
          <w:sz w:val="44"/>
          <w:szCs w:val="44"/>
        </w:rPr>
        <w:br w:type="page"/>
      </w:r>
    </w:p>
    <w:p>
      <w:pPr>
        <w:spacing w:after="305" w:afterLines="50" w:line="580" w:lineRule="exact"/>
        <w:jc w:val="center"/>
        <w:rPr>
          <w:rFonts w:ascii="方正小标宋简体" w:eastAsia="方正小标宋简体"/>
          <w:sz w:val="44"/>
          <w:szCs w:val="44"/>
        </w:rPr>
      </w:pPr>
      <w:r>
        <w:rPr>
          <w:rFonts w:hint="eastAsia" w:ascii="方正小标宋简体" w:eastAsia="方正小标宋简体"/>
          <w:sz w:val="44"/>
          <w:szCs w:val="44"/>
        </w:rPr>
        <w:t>目  录</w:t>
      </w:r>
    </w:p>
    <w:p>
      <w:pPr>
        <w:spacing w:line="580" w:lineRule="exact"/>
        <w:ind w:firstLine="316" w:firstLineChars="100"/>
        <w:rPr>
          <w:rFonts w:ascii="黑体" w:hAnsi="黑体" w:eastAsia="黑体"/>
        </w:rPr>
      </w:pPr>
      <w:r>
        <w:rPr>
          <w:rFonts w:hint="eastAsia" w:ascii="黑体" w:hAnsi="黑体" w:eastAsia="黑体"/>
        </w:rPr>
        <w:t>第一部分  部门概况</w:t>
      </w:r>
    </w:p>
    <w:p>
      <w:pPr>
        <w:spacing w:line="580" w:lineRule="exact"/>
        <w:ind w:firstLine="632" w:firstLineChars="200"/>
        <w:rPr>
          <w:rFonts w:ascii="仿宋_GB2312" w:eastAsia="仿宋_GB2312"/>
        </w:rPr>
      </w:pPr>
      <w:r>
        <w:rPr>
          <w:rFonts w:hint="eastAsia" w:ascii="仿宋_GB2312" w:eastAsia="仿宋_GB2312"/>
        </w:rPr>
        <w:t>一、部门职责</w:t>
      </w:r>
    </w:p>
    <w:p>
      <w:pPr>
        <w:spacing w:line="580" w:lineRule="exact"/>
        <w:ind w:firstLine="632" w:firstLineChars="200"/>
        <w:rPr>
          <w:rFonts w:ascii="仿宋_GB2312" w:eastAsia="仿宋_GB2312"/>
        </w:rPr>
      </w:pPr>
      <w:r>
        <w:rPr>
          <w:rFonts w:hint="eastAsia" w:ascii="仿宋_GB2312" w:eastAsia="仿宋_GB2312"/>
        </w:rPr>
        <w:t>二、机构设置</w:t>
      </w:r>
    </w:p>
    <w:p>
      <w:pPr>
        <w:spacing w:line="580" w:lineRule="exact"/>
        <w:ind w:firstLine="316" w:firstLineChars="100"/>
        <w:rPr>
          <w:rFonts w:ascii="黑体" w:hAnsi="黑体" w:eastAsia="黑体"/>
        </w:rPr>
      </w:pPr>
      <w:r>
        <w:rPr>
          <w:rFonts w:hint="eastAsia" w:ascii="黑体" w:hAnsi="黑体" w:eastAsia="黑体"/>
        </w:rPr>
        <w:t>第二部分  2020年度部门决算表</w:t>
      </w:r>
    </w:p>
    <w:p>
      <w:pPr>
        <w:spacing w:line="580" w:lineRule="exact"/>
        <w:ind w:firstLine="632" w:firstLineChars="200"/>
        <w:rPr>
          <w:rFonts w:ascii="仿宋_GB2312" w:eastAsia="仿宋_GB2312"/>
        </w:rPr>
      </w:pPr>
      <w:r>
        <w:rPr>
          <w:rFonts w:hint="eastAsia" w:ascii="仿宋_GB2312" w:eastAsia="仿宋_GB2312"/>
        </w:rPr>
        <w:t>一、收入支出决算总表</w:t>
      </w:r>
    </w:p>
    <w:p>
      <w:pPr>
        <w:spacing w:line="580" w:lineRule="exact"/>
        <w:ind w:firstLine="632" w:firstLineChars="200"/>
        <w:rPr>
          <w:rFonts w:ascii="仿宋_GB2312" w:eastAsia="仿宋_GB2312"/>
        </w:rPr>
      </w:pPr>
      <w:r>
        <w:rPr>
          <w:rFonts w:hint="eastAsia" w:ascii="仿宋_GB2312" w:eastAsia="仿宋_GB2312"/>
        </w:rPr>
        <w:t>二、收入决算表</w:t>
      </w:r>
    </w:p>
    <w:p>
      <w:pPr>
        <w:spacing w:line="580" w:lineRule="exact"/>
        <w:ind w:firstLine="632" w:firstLineChars="200"/>
        <w:rPr>
          <w:rFonts w:ascii="仿宋_GB2312" w:eastAsia="仿宋_GB2312"/>
        </w:rPr>
      </w:pPr>
      <w:r>
        <w:rPr>
          <w:rFonts w:hint="eastAsia" w:ascii="仿宋_GB2312" w:eastAsia="仿宋_GB2312"/>
        </w:rPr>
        <w:t>三、支出决算表</w:t>
      </w:r>
    </w:p>
    <w:p>
      <w:pPr>
        <w:spacing w:line="580" w:lineRule="exact"/>
        <w:ind w:firstLine="632" w:firstLineChars="200"/>
        <w:rPr>
          <w:rFonts w:ascii="仿宋_GB2312" w:eastAsia="仿宋_GB2312"/>
        </w:rPr>
      </w:pPr>
      <w:r>
        <w:rPr>
          <w:rFonts w:hint="eastAsia" w:ascii="仿宋_GB2312" w:eastAsia="仿宋_GB2312"/>
        </w:rPr>
        <w:t>四、财政拨款收入支出决算总表</w:t>
      </w:r>
    </w:p>
    <w:p>
      <w:pPr>
        <w:spacing w:line="580" w:lineRule="exact"/>
        <w:ind w:firstLine="632" w:firstLineChars="200"/>
        <w:rPr>
          <w:rFonts w:ascii="仿宋_GB2312" w:eastAsia="仿宋_GB2312"/>
        </w:rPr>
      </w:pPr>
      <w:r>
        <w:rPr>
          <w:rFonts w:hint="eastAsia" w:ascii="仿宋_GB2312" w:eastAsia="仿宋_GB2312"/>
        </w:rPr>
        <w:t>五、一般公共预算财政拨款支出决算表</w:t>
      </w:r>
    </w:p>
    <w:p>
      <w:pPr>
        <w:spacing w:line="580" w:lineRule="exact"/>
        <w:ind w:firstLine="632" w:firstLineChars="200"/>
        <w:rPr>
          <w:rFonts w:ascii="仿宋_GB2312" w:eastAsia="仿宋_GB2312"/>
        </w:rPr>
      </w:pPr>
      <w:r>
        <w:rPr>
          <w:rFonts w:hint="eastAsia" w:ascii="仿宋_GB2312" w:eastAsia="仿宋_GB2312"/>
        </w:rPr>
        <w:t>六、一般公共预算财政拨款基本支出决算表</w:t>
      </w:r>
    </w:p>
    <w:p>
      <w:pPr>
        <w:spacing w:line="580" w:lineRule="exact"/>
        <w:ind w:firstLine="632" w:firstLineChars="200"/>
        <w:rPr>
          <w:rFonts w:ascii="仿宋_GB2312" w:eastAsia="仿宋_GB2312"/>
        </w:rPr>
      </w:pPr>
      <w:r>
        <w:rPr>
          <w:rFonts w:hint="eastAsia" w:ascii="仿宋_GB2312" w:eastAsia="仿宋_GB2312"/>
        </w:rPr>
        <w:t>七、一般公共预算财政拨款“三公”经费支出决算表</w:t>
      </w:r>
    </w:p>
    <w:p>
      <w:pPr>
        <w:spacing w:line="580" w:lineRule="exact"/>
        <w:ind w:firstLine="632" w:firstLineChars="200"/>
        <w:rPr>
          <w:rFonts w:ascii="仿宋_GB2312" w:eastAsia="仿宋_GB2312"/>
        </w:rPr>
      </w:pPr>
      <w:r>
        <w:rPr>
          <w:rFonts w:hint="eastAsia" w:ascii="仿宋_GB2312" w:eastAsia="仿宋_GB2312"/>
        </w:rPr>
        <w:t>八、政府性基金预算财政拨款收入支出决算表</w:t>
      </w:r>
    </w:p>
    <w:p>
      <w:pPr>
        <w:spacing w:line="580" w:lineRule="exact"/>
        <w:ind w:firstLine="632" w:firstLineChars="200"/>
        <w:rPr>
          <w:rFonts w:ascii="仿宋_GB2312" w:eastAsia="仿宋_GB2312"/>
        </w:rPr>
      </w:pPr>
      <w:r>
        <w:rPr>
          <w:rFonts w:hint="eastAsia" w:ascii="仿宋_GB2312" w:eastAsia="仿宋_GB2312"/>
        </w:rPr>
        <w:t>九、国有资本经营预算财政拨款支出决算表</w:t>
      </w:r>
    </w:p>
    <w:p>
      <w:pPr>
        <w:spacing w:line="580" w:lineRule="exact"/>
        <w:ind w:firstLine="316" w:firstLineChars="100"/>
        <w:rPr>
          <w:rFonts w:ascii="黑体" w:hAnsi="黑体" w:eastAsia="黑体"/>
        </w:rPr>
      </w:pPr>
      <w:r>
        <w:rPr>
          <w:rFonts w:hint="eastAsia" w:ascii="黑体" w:hAnsi="黑体" w:eastAsia="黑体"/>
        </w:rPr>
        <w:t>第三部分  2020年度部门决算情况说明</w:t>
      </w:r>
    </w:p>
    <w:p>
      <w:pPr>
        <w:spacing w:line="580" w:lineRule="exact"/>
        <w:ind w:firstLine="632" w:firstLineChars="200"/>
        <w:rPr>
          <w:rFonts w:ascii="仿宋_GB2312" w:eastAsia="仿宋_GB2312"/>
        </w:rPr>
      </w:pPr>
      <w:r>
        <w:rPr>
          <w:rFonts w:hint="eastAsia" w:ascii="仿宋_GB2312" w:eastAsia="仿宋_GB2312"/>
        </w:rPr>
        <w:t>一、收入支出决算总体情况说明</w:t>
      </w:r>
    </w:p>
    <w:p>
      <w:pPr>
        <w:spacing w:line="580" w:lineRule="exact"/>
        <w:ind w:firstLine="632" w:firstLineChars="200"/>
        <w:rPr>
          <w:rFonts w:ascii="仿宋_GB2312" w:eastAsia="仿宋_GB2312"/>
        </w:rPr>
      </w:pPr>
      <w:r>
        <w:rPr>
          <w:rFonts w:hint="eastAsia" w:ascii="仿宋_GB2312" w:eastAsia="仿宋_GB2312"/>
        </w:rPr>
        <w:t>二、收入决算情况说明</w:t>
      </w:r>
    </w:p>
    <w:p>
      <w:pPr>
        <w:spacing w:line="580" w:lineRule="exact"/>
        <w:ind w:firstLine="632" w:firstLineChars="200"/>
        <w:rPr>
          <w:rFonts w:ascii="仿宋_GB2312" w:eastAsia="仿宋_GB2312"/>
        </w:rPr>
      </w:pPr>
      <w:r>
        <w:rPr>
          <w:rFonts w:hint="eastAsia" w:ascii="仿宋_GB2312" w:eastAsia="仿宋_GB2312"/>
        </w:rPr>
        <w:t>三、支出决算情况说明</w:t>
      </w:r>
    </w:p>
    <w:p>
      <w:pPr>
        <w:spacing w:line="580" w:lineRule="exact"/>
        <w:ind w:firstLine="632" w:firstLineChars="200"/>
        <w:rPr>
          <w:rFonts w:ascii="仿宋_GB2312" w:eastAsia="仿宋_GB2312"/>
        </w:rPr>
      </w:pPr>
      <w:r>
        <w:rPr>
          <w:rFonts w:hint="eastAsia" w:ascii="仿宋_GB2312" w:eastAsia="仿宋_GB2312"/>
        </w:rPr>
        <w:t>四、财政拨款收入支出决算总体情况说明</w:t>
      </w:r>
    </w:p>
    <w:p>
      <w:pPr>
        <w:spacing w:line="580" w:lineRule="exact"/>
        <w:ind w:firstLine="632" w:firstLineChars="200"/>
        <w:rPr>
          <w:rFonts w:ascii="仿宋_GB2312" w:eastAsia="仿宋_GB2312"/>
        </w:rPr>
      </w:pPr>
      <w:r>
        <w:rPr>
          <w:rFonts w:hint="eastAsia" w:ascii="仿宋_GB2312" w:eastAsia="仿宋_GB2312"/>
        </w:rPr>
        <w:t>五、一般公共预算财政拨款支出决算情况说明</w:t>
      </w:r>
    </w:p>
    <w:p>
      <w:pPr>
        <w:spacing w:line="580" w:lineRule="exact"/>
        <w:ind w:firstLine="632" w:firstLineChars="200"/>
        <w:rPr>
          <w:rFonts w:ascii="仿宋_GB2312" w:eastAsia="仿宋_GB2312"/>
        </w:rPr>
      </w:pPr>
      <w:r>
        <w:rPr>
          <w:rFonts w:hint="eastAsia" w:ascii="仿宋_GB2312" w:eastAsia="仿宋_GB2312"/>
        </w:rPr>
        <w:t>六、一般公共预算财政拨款基本支出决算情况说明</w:t>
      </w:r>
    </w:p>
    <w:p>
      <w:pPr>
        <w:spacing w:line="580" w:lineRule="exact"/>
        <w:ind w:firstLine="632" w:firstLineChars="200"/>
        <w:rPr>
          <w:rFonts w:ascii="仿宋_GB2312" w:eastAsia="仿宋_GB2312"/>
        </w:rPr>
      </w:pPr>
      <w:r>
        <w:rPr>
          <w:rFonts w:hint="eastAsia" w:ascii="仿宋_GB2312" w:eastAsia="仿宋_GB2312"/>
        </w:rPr>
        <w:t>七、一般公共预算财政拨款“三公”经费支出决算情况说明</w:t>
      </w:r>
    </w:p>
    <w:p>
      <w:pPr>
        <w:spacing w:line="580" w:lineRule="exact"/>
        <w:ind w:firstLine="632" w:firstLineChars="200"/>
        <w:rPr>
          <w:rFonts w:ascii="仿宋_GB2312" w:eastAsia="仿宋_GB2312"/>
        </w:rPr>
      </w:pPr>
      <w:r>
        <w:rPr>
          <w:rFonts w:hint="eastAsia" w:ascii="仿宋_GB2312" w:eastAsia="仿宋_GB2312"/>
        </w:rPr>
        <w:t>八、政府性基金预算财政拨款收入支出决算情况说明</w:t>
      </w:r>
    </w:p>
    <w:p>
      <w:pPr>
        <w:spacing w:line="580" w:lineRule="exact"/>
        <w:ind w:firstLine="632" w:firstLineChars="200"/>
        <w:rPr>
          <w:rFonts w:ascii="仿宋_GB2312" w:eastAsia="仿宋_GB2312"/>
        </w:rPr>
      </w:pPr>
      <w:r>
        <w:rPr>
          <w:rFonts w:hint="eastAsia" w:ascii="仿宋_GB2312" w:eastAsia="仿宋_GB2312"/>
        </w:rPr>
        <w:t>九、国有资本经营预算财政拨款支出决算情况说明</w:t>
      </w:r>
    </w:p>
    <w:p>
      <w:pPr>
        <w:spacing w:line="580" w:lineRule="exact"/>
        <w:ind w:firstLine="632" w:firstLineChars="200"/>
        <w:rPr>
          <w:rFonts w:ascii="仿宋_GB2312" w:eastAsia="仿宋_GB2312"/>
        </w:rPr>
      </w:pPr>
      <w:r>
        <w:rPr>
          <w:rFonts w:hint="eastAsia" w:ascii="仿宋_GB2312" w:eastAsia="仿宋_GB2312"/>
        </w:rPr>
        <w:t>十、其他重要事项情况说明</w:t>
      </w:r>
    </w:p>
    <w:p>
      <w:pPr>
        <w:spacing w:line="580" w:lineRule="exact"/>
        <w:ind w:firstLine="632" w:firstLineChars="200"/>
        <w:rPr>
          <w:rFonts w:ascii="仿宋_GB2312" w:eastAsia="仿宋_GB2312"/>
        </w:rPr>
      </w:pPr>
      <w:r>
        <w:rPr>
          <w:rFonts w:hint="eastAsia" w:ascii="仿宋_GB2312" w:eastAsia="仿宋_GB2312"/>
        </w:rPr>
        <w:t>十一、预算绩效情况说明</w:t>
      </w:r>
    </w:p>
    <w:p>
      <w:pPr>
        <w:spacing w:line="580" w:lineRule="exact"/>
        <w:ind w:firstLine="316" w:firstLineChars="100"/>
        <w:rPr>
          <w:rFonts w:ascii="黑体" w:hAnsi="黑体" w:eastAsia="黑体"/>
        </w:rPr>
      </w:pPr>
      <w:r>
        <w:rPr>
          <w:rFonts w:hint="eastAsia" w:ascii="黑体" w:hAnsi="黑体" w:eastAsia="黑体"/>
        </w:rPr>
        <w:t>第四部分  名词解释</w:t>
      </w:r>
    </w:p>
    <w:p>
      <w:pPr>
        <w:spacing w:line="580" w:lineRule="exact"/>
        <w:ind w:firstLine="316" w:firstLineChars="100"/>
        <w:rPr>
          <w:rFonts w:ascii="黑体" w:hAnsi="黑体" w:eastAsia="黑体"/>
        </w:rPr>
      </w:pPr>
    </w:p>
    <w:p>
      <w:pPr>
        <w:spacing w:line="580" w:lineRule="exact"/>
        <w:ind w:firstLine="316" w:firstLineChars="100"/>
        <w:rPr>
          <w:rFonts w:ascii="黑体" w:hAnsi="黑体" w:eastAsia="黑体"/>
        </w:rPr>
      </w:pPr>
    </w:p>
    <w:p>
      <w:pPr>
        <w:spacing w:line="580" w:lineRule="exact"/>
        <w:ind w:firstLine="316" w:firstLineChars="100"/>
        <w:rPr>
          <w:rFonts w:ascii="黑体" w:hAnsi="黑体" w:eastAsia="黑体"/>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rPr>
          <w:rFonts w:ascii="方正小标宋简体" w:eastAsia="方正小标宋简体"/>
          <w:sz w:val="42"/>
        </w:rPr>
      </w:pPr>
    </w:p>
    <w:p>
      <w:pPr>
        <w:rPr>
          <w:rFonts w:ascii="方正小标宋简体" w:eastAsia="方正小标宋简体"/>
          <w:spacing w:val="60"/>
          <w:sz w:val="42"/>
        </w:rPr>
      </w:pPr>
    </w:p>
    <w:p>
      <w:pPr>
        <w:rPr>
          <w:rFonts w:ascii="方正小标宋简体" w:eastAsia="方正小标宋简体"/>
          <w:spacing w:val="60"/>
          <w:sz w:val="42"/>
        </w:rPr>
      </w:pPr>
    </w:p>
    <w:p>
      <w:pPr>
        <w:ind w:firstLine="536" w:firstLineChars="100"/>
        <w:rPr>
          <w:rFonts w:ascii="方正小标宋简体" w:eastAsia="方正小标宋简体"/>
          <w:spacing w:val="60"/>
          <w:sz w:val="42"/>
        </w:rPr>
      </w:pPr>
      <w:r>
        <w:rPr>
          <w:rFonts w:hint="eastAsia" w:ascii="方正小标宋简体" w:eastAsia="方正小标宋简体"/>
          <w:spacing w:val="60"/>
          <w:sz w:val="42"/>
        </w:rPr>
        <w:t>第一部分</w:t>
      </w:r>
    </w:p>
    <w:p>
      <w:pPr>
        <w:jc w:val="center"/>
        <w:rPr>
          <w:rFonts w:ascii="方正小标宋简体" w:eastAsia="方正小标宋简体"/>
          <w:spacing w:val="60"/>
          <w:sz w:val="48"/>
        </w:rPr>
      </w:pPr>
    </w:p>
    <w:p>
      <w:pPr>
        <w:jc w:val="center"/>
        <w:rPr>
          <w:rFonts w:ascii="方正小标宋简体" w:eastAsia="方正小标宋简体"/>
          <w:spacing w:val="60"/>
          <w:sz w:val="48"/>
        </w:rPr>
      </w:pPr>
      <w:r>
        <w:rPr>
          <w:rFonts w:hint="eastAsia" w:ascii="方正小标宋简体" w:eastAsia="方正小标宋简体"/>
          <w:spacing w:val="60"/>
          <w:sz w:val="48"/>
        </w:rPr>
        <w:t>部门概况</w:t>
      </w:r>
    </w:p>
    <w:p>
      <w:pPr>
        <w:jc w:val="center"/>
        <w:rPr>
          <w:rFonts w:ascii="仿宋_GB2312" w:eastAsia="仿宋_GB2312"/>
        </w:rPr>
        <w:sectPr>
          <w:headerReference r:id="rId3" w:type="default"/>
          <w:footerReference r:id="rId4" w:type="default"/>
          <w:footerReference r:id="rId5" w:type="even"/>
          <w:pgSz w:w="11906" w:h="16838"/>
          <w:pgMar w:top="1701" w:right="1531" w:bottom="1701" w:left="1531" w:header="0" w:footer="1418" w:gutter="0"/>
          <w:cols w:space="720" w:num="1"/>
          <w:docGrid w:type="linesAndChars" w:linePitch="610" w:charSpace="-849"/>
        </w:sectPr>
      </w:pPr>
    </w:p>
    <w:p>
      <w:pPr>
        <w:spacing w:line="580" w:lineRule="exact"/>
        <w:ind w:firstLine="632" w:firstLineChars="200"/>
        <w:rPr>
          <w:rFonts w:ascii="黑体" w:hAnsi="黑体" w:eastAsia="黑体"/>
        </w:rPr>
      </w:pPr>
      <w:r>
        <w:rPr>
          <w:rFonts w:hint="eastAsia" w:ascii="黑体" w:hAnsi="黑体" w:eastAsia="黑体"/>
        </w:rPr>
        <w:t>一、部门职责</w:t>
      </w:r>
    </w:p>
    <w:p>
      <w:pPr>
        <w:spacing w:line="580" w:lineRule="exact"/>
        <w:ind w:firstLine="632" w:firstLineChars="200"/>
        <w:rPr>
          <w:rFonts w:ascii="仿宋_GB2312" w:eastAsia="仿宋_GB2312"/>
        </w:rPr>
      </w:pPr>
      <w:r>
        <w:rPr>
          <w:rFonts w:ascii="仿宋_GB2312" w:eastAsia="仿宋_GB2312"/>
        </w:rPr>
        <w:t>（一）</w:t>
      </w:r>
      <w:r>
        <w:rPr>
          <w:rFonts w:hint="eastAsia" w:ascii="仿宋_GB2312" w:eastAsia="仿宋_GB2312"/>
        </w:rPr>
        <w:t>贯彻</w:t>
      </w:r>
      <w:r>
        <w:rPr>
          <w:rFonts w:ascii="仿宋_GB2312" w:eastAsia="仿宋_GB2312"/>
        </w:rPr>
        <w:t>执行</w:t>
      </w:r>
      <w:r>
        <w:rPr>
          <w:rFonts w:hint="eastAsia" w:ascii="仿宋_GB2312" w:eastAsia="仿宋_GB2312"/>
        </w:rPr>
        <w:t>党的路线、方针、政策和市委的指示，讨论决定辖区内的重大问题。</w:t>
      </w:r>
    </w:p>
    <w:p>
      <w:pPr>
        <w:spacing w:line="580" w:lineRule="exact"/>
        <w:ind w:firstLine="632" w:firstLineChars="200"/>
        <w:rPr>
          <w:rFonts w:ascii="仿宋_GB2312" w:eastAsia="仿宋_GB2312"/>
        </w:rPr>
      </w:pPr>
      <w:r>
        <w:rPr>
          <w:rFonts w:ascii="仿宋_GB2312" w:eastAsia="仿宋_GB2312"/>
        </w:rPr>
        <w:t>（</w:t>
      </w:r>
      <w:r>
        <w:rPr>
          <w:rFonts w:hint="eastAsia" w:ascii="仿宋_GB2312" w:eastAsia="仿宋_GB2312"/>
        </w:rPr>
        <w:t>二</w:t>
      </w:r>
      <w:r>
        <w:rPr>
          <w:rFonts w:ascii="仿宋_GB2312" w:eastAsia="仿宋_GB2312"/>
        </w:rPr>
        <w:t>）</w:t>
      </w:r>
      <w:r>
        <w:rPr>
          <w:rFonts w:hint="eastAsia" w:ascii="仿宋_GB2312" w:eastAsia="仿宋_GB2312"/>
        </w:rPr>
        <w:t>负责党的建设，制定党的建设规划，指导、督促、检查党组织加强党的思想、组织、作风建设，加强领导班子自身的建设，增强基层组织的凝聚力、战斗力和号召力。</w:t>
      </w:r>
    </w:p>
    <w:p>
      <w:pPr>
        <w:spacing w:line="580" w:lineRule="exact"/>
        <w:ind w:firstLine="632" w:firstLineChars="200"/>
        <w:rPr>
          <w:rFonts w:ascii="仿宋_GB2312" w:eastAsia="仿宋_GB2312"/>
        </w:rPr>
      </w:pPr>
      <w:r>
        <w:rPr>
          <w:rFonts w:ascii="仿宋_GB2312" w:eastAsia="仿宋_GB2312"/>
        </w:rPr>
        <w:t>（</w:t>
      </w:r>
      <w:r>
        <w:rPr>
          <w:rFonts w:hint="eastAsia" w:ascii="仿宋_GB2312" w:eastAsia="仿宋_GB2312"/>
        </w:rPr>
        <w:t>三</w:t>
      </w:r>
      <w:r>
        <w:rPr>
          <w:rFonts w:ascii="仿宋_GB2312" w:eastAsia="仿宋_GB2312"/>
        </w:rPr>
        <w:t>）</w:t>
      </w:r>
      <w:r>
        <w:rPr>
          <w:rFonts w:hint="eastAsia" w:ascii="仿宋_GB2312" w:eastAsia="仿宋_GB2312"/>
        </w:rPr>
        <w:t>负责党员教育、管理和发展工作，充分发挥广大党员的先锋模范作用。</w:t>
      </w:r>
    </w:p>
    <w:p>
      <w:pPr>
        <w:spacing w:line="580" w:lineRule="exact"/>
        <w:ind w:firstLine="632" w:firstLineChars="200"/>
        <w:rPr>
          <w:rFonts w:ascii="仿宋_GB2312" w:eastAsia="仿宋_GB2312"/>
        </w:rPr>
      </w:pPr>
      <w:r>
        <w:rPr>
          <w:rFonts w:ascii="仿宋_GB2312" w:eastAsia="仿宋_GB2312"/>
        </w:rPr>
        <w:t>（</w:t>
      </w:r>
      <w:r>
        <w:rPr>
          <w:rFonts w:hint="eastAsia" w:ascii="仿宋_GB2312" w:eastAsia="仿宋_GB2312"/>
        </w:rPr>
        <w:t>四</w:t>
      </w:r>
      <w:r>
        <w:rPr>
          <w:rFonts w:ascii="仿宋_GB2312" w:eastAsia="仿宋_GB2312"/>
        </w:rPr>
        <w:t>）</w:t>
      </w:r>
      <w:r>
        <w:rPr>
          <w:rFonts w:hint="eastAsia" w:ascii="仿宋_GB2312" w:eastAsia="仿宋_GB2312"/>
        </w:rPr>
        <w:t>负责党管干部的原则，按照干部管理权限，做好领导干部的选拔、教育、培养、考核和监督工作</w:t>
      </w:r>
      <w:r>
        <w:rPr>
          <w:rFonts w:ascii="仿宋_GB2312" w:eastAsia="仿宋_GB2312"/>
        </w:rPr>
        <w:t>。</w:t>
      </w:r>
    </w:p>
    <w:p>
      <w:pPr>
        <w:spacing w:line="580" w:lineRule="exact"/>
        <w:ind w:firstLine="632" w:firstLineChars="200"/>
        <w:rPr>
          <w:rFonts w:ascii="仿宋_GB2312" w:eastAsia="仿宋_GB2312"/>
        </w:rPr>
      </w:pPr>
      <w:r>
        <w:rPr>
          <w:rFonts w:ascii="仿宋_GB2312" w:eastAsia="仿宋_GB2312"/>
        </w:rPr>
        <w:t>（</w:t>
      </w:r>
      <w:r>
        <w:rPr>
          <w:rFonts w:hint="eastAsia" w:ascii="仿宋_GB2312" w:eastAsia="仿宋_GB2312"/>
        </w:rPr>
        <w:t>五</w:t>
      </w:r>
      <w:r>
        <w:rPr>
          <w:rFonts w:ascii="仿宋_GB2312" w:eastAsia="仿宋_GB2312"/>
        </w:rPr>
        <w:t>）</w:t>
      </w:r>
      <w:r>
        <w:rPr>
          <w:rFonts w:hint="eastAsia" w:ascii="仿宋_GB2312" w:eastAsia="仿宋_GB2312"/>
        </w:rPr>
        <w:t>负责思想政治工作</w:t>
      </w:r>
      <w:r>
        <w:rPr>
          <w:rFonts w:ascii="仿宋_GB2312" w:eastAsia="仿宋_GB2312"/>
        </w:rPr>
        <w:t>。</w:t>
      </w:r>
    </w:p>
    <w:p>
      <w:pPr>
        <w:spacing w:line="580" w:lineRule="exact"/>
        <w:ind w:firstLine="632" w:firstLineChars="200"/>
        <w:rPr>
          <w:rFonts w:ascii="仿宋_GB2312" w:eastAsia="仿宋_GB2312"/>
        </w:rPr>
      </w:pPr>
      <w:r>
        <w:rPr>
          <w:rFonts w:ascii="仿宋_GB2312" w:eastAsia="仿宋_GB2312"/>
        </w:rPr>
        <w:t>（</w:t>
      </w:r>
      <w:r>
        <w:rPr>
          <w:rFonts w:hint="eastAsia" w:ascii="仿宋_GB2312" w:eastAsia="仿宋_GB2312"/>
        </w:rPr>
        <w:t>六</w:t>
      </w:r>
      <w:r>
        <w:rPr>
          <w:rFonts w:ascii="仿宋_GB2312" w:eastAsia="仿宋_GB2312"/>
        </w:rPr>
        <w:t>）</w:t>
      </w:r>
      <w:r>
        <w:rPr>
          <w:rFonts w:hint="eastAsia" w:ascii="仿宋_GB2312" w:eastAsia="仿宋_GB2312"/>
        </w:rPr>
        <w:t>负责党的纪检工作</w:t>
      </w:r>
      <w:r>
        <w:rPr>
          <w:rFonts w:ascii="仿宋_GB2312" w:eastAsia="仿宋_GB2312"/>
        </w:rPr>
        <w:t>。</w:t>
      </w:r>
    </w:p>
    <w:p>
      <w:pPr>
        <w:spacing w:line="580" w:lineRule="exact"/>
        <w:ind w:firstLine="632" w:firstLineChars="200"/>
        <w:rPr>
          <w:rFonts w:ascii="仿宋_GB2312" w:eastAsia="仿宋_GB2312"/>
        </w:rPr>
      </w:pPr>
      <w:r>
        <w:rPr>
          <w:rFonts w:ascii="仿宋_GB2312" w:eastAsia="仿宋_GB2312"/>
        </w:rPr>
        <w:t>（</w:t>
      </w:r>
      <w:r>
        <w:rPr>
          <w:rFonts w:hint="eastAsia" w:ascii="仿宋_GB2312" w:eastAsia="仿宋_GB2312"/>
        </w:rPr>
        <w:t>七</w:t>
      </w:r>
      <w:r>
        <w:rPr>
          <w:rFonts w:ascii="仿宋_GB2312" w:eastAsia="仿宋_GB2312"/>
        </w:rPr>
        <w:t>）</w:t>
      </w:r>
      <w:r>
        <w:rPr>
          <w:rFonts w:hint="eastAsia" w:ascii="仿宋_GB2312" w:eastAsia="仿宋_GB2312"/>
        </w:rPr>
        <w:t>执行市政府的决定和命令，决定辖区内的行政措施并报市政府备案</w:t>
      </w:r>
      <w:r>
        <w:rPr>
          <w:rFonts w:ascii="仿宋_GB2312" w:eastAsia="仿宋_GB2312"/>
        </w:rPr>
        <w:t>。</w:t>
      </w:r>
    </w:p>
    <w:p>
      <w:pPr>
        <w:spacing w:line="580" w:lineRule="exact"/>
        <w:ind w:firstLine="632" w:firstLineChars="200"/>
        <w:rPr>
          <w:rFonts w:ascii="仿宋_GB2312" w:eastAsia="仿宋_GB2312"/>
        </w:rPr>
      </w:pPr>
      <w:r>
        <w:rPr>
          <w:rFonts w:hint="eastAsia" w:ascii="仿宋_GB2312" w:eastAsia="仿宋_GB2312"/>
        </w:rPr>
        <w:t>（八）领导所属各工作机构的工作，代表市政府管理成山、港西、埠柳3个镇的工作</w:t>
      </w:r>
      <w:r>
        <w:rPr>
          <w:rFonts w:ascii="仿宋_GB2312" w:eastAsia="仿宋_GB2312"/>
        </w:rPr>
        <w:t>。</w:t>
      </w:r>
    </w:p>
    <w:p>
      <w:pPr>
        <w:spacing w:line="580" w:lineRule="exact"/>
        <w:ind w:firstLine="632" w:firstLineChars="200"/>
        <w:rPr>
          <w:rFonts w:ascii="仿宋_GB2312" w:eastAsia="仿宋_GB2312"/>
        </w:rPr>
      </w:pPr>
      <w:r>
        <w:rPr>
          <w:rFonts w:hint="eastAsia" w:ascii="仿宋_GB2312" w:eastAsia="仿宋_GB2312"/>
        </w:rPr>
        <w:t>（九）改变或者撤销所属工作机构和镇不适当的政策措施，并报市政府备案。</w:t>
      </w:r>
    </w:p>
    <w:p>
      <w:pPr>
        <w:spacing w:line="580" w:lineRule="exact"/>
        <w:ind w:firstLine="632" w:firstLineChars="200"/>
        <w:rPr>
          <w:rFonts w:ascii="仿宋_GB2312" w:eastAsia="仿宋_GB2312"/>
        </w:rPr>
      </w:pPr>
      <w:r>
        <w:rPr>
          <w:rFonts w:hint="eastAsia" w:ascii="仿宋_GB2312" w:eastAsia="仿宋_GB2312"/>
        </w:rPr>
        <w:t>（十）按照授权范围任免、培训、考核所属工作人员。</w:t>
      </w:r>
    </w:p>
    <w:p>
      <w:pPr>
        <w:spacing w:line="580" w:lineRule="exact"/>
        <w:ind w:firstLine="632" w:firstLineChars="200"/>
        <w:rPr>
          <w:rFonts w:ascii="仿宋_GB2312" w:eastAsia="仿宋_GB2312"/>
        </w:rPr>
      </w:pPr>
      <w:r>
        <w:rPr>
          <w:rFonts w:hint="eastAsia" w:ascii="仿宋_GB2312" w:eastAsia="仿宋_GB2312"/>
        </w:rPr>
        <w:t>（十一）执行市人大批准的全市国民经济和社会发展计划，在市政府和市政府部门的委托范围管理好运角旅游度假区的经济、城乡建设、城市管理、财政等行政工作。</w:t>
      </w:r>
    </w:p>
    <w:p>
      <w:pPr>
        <w:spacing w:line="580" w:lineRule="exact"/>
        <w:ind w:firstLine="632" w:firstLineChars="200"/>
        <w:rPr>
          <w:rFonts w:ascii="仿宋_GB2312" w:eastAsia="仿宋_GB2312"/>
        </w:rPr>
      </w:pPr>
      <w:r>
        <w:rPr>
          <w:rFonts w:hint="eastAsia" w:ascii="仿宋_GB2312" w:eastAsia="仿宋_GB2312"/>
        </w:rPr>
        <w:t>（十二）保护辖区内的国有资产、集体财产、保护私人所有的合法财产、维护社会秩序、保障公民的人身权利、民主权利和其他权利。</w:t>
      </w:r>
    </w:p>
    <w:p>
      <w:pPr>
        <w:spacing w:line="580" w:lineRule="exact"/>
        <w:ind w:firstLine="632" w:firstLineChars="200"/>
        <w:rPr>
          <w:rFonts w:ascii="仿宋_GB2312" w:eastAsia="仿宋_GB2312"/>
        </w:rPr>
      </w:pPr>
      <w:r>
        <w:rPr>
          <w:rFonts w:hint="eastAsia" w:ascii="仿宋_GB2312" w:eastAsia="仿宋_GB2312"/>
        </w:rPr>
        <w:t>（十三）保护各种经济组织的合法权益。</w:t>
      </w:r>
    </w:p>
    <w:p>
      <w:pPr>
        <w:spacing w:line="580" w:lineRule="exact"/>
        <w:ind w:firstLine="632" w:firstLineChars="200"/>
        <w:rPr>
          <w:rFonts w:ascii="仿宋_GB2312" w:eastAsia="仿宋_GB2312"/>
        </w:rPr>
      </w:pPr>
      <w:r>
        <w:rPr>
          <w:rFonts w:hint="eastAsia" w:ascii="仿宋_GB2312" w:eastAsia="仿宋_GB2312"/>
        </w:rPr>
        <w:t>（十四）保护妇女的男女平等、同工同酬和婚姻自由等各项权利。</w:t>
      </w:r>
    </w:p>
    <w:p>
      <w:pPr>
        <w:spacing w:line="580" w:lineRule="exact"/>
        <w:ind w:firstLine="632" w:firstLineChars="200"/>
        <w:rPr>
          <w:rFonts w:ascii="仿宋_GB2312" w:eastAsia="仿宋_GB2312"/>
        </w:rPr>
      </w:pPr>
      <w:r>
        <w:rPr>
          <w:rFonts w:hint="eastAsia" w:ascii="仿宋_GB2312" w:eastAsia="仿宋_GB2312"/>
        </w:rPr>
        <w:t>（十五）完成市委、市政府交办的其他事项。</w:t>
      </w:r>
    </w:p>
    <w:p>
      <w:pPr>
        <w:spacing w:line="580" w:lineRule="exact"/>
        <w:ind w:firstLine="632" w:firstLineChars="200"/>
        <w:rPr>
          <w:rFonts w:ascii="仿宋_GB2312" w:eastAsia="仿宋_GB2312"/>
        </w:rPr>
      </w:pPr>
      <w:r>
        <w:rPr>
          <w:rFonts w:hint="eastAsia" w:ascii="黑体" w:hAnsi="黑体" w:eastAsia="黑体"/>
        </w:rPr>
        <w:t>二、机构设置</w:t>
      </w:r>
    </w:p>
    <w:p>
      <w:pPr>
        <w:ind w:firstLine="632" w:firstLineChars="200"/>
        <w:rPr>
          <w:rFonts w:ascii="仿宋_GB2312" w:eastAsia="仿宋_GB2312"/>
        </w:rPr>
      </w:pPr>
      <w:r>
        <w:rPr>
          <w:rFonts w:hint="eastAsia" w:ascii="仿宋_GB2312" w:eastAsia="仿宋_GB2312"/>
        </w:rPr>
        <w:t>从单位构成看，荣成市好运角旅游度假区管理委员会部门决算包括：荣成市好运角旅游度假区管委会本级决算。</w:t>
      </w:r>
    </w:p>
    <w:p>
      <w:pPr>
        <w:ind w:firstLine="632" w:firstLineChars="200"/>
        <w:rPr>
          <w:rFonts w:ascii="仿宋_GB2312" w:eastAsia="仿宋_GB2312"/>
        </w:rPr>
      </w:pPr>
      <w:r>
        <w:rPr>
          <w:rFonts w:hint="eastAsia" w:ascii="仿宋_GB2312" w:eastAsia="仿宋_GB2312"/>
        </w:rPr>
        <w:t>纳入荣成市好运角旅游度假区管理委员会2020年度部门决算编制范围预算单位包括：荣成市好运角旅游度假区管理委员会本级。</w:t>
      </w: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rPr>
          <w:rFonts w:ascii="方正小标宋简体" w:eastAsia="方正小标宋简体"/>
          <w:sz w:val="42"/>
        </w:rPr>
      </w:pPr>
    </w:p>
    <w:p>
      <w:pPr>
        <w:ind w:firstLine="536" w:firstLineChars="100"/>
        <w:rPr>
          <w:rFonts w:ascii="方正小标宋简体" w:eastAsia="方正小标宋简体"/>
          <w:spacing w:val="60"/>
          <w:sz w:val="42"/>
        </w:rPr>
      </w:pPr>
      <w:r>
        <w:rPr>
          <w:rFonts w:hint="eastAsia" w:ascii="方正小标宋简体" w:eastAsia="方正小标宋简体"/>
          <w:spacing w:val="60"/>
          <w:sz w:val="42"/>
        </w:rPr>
        <w:t>第二部分</w:t>
      </w:r>
    </w:p>
    <w:p>
      <w:pPr>
        <w:jc w:val="center"/>
        <w:rPr>
          <w:rFonts w:ascii="方正小标宋简体" w:eastAsia="方正小标宋简体"/>
          <w:spacing w:val="60"/>
          <w:sz w:val="42"/>
        </w:rPr>
      </w:pPr>
    </w:p>
    <w:p>
      <w:pPr>
        <w:jc w:val="center"/>
        <w:rPr>
          <w:rFonts w:ascii="方正小标宋简体" w:eastAsia="方正小标宋简体"/>
          <w:spacing w:val="60"/>
          <w:sz w:val="42"/>
        </w:rPr>
      </w:pPr>
      <w:r>
        <w:rPr>
          <w:rFonts w:hint="eastAsia" w:ascii="方正小标宋简体" w:eastAsia="方正小标宋简体"/>
          <w:spacing w:val="60"/>
          <w:sz w:val="48"/>
        </w:rPr>
        <w:t>2020年度部门决算表</w:t>
      </w:r>
    </w:p>
    <w:p>
      <w:pPr>
        <w:spacing w:line="520" w:lineRule="exact"/>
        <w:rPr>
          <w:rFonts w:ascii="仿宋_GB2312" w:eastAsia="仿宋_GB2312"/>
          <w:b/>
          <w:sz w:val="28"/>
          <w:szCs w:val="28"/>
          <w:highlight w:val="yellow"/>
        </w:rPr>
      </w:pPr>
    </w:p>
    <w:p>
      <w:pPr>
        <w:jc w:val="center"/>
        <w:rPr>
          <w:rFonts w:ascii="方正小标宋简体" w:eastAsia="方正小标宋简体"/>
          <w:sz w:val="44"/>
          <w:szCs w:val="44"/>
        </w:rPr>
      </w:pPr>
    </w:p>
    <w:p>
      <w:pPr>
        <w:jc w:val="center"/>
        <w:rPr>
          <w:rFonts w:ascii="方正小标宋简体" w:eastAsia="方正小标宋简体"/>
          <w:sz w:val="44"/>
          <w:szCs w:val="44"/>
        </w:rPr>
      </w:pPr>
    </w:p>
    <w:p>
      <w:pPr>
        <w:jc w:val="center"/>
        <w:rPr>
          <w:rFonts w:ascii="方正小标宋简体" w:eastAsia="方正小标宋简体"/>
          <w:sz w:val="44"/>
          <w:szCs w:val="44"/>
        </w:rPr>
      </w:pPr>
    </w:p>
    <w:p>
      <w:pPr>
        <w:jc w:val="center"/>
        <w:rPr>
          <w:rFonts w:ascii="方正小标宋简体" w:eastAsia="方正小标宋简体"/>
          <w:sz w:val="44"/>
          <w:szCs w:val="44"/>
        </w:rPr>
      </w:pPr>
    </w:p>
    <w:p>
      <w:pPr>
        <w:jc w:val="center"/>
        <w:rPr>
          <w:rFonts w:ascii="方正小标宋简体" w:eastAsia="方正小标宋简体"/>
          <w:sz w:val="44"/>
          <w:szCs w:val="44"/>
        </w:rPr>
      </w:pPr>
    </w:p>
    <w:p>
      <w:pPr>
        <w:rPr>
          <w:rFonts w:ascii="方正小标宋简体" w:eastAsia="方正小标宋简体"/>
          <w:sz w:val="44"/>
          <w:szCs w:val="44"/>
        </w:rPr>
      </w:pPr>
    </w:p>
    <w:p>
      <w:pPr>
        <w:rPr>
          <w:rFonts w:ascii="方正小标宋简体" w:eastAsia="方正小标宋简体"/>
          <w:sz w:val="44"/>
          <w:szCs w:val="44"/>
        </w:rPr>
      </w:pPr>
    </w:p>
    <w:p>
      <w:pPr>
        <w:jc w:val="center"/>
        <w:rPr>
          <w:rFonts w:ascii="方正小标宋简体" w:eastAsia="方正小标宋简体"/>
          <w:sz w:val="44"/>
          <w:szCs w:val="44"/>
        </w:rPr>
      </w:pPr>
      <w:r>
        <w:rPr>
          <w:rFonts w:hint="eastAsia" w:ascii="方正小标宋简体" w:eastAsia="方正小标宋简体"/>
          <w:sz w:val="44"/>
          <w:szCs w:val="44"/>
        </w:rPr>
        <w:t>收入支出决算总表</w:t>
      </w:r>
    </w:p>
    <w:p>
      <w:pPr>
        <w:wordWrap w:val="0"/>
        <w:spacing w:line="400" w:lineRule="exact"/>
        <w:jc w:val="right"/>
        <w:rPr>
          <w:rFonts w:ascii="楷体_GB2312" w:eastAsia="楷体_GB2312"/>
          <w:sz w:val="28"/>
          <w:szCs w:val="28"/>
        </w:rPr>
      </w:pPr>
      <w:r>
        <w:rPr>
          <w:rFonts w:hint="eastAsia" w:ascii="楷体_GB2312" w:eastAsia="楷体_GB2312"/>
          <w:sz w:val="28"/>
          <w:szCs w:val="28"/>
        </w:rPr>
        <w:t xml:space="preserve"> 公开01表</w:t>
      </w:r>
    </w:p>
    <w:p>
      <w:pPr>
        <w:wordWrap w:val="0"/>
        <w:spacing w:line="400" w:lineRule="exact"/>
        <w:ind w:firstLine="138" w:firstLineChars="50"/>
        <w:jc w:val="right"/>
        <w:rPr>
          <w:rFonts w:ascii="楷体_GB2312" w:eastAsia="楷体_GB2312"/>
          <w:sz w:val="28"/>
          <w:szCs w:val="28"/>
        </w:rPr>
      </w:pPr>
      <w:r>
        <w:rPr>
          <w:rFonts w:hint="eastAsia" w:ascii="楷体_GB2312" w:eastAsia="楷体_GB2312"/>
          <w:sz w:val="28"/>
          <w:szCs w:val="28"/>
        </w:rPr>
        <w:t>部门：荣成市好运角旅游度假区管理委员会            金额单位：万元</w:t>
      </w:r>
    </w:p>
    <w:tbl>
      <w:tblPr>
        <w:tblStyle w:val="12"/>
        <w:tblW w:w="0" w:type="auto"/>
        <w:jc w:val="center"/>
        <w:tblLayout w:type="fixed"/>
        <w:tblCellMar>
          <w:top w:w="0" w:type="dxa"/>
          <w:left w:w="108" w:type="dxa"/>
          <w:bottom w:w="0" w:type="dxa"/>
          <w:right w:w="108" w:type="dxa"/>
        </w:tblCellMar>
      </w:tblPr>
      <w:tblGrid>
        <w:gridCol w:w="3045"/>
        <w:gridCol w:w="621"/>
        <w:gridCol w:w="1068"/>
        <w:gridCol w:w="2412"/>
        <w:gridCol w:w="607"/>
        <w:gridCol w:w="1302"/>
      </w:tblGrid>
      <w:tr>
        <w:tblPrEx>
          <w:tblCellMar>
            <w:top w:w="0" w:type="dxa"/>
            <w:left w:w="108" w:type="dxa"/>
            <w:bottom w:w="0" w:type="dxa"/>
            <w:right w:w="108" w:type="dxa"/>
          </w:tblCellMar>
        </w:tblPrEx>
        <w:trPr>
          <w:trHeight w:val="312" w:hRule="exact"/>
          <w:jc w:val="center"/>
        </w:trPr>
        <w:tc>
          <w:tcPr>
            <w:tcW w:w="4734" w:type="dxa"/>
            <w:gridSpan w:val="3"/>
            <w:tcBorders>
              <w:top w:val="single" w:color="auto" w:sz="4" w:space="0"/>
              <w:left w:val="single" w:color="auto" w:sz="4" w:space="0"/>
              <w:bottom w:val="single" w:color="auto" w:sz="4" w:space="0"/>
              <w:right w:val="single" w:color="auto" w:sz="4" w:space="0"/>
            </w:tcBorders>
            <w:vAlign w:val="center"/>
          </w:tcPr>
          <w:p>
            <w:pPr>
              <w:spacing w:line="24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收 入</w:t>
            </w:r>
          </w:p>
        </w:tc>
        <w:tc>
          <w:tcPr>
            <w:tcW w:w="4321" w:type="dxa"/>
            <w:gridSpan w:val="3"/>
            <w:tcBorders>
              <w:top w:val="single" w:color="auto" w:sz="4" w:space="0"/>
              <w:left w:val="nil"/>
              <w:bottom w:val="single" w:color="auto" w:sz="4" w:space="0"/>
              <w:right w:val="single" w:color="auto" w:sz="4" w:space="0"/>
            </w:tcBorders>
            <w:vAlign w:val="center"/>
          </w:tcPr>
          <w:p>
            <w:pPr>
              <w:spacing w:line="24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支 出</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center"/>
          </w:tcPr>
          <w:p>
            <w:pPr>
              <w:spacing w:line="24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项  目</w:t>
            </w:r>
          </w:p>
        </w:tc>
        <w:tc>
          <w:tcPr>
            <w:tcW w:w="621" w:type="dxa"/>
            <w:tcBorders>
              <w:top w:val="nil"/>
              <w:left w:val="single" w:color="auto" w:sz="4" w:space="0"/>
              <w:bottom w:val="single" w:color="auto" w:sz="4" w:space="0"/>
              <w:right w:val="single" w:color="auto" w:sz="4" w:space="0"/>
            </w:tcBorders>
            <w:vAlign w:val="center"/>
          </w:tcPr>
          <w:p>
            <w:pPr>
              <w:spacing w:line="24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行次</w:t>
            </w:r>
          </w:p>
        </w:tc>
        <w:tc>
          <w:tcPr>
            <w:tcW w:w="1068" w:type="dxa"/>
            <w:tcBorders>
              <w:top w:val="nil"/>
              <w:left w:val="nil"/>
              <w:bottom w:val="single" w:color="auto" w:sz="4" w:space="0"/>
              <w:right w:val="single" w:color="auto" w:sz="4" w:space="0"/>
            </w:tcBorders>
            <w:vAlign w:val="center"/>
          </w:tcPr>
          <w:p>
            <w:pPr>
              <w:spacing w:line="24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决算数</w:t>
            </w:r>
          </w:p>
        </w:tc>
        <w:tc>
          <w:tcPr>
            <w:tcW w:w="2412" w:type="dxa"/>
            <w:tcBorders>
              <w:top w:val="nil"/>
              <w:left w:val="nil"/>
              <w:bottom w:val="single" w:color="auto" w:sz="4" w:space="0"/>
              <w:right w:val="single" w:color="auto" w:sz="4" w:space="0"/>
            </w:tcBorders>
            <w:vAlign w:val="center"/>
          </w:tcPr>
          <w:p>
            <w:pPr>
              <w:spacing w:line="24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项  目</w:t>
            </w:r>
          </w:p>
        </w:tc>
        <w:tc>
          <w:tcPr>
            <w:tcW w:w="607" w:type="dxa"/>
            <w:tcBorders>
              <w:top w:val="nil"/>
              <w:left w:val="single" w:color="auto" w:sz="4" w:space="0"/>
              <w:bottom w:val="single" w:color="auto" w:sz="4" w:space="0"/>
              <w:right w:val="nil"/>
            </w:tcBorders>
            <w:vAlign w:val="center"/>
          </w:tcPr>
          <w:p>
            <w:pPr>
              <w:spacing w:line="24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行次</w:t>
            </w:r>
          </w:p>
        </w:tc>
        <w:tc>
          <w:tcPr>
            <w:tcW w:w="1302" w:type="dxa"/>
            <w:tcBorders>
              <w:top w:val="nil"/>
              <w:left w:val="single" w:color="auto" w:sz="4" w:space="0"/>
              <w:bottom w:val="single" w:color="auto" w:sz="4" w:space="0"/>
              <w:right w:val="single" w:color="auto" w:sz="4" w:space="0"/>
            </w:tcBorders>
            <w:vAlign w:val="center"/>
          </w:tcPr>
          <w:p>
            <w:pPr>
              <w:spacing w:line="24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决算数</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center"/>
          </w:tcPr>
          <w:p>
            <w:pPr>
              <w:spacing w:line="24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栏  次</w:t>
            </w:r>
          </w:p>
        </w:tc>
        <w:tc>
          <w:tcPr>
            <w:tcW w:w="621" w:type="dxa"/>
            <w:tcBorders>
              <w:top w:val="nil"/>
              <w:left w:val="single" w:color="auto" w:sz="4" w:space="0"/>
              <w:bottom w:val="single" w:color="auto" w:sz="4" w:space="0"/>
              <w:right w:val="single" w:color="auto" w:sz="4" w:space="0"/>
            </w:tcBorders>
            <w:vAlign w:val="center"/>
          </w:tcPr>
          <w:p>
            <w:pPr>
              <w:spacing w:line="240" w:lineRule="exact"/>
              <w:jc w:val="center"/>
              <w:rPr>
                <w:rFonts w:ascii="仿宋_GB2312" w:hAnsi="仿宋_GB2312" w:eastAsia="仿宋_GB2312" w:cs="仿宋_GB2312"/>
                <w:sz w:val="18"/>
                <w:szCs w:val="18"/>
              </w:rPr>
            </w:pPr>
          </w:p>
        </w:tc>
        <w:tc>
          <w:tcPr>
            <w:tcW w:w="1068" w:type="dxa"/>
            <w:tcBorders>
              <w:top w:val="nil"/>
              <w:left w:val="nil"/>
              <w:bottom w:val="single" w:color="auto" w:sz="4" w:space="0"/>
              <w:right w:val="single" w:color="auto" w:sz="4" w:space="0"/>
            </w:tcBorders>
            <w:vAlign w:val="center"/>
          </w:tcPr>
          <w:p>
            <w:pPr>
              <w:spacing w:line="24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1</w:t>
            </w:r>
          </w:p>
        </w:tc>
        <w:tc>
          <w:tcPr>
            <w:tcW w:w="2412" w:type="dxa"/>
            <w:tcBorders>
              <w:top w:val="nil"/>
              <w:left w:val="nil"/>
              <w:bottom w:val="single" w:color="auto" w:sz="4" w:space="0"/>
              <w:right w:val="single" w:color="auto" w:sz="4" w:space="0"/>
            </w:tcBorders>
            <w:vAlign w:val="center"/>
          </w:tcPr>
          <w:p>
            <w:pPr>
              <w:spacing w:line="24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栏  次</w:t>
            </w:r>
          </w:p>
        </w:tc>
        <w:tc>
          <w:tcPr>
            <w:tcW w:w="607" w:type="dxa"/>
            <w:tcBorders>
              <w:top w:val="nil"/>
              <w:left w:val="nil"/>
              <w:bottom w:val="single" w:color="auto" w:sz="4" w:space="0"/>
              <w:right w:val="single" w:color="auto" w:sz="4" w:space="0"/>
            </w:tcBorders>
            <w:vAlign w:val="center"/>
          </w:tcPr>
          <w:p>
            <w:pPr>
              <w:spacing w:line="240" w:lineRule="exact"/>
              <w:jc w:val="center"/>
              <w:rPr>
                <w:rFonts w:ascii="仿宋_GB2312" w:hAnsi="仿宋_GB2312" w:eastAsia="仿宋_GB2312" w:cs="仿宋_GB2312"/>
                <w:sz w:val="18"/>
                <w:szCs w:val="18"/>
              </w:rPr>
            </w:pPr>
          </w:p>
        </w:tc>
        <w:tc>
          <w:tcPr>
            <w:tcW w:w="1302" w:type="dxa"/>
            <w:tcBorders>
              <w:top w:val="nil"/>
              <w:left w:val="nil"/>
              <w:bottom w:val="single" w:color="auto" w:sz="4" w:space="0"/>
              <w:right w:val="single" w:color="auto" w:sz="4" w:space="0"/>
            </w:tcBorders>
            <w:vAlign w:val="center"/>
          </w:tcPr>
          <w:p>
            <w:pPr>
              <w:spacing w:line="24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2</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一、一般公共预算财政拨款收入</w:t>
            </w:r>
          </w:p>
        </w:tc>
        <w:tc>
          <w:tcPr>
            <w:tcW w:w="621" w:type="dxa"/>
            <w:tcBorders>
              <w:top w:val="nil"/>
              <w:left w:val="single" w:color="auto" w:sz="4" w:space="0"/>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1</w:t>
            </w:r>
          </w:p>
        </w:tc>
        <w:tc>
          <w:tcPr>
            <w:tcW w:w="1068" w:type="dxa"/>
            <w:tcBorders>
              <w:top w:val="nil"/>
              <w:left w:val="nil"/>
              <w:bottom w:val="single" w:color="auto" w:sz="4" w:space="0"/>
              <w:right w:val="single" w:color="auto" w:sz="4" w:space="0"/>
            </w:tcBorders>
            <w:vAlign w:val="center"/>
          </w:tcPr>
          <w:p>
            <w:pPr>
              <w:widowControl/>
              <w:spacing w:line="280" w:lineRule="exact"/>
              <w:jc w:val="right"/>
              <w:textAlignment w:val="center"/>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10,508.60 </w:t>
            </w:r>
          </w:p>
        </w:tc>
        <w:tc>
          <w:tcPr>
            <w:tcW w:w="2412" w:type="dxa"/>
            <w:tcBorders>
              <w:top w:val="nil"/>
              <w:left w:val="nil"/>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一、一般公共服务支出</w:t>
            </w:r>
          </w:p>
        </w:tc>
        <w:tc>
          <w:tcPr>
            <w:tcW w:w="607" w:type="dxa"/>
            <w:tcBorders>
              <w:top w:val="nil"/>
              <w:left w:val="nil"/>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32</w:t>
            </w:r>
          </w:p>
        </w:tc>
        <w:tc>
          <w:tcPr>
            <w:tcW w:w="1302" w:type="dxa"/>
            <w:tcBorders>
              <w:top w:val="nil"/>
              <w:left w:val="nil"/>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4,784.62 </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二、政府性基金预算财政拨款收入</w:t>
            </w:r>
          </w:p>
        </w:tc>
        <w:tc>
          <w:tcPr>
            <w:tcW w:w="621" w:type="dxa"/>
            <w:tcBorders>
              <w:top w:val="nil"/>
              <w:left w:val="single" w:color="auto" w:sz="4" w:space="0"/>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2</w:t>
            </w:r>
          </w:p>
        </w:tc>
        <w:tc>
          <w:tcPr>
            <w:tcW w:w="1068" w:type="dxa"/>
            <w:tcBorders>
              <w:top w:val="nil"/>
              <w:left w:val="nil"/>
              <w:bottom w:val="single" w:color="auto" w:sz="4" w:space="0"/>
              <w:right w:val="single" w:color="auto" w:sz="4" w:space="0"/>
            </w:tcBorders>
            <w:vAlign w:val="center"/>
          </w:tcPr>
          <w:p>
            <w:pPr>
              <w:widowControl/>
              <w:spacing w:line="280" w:lineRule="exact"/>
              <w:jc w:val="right"/>
              <w:textAlignment w:val="center"/>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42,145.57 </w:t>
            </w:r>
          </w:p>
        </w:tc>
        <w:tc>
          <w:tcPr>
            <w:tcW w:w="2412" w:type="dxa"/>
            <w:tcBorders>
              <w:top w:val="nil"/>
              <w:left w:val="nil"/>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二、外交支出</w:t>
            </w:r>
          </w:p>
        </w:tc>
        <w:tc>
          <w:tcPr>
            <w:tcW w:w="607" w:type="dxa"/>
            <w:tcBorders>
              <w:top w:val="nil"/>
              <w:left w:val="nil"/>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33</w:t>
            </w:r>
          </w:p>
        </w:tc>
        <w:tc>
          <w:tcPr>
            <w:tcW w:w="1302" w:type="dxa"/>
            <w:tcBorders>
              <w:top w:val="nil"/>
              <w:left w:val="nil"/>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0.00 </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三、国有资本经营预算财政拨款收入</w:t>
            </w:r>
          </w:p>
        </w:tc>
        <w:tc>
          <w:tcPr>
            <w:tcW w:w="621" w:type="dxa"/>
            <w:tcBorders>
              <w:top w:val="nil"/>
              <w:left w:val="single" w:color="auto" w:sz="4" w:space="0"/>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3</w:t>
            </w:r>
          </w:p>
        </w:tc>
        <w:tc>
          <w:tcPr>
            <w:tcW w:w="1068" w:type="dxa"/>
            <w:tcBorders>
              <w:top w:val="nil"/>
              <w:left w:val="nil"/>
              <w:bottom w:val="single" w:color="auto" w:sz="4" w:space="0"/>
              <w:right w:val="single" w:color="auto" w:sz="4" w:space="0"/>
            </w:tcBorders>
            <w:vAlign w:val="center"/>
          </w:tcPr>
          <w:p>
            <w:pPr>
              <w:widowControl/>
              <w:spacing w:line="280" w:lineRule="exact"/>
              <w:jc w:val="right"/>
              <w:textAlignment w:val="center"/>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0.00 </w:t>
            </w:r>
          </w:p>
        </w:tc>
        <w:tc>
          <w:tcPr>
            <w:tcW w:w="2412" w:type="dxa"/>
            <w:tcBorders>
              <w:top w:val="nil"/>
              <w:left w:val="nil"/>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三、国防支出</w:t>
            </w:r>
          </w:p>
        </w:tc>
        <w:tc>
          <w:tcPr>
            <w:tcW w:w="607" w:type="dxa"/>
            <w:tcBorders>
              <w:top w:val="nil"/>
              <w:left w:val="nil"/>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34</w:t>
            </w:r>
          </w:p>
        </w:tc>
        <w:tc>
          <w:tcPr>
            <w:tcW w:w="1302" w:type="dxa"/>
            <w:tcBorders>
              <w:top w:val="nil"/>
              <w:left w:val="nil"/>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0.00 </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四、上级补助收入</w:t>
            </w:r>
          </w:p>
        </w:tc>
        <w:tc>
          <w:tcPr>
            <w:tcW w:w="621" w:type="dxa"/>
            <w:tcBorders>
              <w:top w:val="nil"/>
              <w:left w:val="single" w:color="auto" w:sz="4" w:space="0"/>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4</w:t>
            </w:r>
          </w:p>
        </w:tc>
        <w:tc>
          <w:tcPr>
            <w:tcW w:w="1068" w:type="dxa"/>
            <w:tcBorders>
              <w:top w:val="nil"/>
              <w:left w:val="nil"/>
              <w:bottom w:val="single" w:color="auto" w:sz="4" w:space="0"/>
              <w:right w:val="single" w:color="auto" w:sz="4" w:space="0"/>
            </w:tcBorders>
            <w:vAlign w:val="center"/>
          </w:tcPr>
          <w:p>
            <w:pPr>
              <w:widowControl/>
              <w:spacing w:line="280" w:lineRule="exact"/>
              <w:jc w:val="right"/>
              <w:textAlignment w:val="center"/>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0.00 </w:t>
            </w:r>
          </w:p>
        </w:tc>
        <w:tc>
          <w:tcPr>
            <w:tcW w:w="2412" w:type="dxa"/>
            <w:tcBorders>
              <w:top w:val="nil"/>
              <w:left w:val="nil"/>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四、公共安全支出</w:t>
            </w:r>
          </w:p>
        </w:tc>
        <w:tc>
          <w:tcPr>
            <w:tcW w:w="607" w:type="dxa"/>
            <w:tcBorders>
              <w:top w:val="nil"/>
              <w:left w:val="single" w:color="auto" w:sz="4" w:space="0"/>
              <w:bottom w:val="single" w:color="auto" w:sz="4" w:space="0"/>
              <w:right w:val="nil"/>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35</w:t>
            </w:r>
          </w:p>
        </w:tc>
        <w:tc>
          <w:tcPr>
            <w:tcW w:w="1302" w:type="dxa"/>
            <w:tcBorders>
              <w:top w:val="nil"/>
              <w:left w:val="single" w:color="auto" w:sz="4" w:space="0"/>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386.71 </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五、事业收入</w:t>
            </w:r>
          </w:p>
        </w:tc>
        <w:tc>
          <w:tcPr>
            <w:tcW w:w="621" w:type="dxa"/>
            <w:tcBorders>
              <w:top w:val="nil"/>
              <w:left w:val="single" w:color="auto" w:sz="4" w:space="0"/>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5</w:t>
            </w:r>
          </w:p>
        </w:tc>
        <w:tc>
          <w:tcPr>
            <w:tcW w:w="1068" w:type="dxa"/>
            <w:tcBorders>
              <w:top w:val="nil"/>
              <w:left w:val="nil"/>
              <w:bottom w:val="single" w:color="auto" w:sz="4" w:space="0"/>
              <w:right w:val="single" w:color="auto" w:sz="4" w:space="0"/>
            </w:tcBorders>
            <w:vAlign w:val="center"/>
          </w:tcPr>
          <w:p>
            <w:pPr>
              <w:widowControl/>
              <w:spacing w:line="280" w:lineRule="exact"/>
              <w:jc w:val="right"/>
              <w:textAlignment w:val="center"/>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0.00 </w:t>
            </w:r>
          </w:p>
        </w:tc>
        <w:tc>
          <w:tcPr>
            <w:tcW w:w="2412" w:type="dxa"/>
            <w:tcBorders>
              <w:top w:val="nil"/>
              <w:left w:val="nil"/>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五、教育支出</w:t>
            </w:r>
          </w:p>
        </w:tc>
        <w:tc>
          <w:tcPr>
            <w:tcW w:w="607" w:type="dxa"/>
            <w:tcBorders>
              <w:top w:val="nil"/>
              <w:left w:val="single" w:color="auto" w:sz="4" w:space="0"/>
              <w:bottom w:val="single" w:color="auto" w:sz="4" w:space="0"/>
              <w:right w:val="nil"/>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36</w:t>
            </w:r>
          </w:p>
        </w:tc>
        <w:tc>
          <w:tcPr>
            <w:tcW w:w="1302" w:type="dxa"/>
            <w:tcBorders>
              <w:top w:val="nil"/>
              <w:left w:val="single" w:color="auto" w:sz="4" w:space="0"/>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414.20 </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六、经营收入</w:t>
            </w:r>
          </w:p>
        </w:tc>
        <w:tc>
          <w:tcPr>
            <w:tcW w:w="621" w:type="dxa"/>
            <w:tcBorders>
              <w:top w:val="nil"/>
              <w:left w:val="single" w:color="auto" w:sz="4" w:space="0"/>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6</w:t>
            </w:r>
          </w:p>
        </w:tc>
        <w:tc>
          <w:tcPr>
            <w:tcW w:w="1068" w:type="dxa"/>
            <w:tcBorders>
              <w:top w:val="nil"/>
              <w:left w:val="nil"/>
              <w:bottom w:val="single" w:color="auto" w:sz="4" w:space="0"/>
              <w:right w:val="single" w:color="auto" w:sz="4" w:space="0"/>
            </w:tcBorders>
            <w:vAlign w:val="center"/>
          </w:tcPr>
          <w:p>
            <w:pPr>
              <w:widowControl/>
              <w:spacing w:line="280" w:lineRule="exact"/>
              <w:jc w:val="right"/>
              <w:textAlignment w:val="center"/>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0.00 </w:t>
            </w:r>
          </w:p>
        </w:tc>
        <w:tc>
          <w:tcPr>
            <w:tcW w:w="2412" w:type="dxa"/>
            <w:tcBorders>
              <w:top w:val="nil"/>
              <w:left w:val="nil"/>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六、科学技术支出</w:t>
            </w:r>
          </w:p>
        </w:tc>
        <w:tc>
          <w:tcPr>
            <w:tcW w:w="607" w:type="dxa"/>
            <w:tcBorders>
              <w:top w:val="nil"/>
              <w:left w:val="single" w:color="auto" w:sz="4" w:space="0"/>
              <w:bottom w:val="single" w:color="auto" w:sz="4" w:space="0"/>
              <w:right w:val="nil"/>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37</w:t>
            </w:r>
          </w:p>
        </w:tc>
        <w:tc>
          <w:tcPr>
            <w:tcW w:w="1302" w:type="dxa"/>
            <w:tcBorders>
              <w:top w:val="nil"/>
              <w:left w:val="single" w:color="auto" w:sz="4" w:space="0"/>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0.00 </w:t>
            </w:r>
          </w:p>
        </w:tc>
      </w:tr>
      <w:tr>
        <w:tblPrEx>
          <w:tblCellMar>
            <w:top w:w="0" w:type="dxa"/>
            <w:left w:w="108" w:type="dxa"/>
            <w:bottom w:w="0" w:type="dxa"/>
            <w:right w:w="108" w:type="dxa"/>
          </w:tblCellMar>
        </w:tblPrEx>
        <w:trPr>
          <w:trHeight w:val="425" w:hRule="exact"/>
          <w:jc w:val="center"/>
        </w:trPr>
        <w:tc>
          <w:tcPr>
            <w:tcW w:w="3045" w:type="dxa"/>
            <w:tcBorders>
              <w:top w:val="nil"/>
              <w:left w:val="single" w:color="auto" w:sz="4" w:space="0"/>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七、附属单位上缴收入</w:t>
            </w:r>
          </w:p>
        </w:tc>
        <w:tc>
          <w:tcPr>
            <w:tcW w:w="621" w:type="dxa"/>
            <w:tcBorders>
              <w:top w:val="nil"/>
              <w:left w:val="single" w:color="auto" w:sz="4" w:space="0"/>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7</w:t>
            </w:r>
          </w:p>
        </w:tc>
        <w:tc>
          <w:tcPr>
            <w:tcW w:w="1068" w:type="dxa"/>
            <w:tcBorders>
              <w:top w:val="nil"/>
              <w:left w:val="nil"/>
              <w:bottom w:val="single" w:color="auto" w:sz="4" w:space="0"/>
              <w:right w:val="single" w:color="auto" w:sz="4" w:space="0"/>
            </w:tcBorders>
            <w:vAlign w:val="center"/>
          </w:tcPr>
          <w:p>
            <w:pPr>
              <w:widowControl/>
              <w:spacing w:line="280" w:lineRule="exact"/>
              <w:jc w:val="right"/>
              <w:textAlignment w:val="center"/>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0.00 </w:t>
            </w:r>
          </w:p>
        </w:tc>
        <w:tc>
          <w:tcPr>
            <w:tcW w:w="2412" w:type="dxa"/>
            <w:tcBorders>
              <w:top w:val="nil"/>
              <w:left w:val="nil"/>
              <w:bottom w:val="single" w:color="auto" w:sz="4" w:space="0"/>
              <w:right w:val="single" w:color="auto" w:sz="4" w:space="0"/>
            </w:tcBorders>
            <w:vAlign w:val="bottom"/>
          </w:tcPr>
          <w:p>
            <w:pPr>
              <w:widowControl/>
              <w:spacing w:line="22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七、文化旅游体育与传媒支出</w:t>
            </w:r>
          </w:p>
        </w:tc>
        <w:tc>
          <w:tcPr>
            <w:tcW w:w="607" w:type="dxa"/>
            <w:tcBorders>
              <w:top w:val="nil"/>
              <w:left w:val="single" w:color="auto" w:sz="4" w:space="0"/>
              <w:bottom w:val="single" w:color="auto" w:sz="4" w:space="0"/>
              <w:right w:val="nil"/>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38</w:t>
            </w:r>
          </w:p>
        </w:tc>
        <w:tc>
          <w:tcPr>
            <w:tcW w:w="1302" w:type="dxa"/>
            <w:tcBorders>
              <w:top w:val="nil"/>
              <w:left w:val="single" w:color="auto" w:sz="4" w:space="0"/>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625.28 </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八、其他收入</w:t>
            </w:r>
          </w:p>
        </w:tc>
        <w:tc>
          <w:tcPr>
            <w:tcW w:w="621" w:type="dxa"/>
            <w:tcBorders>
              <w:top w:val="nil"/>
              <w:left w:val="single" w:color="auto" w:sz="4" w:space="0"/>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8</w:t>
            </w:r>
          </w:p>
        </w:tc>
        <w:tc>
          <w:tcPr>
            <w:tcW w:w="1068" w:type="dxa"/>
            <w:tcBorders>
              <w:top w:val="nil"/>
              <w:left w:val="nil"/>
              <w:bottom w:val="single" w:color="auto" w:sz="4" w:space="0"/>
              <w:right w:val="single" w:color="auto" w:sz="4" w:space="0"/>
            </w:tcBorders>
            <w:vAlign w:val="center"/>
          </w:tcPr>
          <w:p>
            <w:pPr>
              <w:widowControl/>
              <w:spacing w:line="280" w:lineRule="exact"/>
              <w:jc w:val="right"/>
              <w:textAlignment w:val="center"/>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0.00 </w:t>
            </w:r>
          </w:p>
        </w:tc>
        <w:tc>
          <w:tcPr>
            <w:tcW w:w="2412" w:type="dxa"/>
            <w:tcBorders>
              <w:top w:val="nil"/>
              <w:left w:val="nil"/>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八、社会保障和就业支出</w:t>
            </w:r>
          </w:p>
        </w:tc>
        <w:tc>
          <w:tcPr>
            <w:tcW w:w="607" w:type="dxa"/>
            <w:tcBorders>
              <w:top w:val="nil"/>
              <w:left w:val="single" w:color="auto" w:sz="4" w:space="0"/>
              <w:bottom w:val="single" w:color="auto" w:sz="4" w:space="0"/>
              <w:right w:val="nil"/>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39</w:t>
            </w:r>
          </w:p>
        </w:tc>
        <w:tc>
          <w:tcPr>
            <w:tcW w:w="1302" w:type="dxa"/>
            <w:tcBorders>
              <w:top w:val="nil"/>
              <w:left w:val="single" w:color="auto" w:sz="4" w:space="0"/>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246.24 </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center"/>
          </w:tcPr>
          <w:p>
            <w:pPr>
              <w:spacing w:line="280" w:lineRule="exact"/>
              <w:rPr>
                <w:rFonts w:ascii="仿宋_GB2312" w:hAnsi="仿宋_GB2312" w:eastAsia="仿宋_GB2312" w:cs="仿宋_GB2312"/>
                <w:sz w:val="18"/>
                <w:szCs w:val="18"/>
              </w:rPr>
            </w:pPr>
          </w:p>
        </w:tc>
        <w:tc>
          <w:tcPr>
            <w:tcW w:w="621" w:type="dxa"/>
            <w:tcBorders>
              <w:top w:val="nil"/>
              <w:left w:val="single" w:color="auto" w:sz="4" w:space="0"/>
              <w:bottom w:val="single" w:color="auto" w:sz="4" w:space="0"/>
              <w:right w:val="single" w:color="auto" w:sz="4" w:space="0"/>
            </w:tcBorders>
            <w:vAlign w:val="center"/>
          </w:tcPr>
          <w:p>
            <w:pPr>
              <w:spacing w:line="28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9</w:t>
            </w:r>
          </w:p>
        </w:tc>
        <w:tc>
          <w:tcPr>
            <w:tcW w:w="1068" w:type="dxa"/>
            <w:tcBorders>
              <w:top w:val="nil"/>
              <w:left w:val="nil"/>
              <w:bottom w:val="single" w:color="auto" w:sz="4" w:space="0"/>
              <w:right w:val="single" w:color="auto" w:sz="4" w:space="0"/>
            </w:tcBorders>
            <w:vAlign w:val="center"/>
          </w:tcPr>
          <w:p>
            <w:pPr>
              <w:spacing w:line="280" w:lineRule="exact"/>
              <w:jc w:val="right"/>
              <w:rPr>
                <w:rFonts w:ascii="仿宋_GB2312" w:hAnsi="仿宋_GB2312" w:eastAsia="仿宋_GB2312" w:cs="仿宋_GB2312"/>
                <w:sz w:val="18"/>
                <w:szCs w:val="18"/>
              </w:rPr>
            </w:pPr>
          </w:p>
        </w:tc>
        <w:tc>
          <w:tcPr>
            <w:tcW w:w="2412" w:type="dxa"/>
            <w:tcBorders>
              <w:top w:val="nil"/>
              <w:left w:val="nil"/>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九、卫生健康支出</w:t>
            </w:r>
          </w:p>
        </w:tc>
        <w:tc>
          <w:tcPr>
            <w:tcW w:w="607" w:type="dxa"/>
            <w:tcBorders>
              <w:top w:val="nil"/>
              <w:left w:val="single" w:color="auto" w:sz="4" w:space="0"/>
              <w:bottom w:val="single" w:color="auto" w:sz="4" w:space="0"/>
              <w:right w:val="nil"/>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40</w:t>
            </w:r>
          </w:p>
        </w:tc>
        <w:tc>
          <w:tcPr>
            <w:tcW w:w="1302" w:type="dxa"/>
            <w:tcBorders>
              <w:top w:val="nil"/>
              <w:left w:val="single" w:color="auto" w:sz="4" w:space="0"/>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420.28 </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center"/>
          </w:tcPr>
          <w:p>
            <w:pPr>
              <w:spacing w:line="280" w:lineRule="exact"/>
              <w:rPr>
                <w:rFonts w:ascii="仿宋_GB2312" w:hAnsi="仿宋_GB2312" w:eastAsia="仿宋_GB2312" w:cs="仿宋_GB2312"/>
                <w:sz w:val="18"/>
                <w:szCs w:val="18"/>
              </w:rPr>
            </w:pPr>
          </w:p>
        </w:tc>
        <w:tc>
          <w:tcPr>
            <w:tcW w:w="621" w:type="dxa"/>
            <w:tcBorders>
              <w:top w:val="nil"/>
              <w:left w:val="single" w:color="auto" w:sz="4" w:space="0"/>
              <w:bottom w:val="single" w:color="auto" w:sz="4" w:space="0"/>
              <w:right w:val="single" w:color="auto" w:sz="4" w:space="0"/>
            </w:tcBorders>
            <w:vAlign w:val="center"/>
          </w:tcPr>
          <w:p>
            <w:pPr>
              <w:spacing w:line="28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10</w:t>
            </w:r>
          </w:p>
        </w:tc>
        <w:tc>
          <w:tcPr>
            <w:tcW w:w="1068" w:type="dxa"/>
            <w:tcBorders>
              <w:top w:val="nil"/>
              <w:left w:val="nil"/>
              <w:bottom w:val="single" w:color="auto" w:sz="4" w:space="0"/>
              <w:right w:val="single" w:color="auto" w:sz="4" w:space="0"/>
            </w:tcBorders>
            <w:vAlign w:val="center"/>
          </w:tcPr>
          <w:p>
            <w:pPr>
              <w:spacing w:line="280" w:lineRule="exact"/>
              <w:jc w:val="right"/>
              <w:rPr>
                <w:rFonts w:ascii="仿宋_GB2312" w:hAnsi="仿宋_GB2312" w:eastAsia="仿宋_GB2312" w:cs="仿宋_GB2312"/>
                <w:sz w:val="18"/>
                <w:szCs w:val="18"/>
              </w:rPr>
            </w:pPr>
          </w:p>
        </w:tc>
        <w:tc>
          <w:tcPr>
            <w:tcW w:w="2412" w:type="dxa"/>
            <w:tcBorders>
              <w:top w:val="nil"/>
              <w:left w:val="nil"/>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十、节能环保支出</w:t>
            </w:r>
          </w:p>
        </w:tc>
        <w:tc>
          <w:tcPr>
            <w:tcW w:w="607" w:type="dxa"/>
            <w:tcBorders>
              <w:top w:val="nil"/>
              <w:left w:val="single" w:color="auto" w:sz="4" w:space="0"/>
              <w:bottom w:val="single" w:color="auto" w:sz="4" w:space="0"/>
              <w:right w:val="nil"/>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41</w:t>
            </w:r>
          </w:p>
        </w:tc>
        <w:tc>
          <w:tcPr>
            <w:tcW w:w="1302" w:type="dxa"/>
            <w:tcBorders>
              <w:top w:val="nil"/>
              <w:left w:val="single" w:color="auto" w:sz="4" w:space="0"/>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149.95 </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center"/>
          </w:tcPr>
          <w:p>
            <w:pPr>
              <w:spacing w:line="280" w:lineRule="exact"/>
              <w:rPr>
                <w:rFonts w:ascii="仿宋_GB2312" w:hAnsi="仿宋_GB2312" w:eastAsia="仿宋_GB2312" w:cs="仿宋_GB2312"/>
                <w:sz w:val="18"/>
                <w:szCs w:val="18"/>
              </w:rPr>
            </w:pPr>
          </w:p>
        </w:tc>
        <w:tc>
          <w:tcPr>
            <w:tcW w:w="621" w:type="dxa"/>
            <w:tcBorders>
              <w:top w:val="nil"/>
              <w:left w:val="single" w:color="auto" w:sz="4" w:space="0"/>
              <w:bottom w:val="single" w:color="auto" w:sz="4" w:space="0"/>
              <w:right w:val="single" w:color="auto" w:sz="4" w:space="0"/>
            </w:tcBorders>
            <w:vAlign w:val="center"/>
          </w:tcPr>
          <w:p>
            <w:pPr>
              <w:spacing w:line="28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11</w:t>
            </w:r>
          </w:p>
        </w:tc>
        <w:tc>
          <w:tcPr>
            <w:tcW w:w="1068" w:type="dxa"/>
            <w:tcBorders>
              <w:top w:val="nil"/>
              <w:left w:val="nil"/>
              <w:bottom w:val="single" w:color="auto" w:sz="4" w:space="0"/>
              <w:right w:val="single" w:color="auto" w:sz="4" w:space="0"/>
            </w:tcBorders>
            <w:vAlign w:val="center"/>
          </w:tcPr>
          <w:p>
            <w:pPr>
              <w:spacing w:line="280" w:lineRule="exact"/>
              <w:jc w:val="right"/>
              <w:rPr>
                <w:rFonts w:ascii="仿宋_GB2312" w:hAnsi="仿宋_GB2312" w:eastAsia="仿宋_GB2312" w:cs="仿宋_GB2312"/>
                <w:sz w:val="18"/>
                <w:szCs w:val="18"/>
              </w:rPr>
            </w:pPr>
          </w:p>
        </w:tc>
        <w:tc>
          <w:tcPr>
            <w:tcW w:w="2412" w:type="dxa"/>
            <w:tcBorders>
              <w:top w:val="nil"/>
              <w:left w:val="nil"/>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十一、城乡社区支出</w:t>
            </w:r>
          </w:p>
        </w:tc>
        <w:tc>
          <w:tcPr>
            <w:tcW w:w="607" w:type="dxa"/>
            <w:tcBorders>
              <w:top w:val="nil"/>
              <w:left w:val="single" w:color="auto" w:sz="4" w:space="0"/>
              <w:bottom w:val="single" w:color="auto" w:sz="4" w:space="0"/>
              <w:right w:val="nil"/>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42</w:t>
            </w:r>
          </w:p>
        </w:tc>
        <w:tc>
          <w:tcPr>
            <w:tcW w:w="1302" w:type="dxa"/>
            <w:tcBorders>
              <w:top w:val="nil"/>
              <w:left w:val="single" w:color="auto" w:sz="4" w:space="0"/>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43,215.37 </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center"/>
          </w:tcPr>
          <w:p>
            <w:pPr>
              <w:spacing w:line="280" w:lineRule="exact"/>
              <w:rPr>
                <w:rFonts w:ascii="仿宋_GB2312" w:hAnsi="仿宋_GB2312" w:eastAsia="仿宋_GB2312" w:cs="仿宋_GB2312"/>
                <w:sz w:val="18"/>
                <w:szCs w:val="18"/>
              </w:rPr>
            </w:pPr>
          </w:p>
        </w:tc>
        <w:tc>
          <w:tcPr>
            <w:tcW w:w="621" w:type="dxa"/>
            <w:tcBorders>
              <w:top w:val="nil"/>
              <w:left w:val="single" w:color="auto" w:sz="4" w:space="0"/>
              <w:bottom w:val="single" w:color="auto" w:sz="4" w:space="0"/>
              <w:right w:val="single" w:color="auto" w:sz="4" w:space="0"/>
            </w:tcBorders>
            <w:vAlign w:val="center"/>
          </w:tcPr>
          <w:p>
            <w:pPr>
              <w:spacing w:line="28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12</w:t>
            </w:r>
          </w:p>
        </w:tc>
        <w:tc>
          <w:tcPr>
            <w:tcW w:w="1068" w:type="dxa"/>
            <w:tcBorders>
              <w:top w:val="nil"/>
              <w:left w:val="nil"/>
              <w:bottom w:val="single" w:color="auto" w:sz="4" w:space="0"/>
              <w:right w:val="single" w:color="auto" w:sz="4" w:space="0"/>
            </w:tcBorders>
            <w:vAlign w:val="center"/>
          </w:tcPr>
          <w:p>
            <w:pPr>
              <w:spacing w:line="280" w:lineRule="exact"/>
              <w:jc w:val="right"/>
              <w:rPr>
                <w:rFonts w:ascii="仿宋_GB2312" w:hAnsi="仿宋_GB2312" w:eastAsia="仿宋_GB2312" w:cs="仿宋_GB2312"/>
                <w:sz w:val="18"/>
                <w:szCs w:val="18"/>
              </w:rPr>
            </w:pPr>
          </w:p>
        </w:tc>
        <w:tc>
          <w:tcPr>
            <w:tcW w:w="2412" w:type="dxa"/>
            <w:tcBorders>
              <w:top w:val="nil"/>
              <w:left w:val="nil"/>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十二、农林水支出</w:t>
            </w:r>
          </w:p>
        </w:tc>
        <w:tc>
          <w:tcPr>
            <w:tcW w:w="607" w:type="dxa"/>
            <w:tcBorders>
              <w:top w:val="nil"/>
              <w:left w:val="single" w:color="auto" w:sz="4" w:space="0"/>
              <w:bottom w:val="single" w:color="auto" w:sz="4" w:space="0"/>
              <w:right w:val="nil"/>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43</w:t>
            </w:r>
          </w:p>
        </w:tc>
        <w:tc>
          <w:tcPr>
            <w:tcW w:w="1302" w:type="dxa"/>
            <w:tcBorders>
              <w:top w:val="nil"/>
              <w:left w:val="single" w:color="auto" w:sz="4" w:space="0"/>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940.13 </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center"/>
          </w:tcPr>
          <w:p>
            <w:pPr>
              <w:spacing w:line="280" w:lineRule="exact"/>
              <w:rPr>
                <w:rFonts w:ascii="仿宋_GB2312" w:hAnsi="仿宋_GB2312" w:eastAsia="仿宋_GB2312" w:cs="仿宋_GB2312"/>
                <w:sz w:val="18"/>
                <w:szCs w:val="18"/>
              </w:rPr>
            </w:pPr>
          </w:p>
        </w:tc>
        <w:tc>
          <w:tcPr>
            <w:tcW w:w="621" w:type="dxa"/>
            <w:tcBorders>
              <w:top w:val="nil"/>
              <w:left w:val="single" w:color="auto" w:sz="4" w:space="0"/>
              <w:bottom w:val="single" w:color="auto" w:sz="4" w:space="0"/>
              <w:right w:val="single" w:color="auto" w:sz="4" w:space="0"/>
            </w:tcBorders>
            <w:vAlign w:val="center"/>
          </w:tcPr>
          <w:p>
            <w:pPr>
              <w:spacing w:line="28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13</w:t>
            </w:r>
          </w:p>
        </w:tc>
        <w:tc>
          <w:tcPr>
            <w:tcW w:w="1068" w:type="dxa"/>
            <w:tcBorders>
              <w:top w:val="nil"/>
              <w:left w:val="nil"/>
              <w:bottom w:val="single" w:color="auto" w:sz="4" w:space="0"/>
              <w:right w:val="single" w:color="auto" w:sz="4" w:space="0"/>
            </w:tcBorders>
            <w:vAlign w:val="center"/>
          </w:tcPr>
          <w:p>
            <w:pPr>
              <w:spacing w:line="280" w:lineRule="exact"/>
              <w:jc w:val="right"/>
              <w:rPr>
                <w:rFonts w:ascii="仿宋_GB2312" w:hAnsi="仿宋_GB2312" w:eastAsia="仿宋_GB2312" w:cs="仿宋_GB2312"/>
                <w:sz w:val="18"/>
                <w:szCs w:val="18"/>
              </w:rPr>
            </w:pPr>
          </w:p>
        </w:tc>
        <w:tc>
          <w:tcPr>
            <w:tcW w:w="2412" w:type="dxa"/>
            <w:tcBorders>
              <w:top w:val="nil"/>
              <w:left w:val="nil"/>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十三、交通运输支出</w:t>
            </w:r>
          </w:p>
        </w:tc>
        <w:tc>
          <w:tcPr>
            <w:tcW w:w="607" w:type="dxa"/>
            <w:tcBorders>
              <w:top w:val="nil"/>
              <w:left w:val="single" w:color="auto" w:sz="4" w:space="0"/>
              <w:bottom w:val="single" w:color="auto" w:sz="4" w:space="0"/>
              <w:right w:val="nil"/>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44</w:t>
            </w:r>
          </w:p>
        </w:tc>
        <w:tc>
          <w:tcPr>
            <w:tcW w:w="1302" w:type="dxa"/>
            <w:tcBorders>
              <w:top w:val="nil"/>
              <w:left w:val="single" w:color="auto" w:sz="4" w:space="0"/>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14.41 </w:t>
            </w:r>
          </w:p>
        </w:tc>
      </w:tr>
      <w:tr>
        <w:tblPrEx>
          <w:tblCellMar>
            <w:top w:w="0" w:type="dxa"/>
            <w:left w:w="108" w:type="dxa"/>
            <w:bottom w:w="0" w:type="dxa"/>
            <w:right w:w="108" w:type="dxa"/>
          </w:tblCellMar>
        </w:tblPrEx>
        <w:trPr>
          <w:trHeight w:val="425" w:hRule="exact"/>
          <w:jc w:val="center"/>
        </w:trPr>
        <w:tc>
          <w:tcPr>
            <w:tcW w:w="3045" w:type="dxa"/>
            <w:tcBorders>
              <w:top w:val="nil"/>
              <w:left w:val="single" w:color="auto" w:sz="4" w:space="0"/>
              <w:bottom w:val="single" w:color="auto" w:sz="4" w:space="0"/>
              <w:right w:val="single" w:color="auto" w:sz="4" w:space="0"/>
            </w:tcBorders>
            <w:vAlign w:val="center"/>
          </w:tcPr>
          <w:p>
            <w:pPr>
              <w:spacing w:line="280" w:lineRule="exact"/>
              <w:rPr>
                <w:rFonts w:ascii="仿宋_GB2312" w:hAnsi="仿宋_GB2312" w:eastAsia="仿宋_GB2312" w:cs="仿宋_GB2312"/>
                <w:sz w:val="18"/>
                <w:szCs w:val="18"/>
              </w:rPr>
            </w:pPr>
          </w:p>
        </w:tc>
        <w:tc>
          <w:tcPr>
            <w:tcW w:w="621" w:type="dxa"/>
            <w:tcBorders>
              <w:top w:val="nil"/>
              <w:left w:val="single" w:color="auto" w:sz="4" w:space="0"/>
              <w:bottom w:val="single" w:color="auto" w:sz="4" w:space="0"/>
              <w:right w:val="single" w:color="auto" w:sz="4" w:space="0"/>
            </w:tcBorders>
            <w:vAlign w:val="center"/>
          </w:tcPr>
          <w:p>
            <w:pPr>
              <w:spacing w:line="28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14</w:t>
            </w:r>
          </w:p>
        </w:tc>
        <w:tc>
          <w:tcPr>
            <w:tcW w:w="1068" w:type="dxa"/>
            <w:tcBorders>
              <w:top w:val="nil"/>
              <w:left w:val="nil"/>
              <w:bottom w:val="single" w:color="auto" w:sz="4" w:space="0"/>
              <w:right w:val="single" w:color="auto" w:sz="4" w:space="0"/>
            </w:tcBorders>
            <w:vAlign w:val="center"/>
          </w:tcPr>
          <w:p>
            <w:pPr>
              <w:spacing w:line="280" w:lineRule="exact"/>
              <w:jc w:val="right"/>
              <w:rPr>
                <w:rFonts w:ascii="仿宋_GB2312" w:hAnsi="仿宋_GB2312" w:eastAsia="仿宋_GB2312" w:cs="仿宋_GB2312"/>
                <w:sz w:val="18"/>
                <w:szCs w:val="18"/>
              </w:rPr>
            </w:pPr>
          </w:p>
        </w:tc>
        <w:tc>
          <w:tcPr>
            <w:tcW w:w="2412" w:type="dxa"/>
            <w:tcBorders>
              <w:top w:val="nil"/>
              <w:left w:val="nil"/>
              <w:bottom w:val="single" w:color="auto" w:sz="4" w:space="0"/>
              <w:right w:val="single" w:color="auto" w:sz="4" w:space="0"/>
            </w:tcBorders>
            <w:vAlign w:val="bottom"/>
          </w:tcPr>
          <w:p>
            <w:pPr>
              <w:widowControl/>
              <w:spacing w:line="22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十四、资源勘探工业信息等支出</w:t>
            </w:r>
          </w:p>
        </w:tc>
        <w:tc>
          <w:tcPr>
            <w:tcW w:w="607" w:type="dxa"/>
            <w:tcBorders>
              <w:top w:val="nil"/>
              <w:left w:val="nil"/>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45</w:t>
            </w:r>
          </w:p>
        </w:tc>
        <w:tc>
          <w:tcPr>
            <w:tcW w:w="1302" w:type="dxa"/>
            <w:tcBorders>
              <w:top w:val="nil"/>
              <w:left w:val="nil"/>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0.00 </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center"/>
          </w:tcPr>
          <w:p>
            <w:pPr>
              <w:spacing w:line="280" w:lineRule="exact"/>
              <w:rPr>
                <w:rFonts w:ascii="仿宋_GB2312" w:hAnsi="仿宋_GB2312" w:eastAsia="仿宋_GB2312" w:cs="仿宋_GB2312"/>
                <w:sz w:val="18"/>
                <w:szCs w:val="18"/>
              </w:rPr>
            </w:pPr>
          </w:p>
        </w:tc>
        <w:tc>
          <w:tcPr>
            <w:tcW w:w="621" w:type="dxa"/>
            <w:tcBorders>
              <w:top w:val="nil"/>
              <w:left w:val="single" w:color="auto" w:sz="4" w:space="0"/>
              <w:bottom w:val="single" w:color="auto" w:sz="4" w:space="0"/>
              <w:right w:val="single" w:color="auto" w:sz="4" w:space="0"/>
            </w:tcBorders>
            <w:vAlign w:val="center"/>
          </w:tcPr>
          <w:p>
            <w:pPr>
              <w:spacing w:line="28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15</w:t>
            </w:r>
          </w:p>
        </w:tc>
        <w:tc>
          <w:tcPr>
            <w:tcW w:w="1068" w:type="dxa"/>
            <w:tcBorders>
              <w:top w:val="nil"/>
              <w:left w:val="nil"/>
              <w:bottom w:val="single" w:color="auto" w:sz="4" w:space="0"/>
              <w:right w:val="single" w:color="auto" w:sz="4" w:space="0"/>
            </w:tcBorders>
            <w:vAlign w:val="center"/>
          </w:tcPr>
          <w:p>
            <w:pPr>
              <w:spacing w:line="280" w:lineRule="exact"/>
              <w:jc w:val="right"/>
              <w:rPr>
                <w:rFonts w:ascii="仿宋_GB2312" w:hAnsi="仿宋_GB2312" w:eastAsia="仿宋_GB2312" w:cs="仿宋_GB2312"/>
                <w:sz w:val="18"/>
                <w:szCs w:val="18"/>
              </w:rPr>
            </w:pPr>
          </w:p>
        </w:tc>
        <w:tc>
          <w:tcPr>
            <w:tcW w:w="2412" w:type="dxa"/>
            <w:tcBorders>
              <w:top w:val="nil"/>
              <w:left w:val="nil"/>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十五、商业服务业等支出</w:t>
            </w:r>
          </w:p>
        </w:tc>
        <w:tc>
          <w:tcPr>
            <w:tcW w:w="607" w:type="dxa"/>
            <w:tcBorders>
              <w:top w:val="nil"/>
              <w:left w:val="nil"/>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46</w:t>
            </w:r>
          </w:p>
        </w:tc>
        <w:tc>
          <w:tcPr>
            <w:tcW w:w="1302" w:type="dxa"/>
            <w:tcBorders>
              <w:top w:val="nil"/>
              <w:left w:val="nil"/>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0.00 </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center"/>
          </w:tcPr>
          <w:p>
            <w:pPr>
              <w:spacing w:line="280" w:lineRule="exact"/>
              <w:rPr>
                <w:rFonts w:ascii="仿宋_GB2312" w:hAnsi="仿宋_GB2312" w:eastAsia="仿宋_GB2312" w:cs="仿宋_GB2312"/>
                <w:sz w:val="18"/>
                <w:szCs w:val="18"/>
              </w:rPr>
            </w:pPr>
          </w:p>
        </w:tc>
        <w:tc>
          <w:tcPr>
            <w:tcW w:w="621" w:type="dxa"/>
            <w:tcBorders>
              <w:top w:val="nil"/>
              <w:left w:val="single" w:color="auto" w:sz="4" w:space="0"/>
              <w:bottom w:val="single" w:color="auto" w:sz="4" w:space="0"/>
              <w:right w:val="single" w:color="auto" w:sz="4" w:space="0"/>
            </w:tcBorders>
            <w:vAlign w:val="center"/>
          </w:tcPr>
          <w:p>
            <w:pPr>
              <w:spacing w:line="28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16</w:t>
            </w:r>
          </w:p>
        </w:tc>
        <w:tc>
          <w:tcPr>
            <w:tcW w:w="1068" w:type="dxa"/>
            <w:tcBorders>
              <w:top w:val="nil"/>
              <w:left w:val="nil"/>
              <w:bottom w:val="single" w:color="auto" w:sz="4" w:space="0"/>
              <w:right w:val="single" w:color="auto" w:sz="4" w:space="0"/>
            </w:tcBorders>
            <w:vAlign w:val="center"/>
          </w:tcPr>
          <w:p>
            <w:pPr>
              <w:spacing w:line="280" w:lineRule="exact"/>
              <w:jc w:val="right"/>
              <w:rPr>
                <w:rFonts w:ascii="仿宋_GB2312" w:hAnsi="仿宋_GB2312" w:eastAsia="仿宋_GB2312" w:cs="仿宋_GB2312"/>
                <w:sz w:val="18"/>
                <w:szCs w:val="18"/>
              </w:rPr>
            </w:pPr>
          </w:p>
        </w:tc>
        <w:tc>
          <w:tcPr>
            <w:tcW w:w="2412" w:type="dxa"/>
            <w:tcBorders>
              <w:top w:val="nil"/>
              <w:left w:val="nil"/>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十六、金融支出</w:t>
            </w:r>
          </w:p>
        </w:tc>
        <w:tc>
          <w:tcPr>
            <w:tcW w:w="607" w:type="dxa"/>
            <w:tcBorders>
              <w:top w:val="nil"/>
              <w:left w:val="nil"/>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47</w:t>
            </w:r>
          </w:p>
        </w:tc>
        <w:tc>
          <w:tcPr>
            <w:tcW w:w="1302" w:type="dxa"/>
            <w:tcBorders>
              <w:top w:val="nil"/>
              <w:left w:val="nil"/>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0.00 </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center"/>
          </w:tcPr>
          <w:p>
            <w:pPr>
              <w:spacing w:line="240" w:lineRule="exact"/>
              <w:rPr>
                <w:rFonts w:ascii="仿宋_GB2312" w:hAnsi="仿宋_GB2312" w:eastAsia="仿宋_GB2312" w:cs="仿宋_GB2312"/>
                <w:sz w:val="18"/>
                <w:szCs w:val="18"/>
              </w:rPr>
            </w:pPr>
          </w:p>
        </w:tc>
        <w:tc>
          <w:tcPr>
            <w:tcW w:w="621" w:type="dxa"/>
            <w:tcBorders>
              <w:top w:val="nil"/>
              <w:left w:val="single" w:color="auto" w:sz="4" w:space="0"/>
              <w:bottom w:val="single" w:color="auto" w:sz="4" w:space="0"/>
              <w:right w:val="single" w:color="auto" w:sz="4" w:space="0"/>
            </w:tcBorders>
            <w:vAlign w:val="center"/>
          </w:tcPr>
          <w:p>
            <w:pPr>
              <w:spacing w:line="24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17</w:t>
            </w:r>
          </w:p>
        </w:tc>
        <w:tc>
          <w:tcPr>
            <w:tcW w:w="1068" w:type="dxa"/>
            <w:tcBorders>
              <w:top w:val="nil"/>
              <w:left w:val="nil"/>
              <w:bottom w:val="single" w:color="auto" w:sz="4" w:space="0"/>
              <w:right w:val="single" w:color="auto" w:sz="4" w:space="0"/>
            </w:tcBorders>
            <w:vAlign w:val="center"/>
          </w:tcPr>
          <w:p>
            <w:pPr>
              <w:spacing w:line="200" w:lineRule="exact"/>
              <w:jc w:val="right"/>
              <w:rPr>
                <w:rFonts w:ascii="仿宋_GB2312" w:hAnsi="仿宋_GB2312" w:eastAsia="仿宋_GB2312" w:cs="仿宋_GB2312"/>
                <w:sz w:val="18"/>
                <w:szCs w:val="18"/>
              </w:rPr>
            </w:pPr>
          </w:p>
        </w:tc>
        <w:tc>
          <w:tcPr>
            <w:tcW w:w="2412" w:type="dxa"/>
            <w:tcBorders>
              <w:top w:val="nil"/>
              <w:left w:val="nil"/>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十七、援助其他地区支出</w:t>
            </w:r>
          </w:p>
        </w:tc>
        <w:tc>
          <w:tcPr>
            <w:tcW w:w="607" w:type="dxa"/>
            <w:tcBorders>
              <w:top w:val="nil"/>
              <w:left w:val="nil"/>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48</w:t>
            </w:r>
          </w:p>
        </w:tc>
        <w:tc>
          <w:tcPr>
            <w:tcW w:w="1302" w:type="dxa"/>
            <w:tcBorders>
              <w:top w:val="nil"/>
              <w:left w:val="nil"/>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0.00 </w:t>
            </w:r>
          </w:p>
        </w:tc>
      </w:tr>
      <w:tr>
        <w:tblPrEx>
          <w:tblCellMar>
            <w:top w:w="0" w:type="dxa"/>
            <w:left w:w="108" w:type="dxa"/>
            <w:bottom w:w="0" w:type="dxa"/>
            <w:right w:w="108" w:type="dxa"/>
          </w:tblCellMar>
        </w:tblPrEx>
        <w:trPr>
          <w:trHeight w:val="425" w:hRule="exact"/>
          <w:jc w:val="center"/>
        </w:trPr>
        <w:tc>
          <w:tcPr>
            <w:tcW w:w="3045" w:type="dxa"/>
            <w:tcBorders>
              <w:top w:val="nil"/>
              <w:left w:val="single" w:color="auto" w:sz="4" w:space="0"/>
              <w:bottom w:val="single" w:color="auto" w:sz="4" w:space="0"/>
              <w:right w:val="single" w:color="auto" w:sz="4" w:space="0"/>
            </w:tcBorders>
            <w:vAlign w:val="center"/>
          </w:tcPr>
          <w:p>
            <w:pPr>
              <w:spacing w:line="240" w:lineRule="exact"/>
              <w:rPr>
                <w:rFonts w:ascii="仿宋_GB2312" w:hAnsi="仿宋_GB2312" w:eastAsia="仿宋_GB2312" w:cs="仿宋_GB2312"/>
                <w:sz w:val="18"/>
                <w:szCs w:val="18"/>
              </w:rPr>
            </w:pPr>
          </w:p>
        </w:tc>
        <w:tc>
          <w:tcPr>
            <w:tcW w:w="621" w:type="dxa"/>
            <w:tcBorders>
              <w:top w:val="nil"/>
              <w:left w:val="single" w:color="auto" w:sz="4" w:space="0"/>
              <w:bottom w:val="single" w:color="auto" w:sz="4" w:space="0"/>
              <w:right w:val="single" w:color="auto" w:sz="4" w:space="0"/>
            </w:tcBorders>
            <w:vAlign w:val="center"/>
          </w:tcPr>
          <w:p>
            <w:pPr>
              <w:spacing w:line="24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18</w:t>
            </w:r>
          </w:p>
        </w:tc>
        <w:tc>
          <w:tcPr>
            <w:tcW w:w="1068" w:type="dxa"/>
            <w:tcBorders>
              <w:top w:val="nil"/>
              <w:left w:val="nil"/>
              <w:bottom w:val="single" w:color="auto" w:sz="4" w:space="0"/>
              <w:right w:val="single" w:color="auto" w:sz="4" w:space="0"/>
            </w:tcBorders>
            <w:vAlign w:val="center"/>
          </w:tcPr>
          <w:p>
            <w:pPr>
              <w:spacing w:line="200" w:lineRule="exact"/>
              <w:jc w:val="right"/>
              <w:rPr>
                <w:rFonts w:ascii="仿宋_GB2312" w:hAnsi="仿宋_GB2312" w:eastAsia="仿宋_GB2312" w:cs="仿宋_GB2312"/>
                <w:sz w:val="18"/>
                <w:szCs w:val="18"/>
              </w:rPr>
            </w:pPr>
          </w:p>
        </w:tc>
        <w:tc>
          <w:tcPr>
            <w:tcW w:w="2412" w:type="dxa"/>
            <w:tcBorders>
              <w:top w:val="nil"/>
              <w:left w:val="nil"/>
              <w:bottom w:val="single" w:color="auto" w:sz="4" w:space="0"/>
              <w:right w:val="single" w:color="auto" w:sz="4" w:space="0"/>
            </w:tcBorders>
            <w:vAlign w:val="bottom"/>
          </w:tcPr>
          <w:p>
            <w:pPr>
              <w:widowControl/>
              <w:spacing w:line="22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十八、自然资源海洋气象等支出</w:t>
            </w:r>
          </w:p>
        </w:tc>
        <w:tc>
          <w:tcPr>
            <w:tcW w:w="607" w:type="dxa"/>
            <w:tcBorders>
              <w:top w:val="nil"/>
              <w:left w:val="nil"/>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49</w:t>
            </w:r>
          </w:p>
        </w:tc>
        <w:tc>
          <w:tcPr>
            <w:tcW w:w="1302" w:type="dxa"/>
            <w:tcBorders>
              <w:top w:val="nil"/>
              <w:left w:val="nil"/>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965.77 </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center"/>
          </w:tcPr>
          <w:p>
            <w:pPr>
              <w:spacing w:line="240" w:lineRule="exact"/>
              <w:rPr>
                <w:rFonts w:ascii="仿宋_GB2312" w:hAnsi="仿宋_GB2312" w:eastAsia="仿宋_GB2312" w:cs="仿宋_GB2312"/>
                <w:sz w:val="18"/>
                <w:szCs w:val="18"/>
              </w:rPr>
            </w:pPr>
          </w:p>
        </w:tc>
        <w:tc>
          <w:tcPr>
            <w:tcW w:w="621" w:type="dxa"/>
            <w:tcBorders>
              <w:top w:val="nil"/>
              <w:left w:val="single" w:color="auto" w:sz="4" w:space="0"/>
              <w:bottom w:val="single" w:color="auto" w:sz="4" w:space="0"/>
              <w:right w:val="single" w:color="auto" w:sz="4" w:space="0"/>
            </w:tcBorders>
            <w:vAlign w:val="center"/>
          </w:tcPr>
          <w:p>
            <w:pPr>
              <w:spacing w:line="24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19</w:t>
            </w:r>
          </w:p>
        </w:tc>
        <w:tc>
          <w:tcPr>
            <w:tcW w:w="1068" w:type="dxa"/>
            <w:tcBorders>
              <w:top w:val="nil"/>
              <w:left w:val="nil"/>
              <w:bottom w:val="single" w:color="auto" w:sz="4" w:space="0"/>
              <w:right w:val="single" w:color="auto" w:sz="4" w:space="0"/>
            </w:tcBorders>
            <w:vAlign w:val="center"/>
          </w:tcPr>
          <w:p>
            <w:pPr>
              <w:spacing w:line="200" w:lineRule="exact"/>
              <w:jc w:val="right"/>
              <w:rPr>
                <w:rFonts w:ascii="仿宋_GB2312" w:hAnsi="仿宋_GB2312" w:eastAsia="仿宋_GB2312" w:cs="仿宋_GB2312"/>
                <w:sz w:val="18"/>
                <w:szCs w:val="18"/>
              </w:rPr>
            </w:pPr>
          </w:p>
        </w:tc>
        <w:tc>
          <w:tcPr>
            <w:tcW w:w="2412" w:type="dxa"/>
            <w:tcBorders>
              <w:top w:val="nil"/>
              <w:left w:val="nil"/>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十九、住房保障支出</w:t>
            </w:r>
          </w:p>
        </w:tc>
        <w:tc>
          <w:tcPr>
            <w:tcW w:w="607" w:type="dxa"/>
            <w:tcBorders>
              <w:top w:val="nil"/>
              <w:left w:val="nil"/>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50</w:t>
            </w:r>
          </w:p>
        </w:tc>
        <w:tc>
          <w:tcPr>
            <w:tcW w:w="1302" w:type="dxa"/>
            <w:tcBorders>
              <w:top w:val="nil"/>
              <w:left w:val="nil"/>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338.03 </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center"/>
          </w:tcPr>
          <w:p>
            <w:pPr>
              <w:spacing w:line="240" w:lineRule="exact"/>
              <w:rPr>
                <w:rFonts w:ascii="仿宋_GB2312" w:hAnsi="仿宋_GB2312" w:eastAsia="仿宋_GB2312" w:cs="仿宋_GB2312"/>
                <w:sz w:val="18"/>
                <w:szCs w:val="18"/>
              </w:rPr>
            </w:pPr>
          </w:p>
        </w:tc>
        <w:tc>
          <w:tcPr>
            <w:tcW w:w="621" w:type="dxa"/>
            <w:tcBorders>
              <w:top w:val="nil"/>
              <w:left w:val="single" w:color="auto" w:sz="4" w:space="0"/>
              <w:bottom w:val="single" w:color="auto" w:sz="4" w:space="0"/>
              <w:right w:val="single" w:color="auto" w:sz="4" w:space="0"/>
            </w:tcBorders>
            <w:vAlign w:val="center"/>
          </w:tcPr>
          <w:p>
            <w:pPr>
              <w:spacing w:line="24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20</w:t>
            </w:r>
          </w:p>
        </w:tc>
        <w:tc>
          <w:tcPr>
            <w:tcW w:w="1068" w:type="dxa"/>
            <w:tcBorders>
              <w:top w:val="nil"/>
              <w:left w:val="nil"/>
              <w:bottom w:val="single" w:color="auto" w:sz="4" w:space="0"/>
              <w:right w:val="single" w:color="auto" w:sz="4" w:space="0"/>
            </w:tcBorders>
            <w:vAlign w:val="center"/>
          </w:tcPr>
          <w:p>
            <w:pPr>
              <w:spacing w:line="200" w:lineRule="exact"/>
              <w:jc w:val="right"/>
              <w:rPr>
                <w:rFonts w:ascii="仿宋_GB2312" w:hAnsi="仿宋_GB2312" w:eastAsia="仿宋_GB2312" w:cs="仿宋_GB2312"/>
                <w:sz w:val="18"/>
                <w:szCs w:val="18"/>
              </w:rPr>
            </w:pPr>
          </w:p>
        </w:tc>
        <w:tc>
          <w:tcPr>
            <w:tcW w:w="2412" w:type="dxa"/>
            <w:tcBorders>
              <w:top w:val="nil"/>
              <w:left w:val="nil"/>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二十、粮油物资储备支出</w:t>
            </w:r>
          </w:p>
        </w:tc>
        <w:tc>
          <w:tcPr>
            <w:tcW w:w="607" w:type="dxa"/>
            <w:tcBorders>
              <w:top w:val="nil"/>
              <w:left w:val="nil"/>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51</w:t>
            </w:r>
          </w:p>
        </w:tc>
        <w:tc>
          <w:tcPr>
            <w:tcW w:w="1302" w:type="dxa"/>
            <w:tcBorders>
              <w:top w:val="nil"/>
              <w:left w:val="nil"/>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0.00 </w:t>
            </w:r>
          </w:p>
        </w:tc>
      </w:tr>
      <w:tr>
        <w:tblPrEx>
          <w:tblCellMar>
            <w:top w:w="0" w:type="dxa"/>
            <w:left w:w="108" w:type="dxa"/>
            <w:bottom w:w="0" w:type="dxa"/>
            <w:right w:w="108" w:type="dxa"/>
          </w:tblCellMar>
        </w:tblPrEx>
        <w:trPr>
          <w:trHeight w:val="425" w:hRule="exact"/>
          <w:jc w:val="center"/>
        </w:trPr>
        <w:tc>
          <w:tcPr>
            <w:tcW w:w="3045" w:type="dxa"/>
            <w:tcBorders>
              <w:top w:val="nil"/>
              <w:left w:val="single" w:color="auto" w:sz="4" w:space="0"/>
              <w:bottom w:val="single" w:color="auto" w:sz="4" w:space="0"/>
              <w:right w:val="single" w:color="auto" w:sz="4" w:space="0"/>
            </w:tcBorders>
            <w:vAlign w:val="center"/>
          </w:tcPr>
          <w:p>
            <w:pPr>
              <w:spacing w:line="240" w:lineRule="exact"/>
              <w:rPr>
                <w:rFonts w:ascii="仿宋_GB2312" w:hAnsi="仿宋_GB2312" w:eastAsia="仿宋_GB2312" w:cs="仿宋_GB2312"/>
                <w:sz w:val="18"/>
                <w:szCs w:val="18"/>
              </w:rPr>
            </w:pPr>
          </w:p>
        </w:tc>
        <w:tc>
          <w:tcPr>
            <w:tcW w:w="621" w:type="dxa"/>
            <w:tcBorders>
              <w:top w:val="nil"/>
              <w:left w:val="single" w:color="auto" w:sz="4" w:space="0"/>
              <w:bottom w:val="single" w:color="auto" w:sz="4" w:space="0"/>
              <w:right w:val="single" w:color="auto" w:sz="4" w:space="0"/>
            </w:tcBorders>
            <w:vAlign w:val="center"/>
          </w:tcPr>
          <w:p>
            <w:pPr>
              <w:spacing w:line="24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21</w:t>
            </w:r>
          </w:p>
        </w:tc>
        <w:tc>
          <w:tcPr>
            <w:tcW w:w="1068" w:type="dxa"/>
            <w:tcBorders>
              <w:top w:val="nil"/>
              <w:left w:val="nil"/>
              <w:bottom w:val="single" w:color="auto" w:sz="4" w:space="0"/>
              <w:right w:val="single" w:color="auto" w:sz="4" w:space="0"/>
            </w:tcBorders>
            <w:vAlign w:val="center"/>
          </w:tcPr>
          <w:p>
            <w:pPr>
              <w:spacing w:line="200" w:lineRule="exact"/>
              <w:jc w:val="right"/>
              <w:rPr>
                <w:rFonts w:ascii="仿宋_GB2312" w:hAnsi="仿宋_GB2312" w:eastAsia="仿宋_GB2312" w:cs="仿宋_GB2312"/>
                <w:sz w:val="18"/>
                <w:szCs w:val="18"/>
              </w:rPr>
            </w:pPr>
          </w:p>
        </w:tc>
        <w:tc>
          <w:tcPr>
            <w:tcW w:w="2412" w:type="dxa"/>
            <w:tcBorders>
              <w:top w:val="nil"/>
              <w:left w:val="nil"/>
              <w:bottom w:val="single" w:color="auto" w:sz="4" w:space="0"/>
              <w:right w:val="single" w:color="auto" w:sz="4" w:space="0"/>
            </w:tcBorders>
            <w:vAlign w:val="bottom"/>
          </w:tcPr>
          <w:p>
            <w:pPr>
              <w:widowControl/>
              <w:spacing w:line="22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二十一、国有资本经营预算支出</w:t>
            </w:r>
          </w:p>
        </w:tc>
        <w:tc>
          <w:tcPr>
            <w:tcW w:w="607" w:type="dxa"/>
            <w:tcBorders>
              <w:top w:val="nil"/>
              <w:left w:val="nil"/>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52</w:t>
            </w:r>
          </w:p>
        </w:tc>
        <w:tc>
          <w:tcPr>
            <w:tcW w:w="1302" w:type="dxa"/>
            <w:tcBorders>
              <w:top w:val="nil"/>
              <w:left w:val="nil"/>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0.00 </w:t>
            </w:r>
          </w:p>
        </w:tc>
      </w:tr>
      <w:tr>
        <w:tblPrEx>
          <w:tblCellMar>
            <w:top w:w="0" w:type="dxa"/>
            <w:left w:w="108" w:type="dxa"/>
            <w:bottom w:w="0" w:type="dxa"/>
            <w:right w:w="108" w:type="dxa"/>
          </w:tblCellMar>
        </w:tblPrEx>
        <w:trPr>
          <w:trHeight w:val="425" w:hRule="exact"/>
          <w:jc w:val="center"/>
        </w:trPr>
        <w:tc>
          <w:tcPr>
            <w:tcW w:w="3045" w:type="dxa"/>
            <w:tcBorders>
              <w:top w:val="nil"/>
              <w:left w:val="single" w:color="auto" w:sz="4" w:space="0"/>
              <w:bottom w:val="single" w:color="auto" w:sz="4" w:space="0"/>
              <w:right w:val="single" w:color="auto" w:sz="4" w:space="0"/>
            </w:tcBorders>
            <w:vAlign w:val="center"/>
          </w:tcPr>
          <w:p>
            <w:pPr>
              <w:spacing w:line="240" w:lineRule="exact"/>
              <w:rPr>
                <w:rFonts w:ascii="仿宋_GB2312" w:hAnsi="仿宋_GB2312" w:eastAsia="仿宋_GB2312" w:cs="仿宋_GB2312"/>
                <w:sz w:val="18"/>
                <w:szCs w:val="18"/>
              </w:rPr>
            </w:pPr>
          </w:p>
        </w:tc>
        <w:tc>
          <w:tcPr>
            <w:tcW w:w="621" w:type="dxa"/>
            <w:tcBorders>
              <w:top w:val="nil"/>
              <w:left w:val="single" w:color="auto" w:sz="4" w:space="0"/>
              <w:bottom w:val="single" w:color="auto" w:sz="4" w:space="0"/>
              <w:right w:val="single" w:color="auto" w:sz="4" w:space="0"/>
            </w:tcBorders>
            <w:vAlign w:val="center"/>
          </w:tcPr>
          <w:p>
            <w:pPr>
              <w:spacing w:line="24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22</w:t>
            </w:r>
          </w:p>
        </w:tc>
        <w:tc>
          <w:tcPr>
            <w:tcW w:w="1068" w:type="dxa"/>
            <w:tcBorders>
              <w:top w:val="nil"/>
              <w:left w:val="nil"/>
              <w:bottom w:val="single" w:color="auto" w:sz="4" w:space="0"/>
              <w:right w:val="single" w:color="auto" w:sz="4" w:space="0"/>
            </w:tcBorders>
            <w:vAlign w:val="center"/>
          </w:tcPr>
          <w:p>
            <w:pPr>
              <w:spacing w:line="200" w:lineRule="exact"/>
              <w:jc w:val="right"/>
              <w:rPr>
                <w:rFonts w:ascii="仿宋_GB2312" w:hAnsi="仿宋_GB2312" w:eastAsia="仿宋_GB2312" w:cs="仿宋_GB2312"/>
                <w:sz w:val="18"/>
                <w:szCs w:val="18"/>
              </w:rPr>
            </w:pPr>
          </w:p>
        </w:tc>
        <w:tc>
          <w:tcPr>
            <w:tcW w:w="2412" w:type="dxa"/>
            <w:tcBorders>
              <w:top w:val="nil"/>
              <w:left w:val="nil"/>
              <w:bottom w:val="single" w:color="auto" w:sz="4" w:space="0"/>
              <w:right w:val="single" w:color="auto" w:sz="4" w:space="0"/>
            </w:tcBorders>
            <w:vAlign w:val="bottom"/>
          </w:tcPr>
          <w:p>
            <w:pPr>
              <w:widowControl/>
              <w:spacing w:line="22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二十二、灾害防治及应急管理支出</w:t>
            </w:r>
          </w:p>
        </w:tc>
        <w:tc>
          <w:tcPr>
            <w:tcW w:w="607" w:type="dxa"/>
            <w:tcBorders>
              <w:top w:val="nil"/>
              <w:left w:val="nil"/>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53</w:t>
            </w:r>
          </w:p>
        </w:tc>
        <w:tc>
          <w:tcPr>
            <w:tcW w:w="1302" w:type="dxa"/>
            <w:tcBorders>
              <w:top w:val="nil"/>
              <w:left w:val="nil"/>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153.20 </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center"/>
          </w:tcPr>
          <w:p>
            <w:pPr>
              <w:spacing w:line="240" w:lineRule="exact"/>
              <w:rPr>
                <w:rFonts w:ascii="仿宋_GB2312" w:hAnsi="仿宋_GB2312" w:eastAsia="仿宋_GB2312" w:cs="仿宋_GB2312"/>
                <w:sz w:val="18"/>
                <w:szCs w:val="18"/>
              </w:rPr>
            </w:pPr>
          </w:p>
        </w:tc>
        <w:tc>
          <w:tcPr>
            <w:tcW w:w="621" w:type="dxa"/>
            <w:tcBorders>
              <w:top w:val="nil"/>
              <w:left w:val="single" w:color="auto" w:sz="4" w:space="0"/>
              <w:bottom w:val="single" w:color="auto" w:sz="4" w:space="0"/>
              <w:right w:val="single" w:color="auto" w:sz="4" w:space="0"/>
            </w:tcBorders>
            <w:vAlign w:val="center"/>
          </w:tcPr>
          <w:p>
            <w:pPr>
              <w:spacing w:line="24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23</w:t>
            </w:r>
          </w:p>
        </w:tc>
        <w:tc>
          <w:tcPr>
            <w:tcW w:w="1068" w:type="dxa"/>
            <w:tcBorders>
              <w:top w:val="nil"/>
              <w:left w:val="nil"/>
              <w:bottom w:val="single" w:color="auto" w:sz="4" w:space="0"/>
              <w:right w:val="single" w:color="auto" w:sz="4" w:space="0"/>
            </w:tcBorders>
            <w:vAlign w:val="center"/>
          </w:tcPr>
          <w:p>
            <w:pPr>
              <w:spacing w:line="200" w:lineRule="exact"/>
              <w:jc w:val="right"/>
              <w:rPr>
                <w:rFonts w:ascii="仿宋_GB2312" w:hAnsi="仿宋_GB2312" w:eastAsia="仿宋_GB2312" w:cs="仿宋_GB2312"/>
                <w:sz w:val="18"/>
                <w:szCs w:val="18"/>
              </w:rPr>
            </w:pPr>
          </w:p>
        </w:tc>
        <w:tc>
          <w:tcPr>
            <w:tcW w:w="2412" w:type="dxa"/>
            <w:tcBorders>
              <w:top w:val="nil"/>
              <w:left w:val="nil"/>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二十三、其他支出</w:t>
            </w:r>
          </w:p>
        </w:tc>
        <w:tc>
          <w:tcPr>
            <w:tcW w:w="607" w:type="dxa"/>
            <w:tcBorders>
              <w:top w:val="nil"/>
              <w:left w:val="nil"/>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54</w:t>
            </w:r>
          </w:p>
        </w:tc>
        <w:tc>
          <w:tcPr>
            <w:tcW w:w="1302" w:type="dxa"/>
            <w:tcBorders>
              <w:top w:val="nil"/>
              <w:left w:val="nil"/>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0.00 </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center"/>
          </w:tcPr>
          <w:p>
            <w:pPr>
              <w:spacing w:line="240" w:lineRule="exact"/>
              <w:rPr>
                <w:rFonts w:ascii="仿宋_GB2312" w:hAnsi="仿宋_GB2312" w:eastAsia="仿宋_GB2312" w:cs="仿宋_GB2312"/>
                <w:sz w:val="18"/>
                <w:szCs w:val="18"/>
              </w:rPr>
            </w:pPr>
          </w:p>
        </w:tc>
        <w:tc>
          <w:tcPr>
            <w:tcW w:w="621" w:type="dxa"/>
            <w:tcBorders>
              <w:top w:val="nil"/>
              <w:left w:val="single" w:color="auto" w:sz="4" w:space="0"/>
              <w:bottom w:val="single" w:color="auto" w:sz="4" w:space="0"/>
              <w:right w:val="single" w:color="auto" w:sz="4" w:space="0"/>
            </w:tcBorders>
            <w:vAlign w:val="center"/>
          </w:tcPr>
          <w:p>
            <w:pPr>
              <w:spacing w:line="24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24</w:t>
            </w:r>
          </w:p>
        </w:tc>
        <w:tc>
          <w:tcPr>
            <w:tcW w:w="1068" w:type="dxa"/>
            <w:tcBorders>
              <w:top w:val="nil"/>
              <w:left w:val="nil"/>
              <w:bottom w:val="single" w:color="auto" w:sz="4" w:space="0"/>
              <w:right w:val="single" w:color="auto" w:sz="4" w:space="0"/>
            </w:tcBorders>
            <w:vAlign w:val="center"/>
          </w:tcPr>
          <w:p>
            <w:pPr>
              <w:spacing w:line="200" w:lineRule="exact"/>
              <w:jc w:val="right"/>
              <w:rPr>
                <w:rFonts w:ascii="仿宋_GB2312" w:hAnsi="仿宋_GB2312" w:eastAsia="仿宋_GB2312" w:cs="仿宋_GB2312"/>
                <w:sz w:val="18"/>
                <w:szCs w:val="18"/>
              </w:rPr>
            </w:pPr>
          </w:p>
        </w:tc>
        <w:tc>
          <w:tcPr>
            <w:tcW w:w="2412" w:type="dxa"/>
            <w:tcBorders>
              <w:top w:val="nil"/>
              <w:left w:val="nil"/>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二十四、债务还本支出</w:t>
            </w:r>
          </w:p>
        </w:tc>
        <w:tc>
          <w:tcPr>
            <w:tcW w:w="607" w:type="dxa"/>
            <w:tcBorders>
              <w:top w:val="nil"/>
              <w:left w:val="nil"/>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55</w:t>
            </w:r>
          </w:p>
        </w:tc>
        <w:tc>
          <w:tcPr>
            <w:tcW w:w="1302" w:type="dxa"/>
            <w:tcBorders>
              <w:top w:val="nil"/>
              <w:left w:val="nil"/>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0.00 </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center"/>
          </w:tcPr>
          <w:p>
            <w:pPr>
              <w:spacing w:line="240" w:lineRule="exact"/>
              <w:rPr>
                <w:rFonts w:ascii="仿宋_GB2312" w:hAnsi="仿宋_GB2312" w:eastAsia="仿宋_GB2312" w:cs="仿宋_GB2312"/>
                <w:sz w:val="18"/>
                <w:szCs w:val="18"/>
              </w:rPr>
            </w:pPr>
          </w:p>
        </w:tc>
        <w:tc>
          <w:tcPr>
            <w:tcW w:w="621" w:type="dxa"/>
            <w:tcBorders>
              <w:top w:val="nil"/>
              <w:left w:val="single" w:color="auto" w:sz="4" w:space="0"/>
              <w:bottom w:val="single" w:color="auto" w:sz="4" w:space="0"/>
              <w:right w:val="single" w:color="auto" w:sz="4" w:space="0"/>
            </w:tcBorders>
            <w:vAlign w:val="center"/>
          </w:tcPr>
          <w:p>
            <w:pPr>
              <w:spacing w:line="24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25</w:t>
            </w:r>
          </w:p>
        </w:tc>
        <w:tc>
          <w:tcPr>
            <w:tcW w:w="1068" w:type="dxa"/>
            <w:tcBorders>
              <w:top w:val="nil"/>
              <w:left w:val="nil"/>
              <w:bottom w:val="single" w:color="auto" w:sz="4" w:space="0"/>
              <w:right w:val="single" w:color="auto" w:sz="4" w:space="0"/>
            </w:tcBorders>
            <w:vAlign w:val="center"/>
          </w:tcPr>
          <w:p>
            <w:pPr>
              <w:spacing w:line="200" w:lineRule="exact"/>
              <w:jc w:val="right"/>
              <w:rPr>
                <w:rFonts w:ascii="仿宋_GB2312" w:hAnsi="仿宋_GB2312" w:eastAsia="仿宋_GB2312" w:cs="仿宋_GB2312"/>
                <w:sz w:val="18"/>
                <w:szCs w:val="18"/>
              </w:rPr>
            </w:pPr>
          </w:p>
        </w:tc>
        <w:tc>
          <w:tcPr>
            <w:tcW w:w="2412" w:type="dxa"/>
            <w:tcBorders>
              <w:top w:val="nil"/>
              <w:left w:val="nil"/>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二十五、债务付息支出</w:t>
            </w:r>
          </w:p>
        </w:tc>
        <w:tc>
          <w:tcPr>
            <w:tcW w:w="607" w:type="dxa"/>
            <w:tcBorders>
              <w:top w:val="nil"/>
              <w:left w:val="nil"/>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56</w:t>
            </w:r>
          </w:p>
        </w:tc>
        <w:tc>
          <w:tcPr>
            <w:tcW w:w="1302" w:type="dxa"/>
            <w:tcBorders>
              <w:top w:val="nil"/>
              <w:left w:val="nil"/>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0.00 </w:t>
            </w:r>
          </w:p>
        </w:tc>
      </w:tr>
      <w:tr>
        <w:tblPrEx>
          <w:tblCellMar>
            <w:top w:w="0" w:type="dxa"/>
            <w:left w:w="108" w:type="dxa"/>
            <w:bottom w:w="0" w:type="dxa"/>
            <w:right w:w="108" w:type="dxa"/>
          </w:tblCellMar>
        </w:tblPrEx>
        <w:trPr>
          <w:trHeight w:val="425" w:hRule="exact"/>
          <w:jc w:val="center"/>
        </w:trPr>
        <w:tc>
          <w:tcPr>
            <w:tcW w:w="3045" w:type="dxa"/>
            <w:tcBorders>
              <w:top w:val="nil"/>
              <w:left w:val="single" w:color="auto" w:sz="4" w:space="0"/>
              <w:bottom w:val="single" w:color="auto" w:sz="4" w:space="0"/>
              <w:right w:val="single" w:color="auto" w:sz="4" w:space="0"/>
            </w:tcBorders>
            <w:vAlign w:val="center"/>
          </w:tcPr>
          <w:p>
            <w:pPr>
              <w:spacing w:line="240" w:lineRule="exact"/>
              <w:rPr>
                <w:rFonts w:ascii="仿宋_GB2312" w:hAnsi="仿宋_GB2312" w:eastAsia="仿宋_GB2312" w:cs="仿宋_GB2312"/>
                <w:sz w:val="18"/>
                <w:szCs w:val="18"/>
              </w:rPr>
            </w:pPr>
          </w:p>
        </w:tc>
        <w:tc>
          <w:tcPr>
            <w:tcW w:w="621" w:type="dxa"/>
            <w:tcBorders>
              <w:top w:val="nil"/>
              <w:left w:val="single" w:color="auto" w:sz="4" w:space="0"/>
              <w:bottom w:val="single" w:color="auto" w:sz="4" w:space="0"/>
              <w:right w:val="single" w:color="auto" w:sz="4" w:space="0"/>
            </w:tcBorders>
            <w:vAlign w:val="center"/>
          </w:tcPr>
          <w:p>
            <w:pPr>
              <w:spacing w:line="240" w:lineRule="exact"/>
              <w:jc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26</w:t>
            </w:r>
          </w:p>
        </w:tc>
        <w:tc>
          <w:tcPr>
            <w:tcW w:w="1068" w:type="dxa"/>
            <w:tcBorders>
              <w:top w:val="nil"/>
              <w:left w:val="nil"/>
              <w:bottom w:val="single" w:color="auto" w:sz="4" w:space="0"/>
              <w:right w:val="single" w:color="auto" w:sz="4" w:space="0"/>
            </w:tcBorders>
            <w:vAlign w:val="center"/>
          </w:tcPr>
          <w:p>
            <w:pPr>
              <w:spacing w:line="200" w:lineRule="exact"/>
              <w:jc w:val="right"/>
              <w:rPr>
                <w:rFonts w:ascii="仿宋_GB2312" w:hAnsi="仿宋_GB2312" w:eastAsia="仿宋_GB2312" w:cs="仿宋_GB2312"/>
                <w:sz w:val="18"/>
                <w:szCs w:val="18"/>
              </w:rPr>
            </w:pPr>
          </w:p>
        </w:tc>
        <w:tc>
          <w:tcPr>
            <w:tcW w:w="2412" w:type="dxa"/>
            <w:tcBorders>
              <w:top w:val="nil"/>
              <w:left w:val="nil"/>
              <w:bottom w:val="single" w:color="auto" w:sz="4" w:space="0"/>
              <w:right w:val="single" w:color="auto" w:sz="4" w:space="0"/>
            </w:tcBorders>
            <w:vAlign w:val="bottom"/>
          </w:tcPr>
          <w:p>
            <w:pPr>
              <w:widowControl/>
              <w:spacing w:line="22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二十六、抗疫特别国债安排的支出</w:t>
            </w:r>
          </w:p>
        </w:tc>
        <w:tc>
          <w:tcPr>
            <w:tcW w:w="607" w:type="dxa"/>
            <w:tcBorders>
              <w:top w:val="nil"/>
              <w:left w:val="nil"/>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57</w:t>
            </w:r>
          </w:p>
        </w:tc>
        <w:tc>
          <w:tcPr>
            <w:tcW w:w="1302" w:type="dxa"/>
            <w:tcBorders>
              <w:top w:val="nil"/>
              <w:left w:val="nil"/>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0.00 </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b/>
                <w:bCs/>
                <w:sz w:val="18"/>
                <w:szCs w:val="18"/>
              </w:rPr>
            </w:pPr>
            <w:r>
              <w:rPr>
                <w:rFonts w:hint="eastAsia" w:ascii="仿宋_GB2312" w:hAnsi="仿宋_GB2312" w:eastAsia="仿宋_GB2312" w:cs="仿宋_GB2312"/>
                <w:b/>
                <w:bCs/>
                <w:color w:val="000000"/>
                <w:kern w:val="0"/>
                <w:sz w:val="18"/>
                <w:szCs w:val="18"/>
              </w:rPr>
              <w:t>本年收入合计</w:t>
            </w:r>
          </w:p>
        </w:tc>
        <w:tc>
          <w:tcPr>
            <w:tcW w:w="621" w:type="dxa"/>
            <w:tcBorders>
              <w:top w:val="nil"/>
              <w:left w:val="single" w:color="auto" w:sz="4" w:space="0"/>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b/>
                <w:bCs/>
                <w:sz w:val="18"/>
                <w:szCs w:val="18"/>
              </w:rPr>
            </w:pPr>
            <w:r>
              <w:rPr>
                <w:rFonts w:hint="eastAsia" w:ascii="仿宋_GB2312" w:hAnsi="仿宋_GB2312" w:eastAsia="仿宋_GB2312" w:cs="仿宋_GB2312"/>
                <w:color w:val="000000"/>
                <w:kern w:val="0"/>
                <w:sz w:val="18"/>
                <w:szCs w:val="18"/>
              </w:rPr>
              <w:t>27</w:t>
            </w:r>
          </w:p>
        </w:tc>
        <w:tc>
          <w:tcPr>
            <w:tcW w:w="1068" w:type="dxa"/>
            <w:tcBorders>
              <w:top w:val="nil"/>
              <w:left w:val="nil"/>
              <w:bottom w:val="single" w:color="auto" w:sz="4" w:space="0"/>
              <w:right w:val="single" w:color="auto" w:sz="4" w:space="0"/>
            </w:tcBorders>
            <w:vAlign w:val="center"/>
          </w:tcPr>
          <w:p>
            <w:pPr>
              <w:widowControl/>
              <w:spacing w:line="280" w:lineRule="exact"/>
              <w:jc w:val="right"/>
              <w:textAlignment w:val="center"/>
              <w:rPr>
                <w:rFonts w:ascii="仿宋_GB2312" w:hAnsi="仿宋_GB2312" w:eastAsia="仿宋_GB2312" w:cs="仿宋_GB2312"/>
                <w:b/>
                <w:bCs/>
                <w:sz w:val="18"/>
                <w:szCs w:val="18"/>
              </w:rPr>
            </w:pPr>
            <w:r>
              <w:rPr>
                <w:rFonts w:hint="eastAsia" w:ascii="仿宋_GB2312" w:hAnsi="仿宋_GB2312" w:eastAsia="仿宋_GB2312" w:cs="仿宋_GB2312"/>
                <w:color w:val="000000"/>
                <w:kern w:val="0"/>
                <w:sz w:val="18"/>
                <w:szCs w:val="18"/>
              </w:rPr>
              <w:t xml:space="preserve">52,654.17 </w:t>
            </w:r>
          </w:p>
        </w:tc>
        <w:tc>
          <w:tcPr>
            <w:tcW w:w="2412" w:type="dxa"/>
            <w:tcBorders>
              <w:top w:val="nil"/>
              <w:left w:val="nil"/>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b/>
                <w:bCs/>
                <w:sz w:val="18"/>
                <w:szCs w:val="18"/>
              </w:rPr>
            </w:pPr>
            <w:r>
              <w:rPr>
                <w:rFonts w:hint="eastAsia" w:ascii="仿宋_GB2312" w:hAnsi="仿宋_GB2312" w:eastAsia="仿宋_GB2312" w:cs="仿宋_GB2312"/>
                <w:b/>
                <w:bCs/>
                <w:color w:val="000000"/>
                <w:kern w:val="0"/>
                <w:sz w:val="18"/>
                <w:szCs w:val="18"/>
              </w:rPr>
              <w:t>本年支出合计</w:t>
            </w:r>
          </w:p>
        </w:tc>
        <w:tc>
          <w:tcPr>
            <w:tcW w:w="607" w:type="dxa"/>
            <w:tcBorders>
              <w:top w:val="nil"/>
              <w:left w:val="nil"/>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58</w:t>
            </w:r>
          </w:p>
        </w:tc>
        <w:tc>
          <w:tcPr>
            <w:tcW w:w="1302" w:type="dxa"/>
            <w:tcBorders>
              <w:top w:val="nil"/>
              <w:left w:val="nil"/>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52,654.17 </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使用非财政拨款结余</w:t>
            </w:r>
          </w:p>
        </w:tc>
        <w:tc>
          <w:tcPr>
            <w:tcW w:w="621" w:type="dxa"/>
            <w:tcBorders>
              <w:top w:val="nil"/>
              <w:left w:val="single" w:color="auto" w:sz="4" w:space="0"/>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28</w:t>
            </w:r>
          </w:p>
        </w:tc>
        <w:tc>
          <w:tcPr>
            <w:tcW w:w="1068" w:type="dxa"/>
            <w:tcBorders>
              <w:top w:val="nil"/>
              <w:left w:val="nil"/>
              <w:bottom w:val="single" w:color="auto" w:sz="4" w:space="0"/>
              <w:right w:val="single" w:color="auto" w:sz="4" w:space="0"/>
            </w:tcBorders>
            <w:vAlign w:val="center"/>
          </w:tcPr>
          <w:p>
            <w:pPr>
              <w:widowControl/>
              <w:spacing w:line="280" w:lineRule="exact"/>
              <w:jc w:val="right"/>
              <w:textAlignment w:val="center"/>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0.00 </w:t>
            </w:r>
          </w:p>
        </w:tc>
        <w:tc>
          <w:tcPr>
            <w:tcW w:w="2412" w:type="dxa"/>
            <w:tcBorders>
              <w:top w:val="nil"/>
              <w:left w:val="nil"/>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结余分配</w:t>
            </w:r>
          </w:p>
        </w:tc>
        <w:tc>
          <w:tcPr>
            <w:tcW w:w="607" w:type="dxa"/>
            <w:tcBorders>
              <w:top w:val="nil"/>
              <w:left w:val="nil"/>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59</w:t>
            </w:r>
          </w:p>
        </w:tc>
        <w:tc>
          <w:tcPr>
            <w:tcW w:w="1302" w:type="dxa"/>
            <w:tcBorders>
              <w:top w:val="nil"/>
              <w:left w:val="nil"/>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0.00 </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年初结转和结余</w:t>
            </w:r>
          </w:p>
        </w:tc>
        <w:tc>
          <w:tcPr>
            <w:tcW w:w="621" w:type="dxa"/>
            <w:tcBorders>
              <w:top w:val="nil"/>
              <w:left w:val="single" w:color="auto" w:sz="4" w:space="0"/>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29</w:t>
            </w:r>
          </w:p>
        </w:tc>
        <w:tc>
          <w:tcPr>
            <w:tcW w:w="1068" w:type="dxa"/>
            <w:tcBorders>
              <w:top w:val="nil"/>
              <w:left w:val="nil"/>
              <w:bottom w:val="single" w:color="auto" w:sz="4" w:space="0"/>
              <w:right w:val="single" w:color="auto" w:sz="4" w:space="0"/>
            </w:tcBorders>
            <w:vAlign w:val="center"/>
          </w:tcPr>
          <w:p>
            <w:pPr>
              <w:widowControl/>
              <w:spacing w:line="280" w:lineRule="exact"/>
              <w:jc w:val="right"/>
              <w:textAlignment w:val="center"/>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0.00 </w:t>
            </w:r>
          </w:p>
        </w:tc>
        <w:tc>
          <w:tcPr>
            <w:tcW w:w="2412" w:type="dxa"/>
            <w:tcBorders>
              <w:top w:val="nil"/>
              <w:left w:val="nil"/>
              <w:bottom w:val="single" w:color="auto" w:sz="4" w:space="0"/>
              <w:right w:val="single" w:color="auto" w:sz="4" w:space="0"/>
            </w:tcBorders>
            <w:vAlign w:val="bottom"/>
          </w:tcPr>
          <w:p>
            <w:pPr>
              <w:widowControl/>
              <w:spacing w:line="280" w:lineRule="exac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年末结转和结余</w:t>
            </w:r>
          </w:p>
        </w:tc>
        <w:tc>
          <w:tcPr>
            <w:tcW w:w="607" w:type="dxa"/>
            <w:tcBorders>
              <w:top w:val="nil"/>
              <w:left w:val="nil"/>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60</w:t>
            </w:r>
          </w:p>
        </w:tc>
        <w:tc>
          <w:tcPr>
            <w:tcW w:w="1302" w:type="dxa"/>
            <w:tcBorders>
              <w:top w:val="nil"/>
              <w:left w:val="nil"/>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0.00 </w:t>
            </w:r>
          </w:p>
        </w:tc>
      </w:tr>
      <w:tr>
        <w:tblPrEx>
          <w:tblCellMar>
            <w:top w:w="0" w:type="dxa"/>
            <w:left w:w="108" w:type="dxa"/>
            <w:bottom w:w="0" w:type="dxa"/>
            <w:right w:w="108" w:type="dxa"/>
          </w:tblCellMar>
        </w:tblPrEx>
        <w:trPr>
          <w:trHeight w:val="312" w:hRule="exact"/>
          <w:jc w:val="center"/>
        </w:trPr>
        <w:tc>
          <w:tcPr>
            <w:tcW w:w="3045" w:type="dxa"/>
            <w:tcBorders>
              <w:top w:val="nil"/>
              <w:left w:val="single" w:color="auto" w:sz="4" w:space="0"/>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b/>
                <w:bCs/>
                <w:color w:val="000000"/>
                <w:kern w:val="0"/>
                <w:sz w:val="18"/>
                <w:szCs w:val="18"/>
              </w:rPr>
              <w:t>总计</w:t>
            </w:r>
          </w:p>
        </w:tc>
        <w:tc>
          <w:tcPr>
            <w:tcW w:w="621" w:type="dxa"/>
            <w:tcBorders>
              <w:top w:val="nil"/>
              <w:left w:val="single" w:color="auto" w:sz="4" w:space="0"/>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31</w:t>
            </w:r>
          </w:p>
        </w:tc>
        <w:tc>
          <w:tcPr>
            <w:tcW w:w="1068" w:type="dxa"/>
            <w:tcBorders>
              <w:top w:val="nil"/>
              <w:left w:val="nil"/>
              <w:bottom w:val="single" w:color="auto" w:sz="4" w:space="0"/>
              <w:right w:val="single" w:color="auto" w:sz="4" w:space="0"/>
            </w:tcBorders>
            <w:vAlign w:val="center"/>
          </w:tcPr>
          <w:p>
            <w:pPr>
              <w:widowControl/>
              <w:spacing w:line="280" w:lineRule="exact"/>
              <w:jc w:val="right"/>
              <w:textAlignment w:val="center"/>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52,654.17 </w:t>
            </w:r>
          </w:p>
        </w:tc>
        <w:tc>
          <w:tcPr>
            <w:tcW w:w="2412" w:type="dxa"/>
            <w:tcBorders>
              <w:top w:val="nil"/>
              <w:left w:val="nil"/>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b/>
                <w:bCs/>
                <w:color w:val="000000"/>
                <w:kern w:val="0"/>
                <w:sz w:val="18"/>
                <w:szCs w:val="18"/>
              </w:rPr>
              <w:t>总计</w:t>
            </w:r>
          </w:p>
        </w:tc>
        <w:tc>
          <w:tcPr>
            <w:tcW w:w="607" w:type="dxa"/>
            <w:tcBorders>
              <w:top w:val="nil"/>
              <w:left w:val="nil"/>
              <w:bottom w:val="single" w:color="auto" w:sz="4" w:space="0"/>
              <w:right w:val="single" w:color="auto" w:sz="4" w:space="0"/>
            </w:tcBorders>
            <w:vAlign w:val="bottom"/>
          </w:tcPr>
          <w:p>
            <w:pPr>
              <w:widowControl/>
              <w:spacing w:line="280" w:lineRule="exact"/>
              <w:jc w:val="center"/>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62</w:t>
            </w:r>
          </w:p>
        </w:tc>
        <w:tc>
          <w:tcPr>
            <w:tcW w:w="1302" w:type="dxa"/>
            <w:tcBorders>
              <w:top w:val="nil"/>
              <w:left w:val="nil"/>
              <w:bottom w:val="single" w:color="auto" w:sz="4" w:space="0"/>
              <w:right w:val="single" w:color="auto" w:sz="4" w:space="0"/>
            </w:tcBorders>
            <w:vAlign w:val="bottom"/>
          </w:tcPr>
          <w:p>
            <w:pPr>
              <w:widowControl/>
              <w:spacing w:line="280" w:lineRule="exact"/>
              <w:jc w:val="right"/>
              <w:textAlignment w:val="bottom"/>
              <w:rPr>
                <w:rFonts w:ascii="仿宋_GB2312" w:hAnsi="仿宋_GB2312" w:eastAsia="仿宋_GB2312" w:cs="仿宋_GB2312"/>
                <w:sz w:val="18"/>
                <w:szCs w:val="18"/>
              </w:rPr>
            </w:pPr>
            <w:r>
              <w:rPr>
                <w:rFonts w:hint="eastAsia" w:ascii="仿宋_GB2312" w:hAnsi="仿宋_GB2312" w:eastAsia="仿宋_GB2312" w:cs="仿宋_GB2312"/>
                <w:color w:val="000000"/>
                <w:kern w:val="0"/>
                <w:sz w:val="18"/>
                <w:szCs w:val="18"/>
              </w:rPr>
              <w:t xml:space="preserve">52,654.17 </w:t>
            </w:r>
          </w:p>
        </w:tc>
      </w:tr>
    </w:tbl>
    <w:p>
      <w:pPr>
        <w:ind w:firstLine="88" w:firstLineChars="50"/>
        <w:rPr>
          <w:rFonts w:ascii="仿宋_GB2312" w:hAnsi="仿宋_GB2312" w:eastAsia="仿宋_GB2312" w:cs="仿宋_GB2312"/>
          <w:sz w:val="18"/>
          <w:szCs w:val="18"/>
        </w:rPr>
        <w:sectPr>
          <w:pgSz w:w="11906" w:h="16838"/>
          <w:pgMar w:top="1701" w:right="1531" w:bottom="1701" w:left="1531" w:header="0" w:footer="1418" w:gutter="0"/>
          <w:cols w:space="720" w:num="1"/>
          <w:docGrid w:type="linesAndChars" w:linePitch="610" w:charSpace="-849"/>
        </w:sectPr>
      </w:pPr>
      <w:r>
        <w:rPr>
          <w:rFonts w:hint="eastAsia" w:ascii="仿宋_GB2312" w:hAnsi="仿宋_GB2312" w:eastAsia="仿宋_GB2312" w:cs="仿宋_GB2312"/>
          <w:sz w:val="18"/>
          <w:szCs w:val="18"/>
        </w:rPr>
        <w:t>注：1.本表反映部门本年度的总收支和年末结转结余情况。2.本套报表金额单位转换时可能存在尾数误差。</w:t>
      </w:r>
    </w:p>
    <w:p>
      <w:pPr>
        <w:jc w:val="center"/>
        <w:rPr>
          <w:rFonts w:ascii="方正小标宋简体" w:eastAsia="方正小标宋简体"/>
          <w:sz w:val="44"/>
          <w:szCs w:val="44"/>
        </w:rPr>
      </w:pPr>
      <w:r>
        <w:rPr>
          <w:rFonts w:hint="eastAsia" w:ascii="方正小标宋简体" w:eastAsia="方正小标宋简体"/>
          <w:sz w:val="44"/>
          <w:szCs w:val="44"/>
        </w:rPr>
        <w:t>收入决算表</w:t>
      </w:r>
    </w:p>
    <w:p>
      <w:pPr>
        <w:wordWrap w:val="0"/>
        <w:spacing w:line="400" w:lineRule="exact"/>
        <w:jc w:val="right"/>
        <w:rPr>
          <w:rFonts w:ascii="楷体_GB2312" w:eastAsia="楷体_GB2312"/>
          <w:sz w:val="28"/>
          <w:szCs w:val="28"/>
        </w:rPr>
      </w:pPr>
      <w:r>
        <w:rPr>
          <w:rFonts w:hint="eastAsia" w:ascii="楷体_GB2312" w:eastAsia="楷体_GB2312"/>
          <w:sz w:val="28"/>
          <w:szCs w:val="28"/>
        </w:rPr>
        <w:t xml:space="preserve"> 公开02表 </w:t>
      </w:r>
    </w:p>
    <w:p>
      <w:pPr>
        <w:tabs>
          <w:tab w:val="left" w:pos="13467"/>
        </w:tabs>
        <w:wordWrap w:val="0"/>
        <w:spacing w:line="400" w:lineRule="exact"/>
        <w:ind w:right="107"/>
        <w:jc w:val="right"/>
        <w:rPr>
          <w:rFonts w:ascii="楷体_GB2312" w:eastAsia="楷体_GB2312"/>
          <w:sz w:val="28"/>
          <w:szCs w:val="28"/>
        </w:rPr>
      </w:pPr>
      <w:r>
        <w:rPr>
          <w:rFonts w:hint="eastAsia" w:ascii="楷体_GB2312" w:eastAsia="楷体_GB2312"/>
          <w:sz w:val="28"/>
          <w:szCs w:val="28"/>
        </w:rPr>
        <w:t>部门：荣成市好运角旅游度假区管理委员会                                            金额单位：万元</w:t>
      </w:r>
    </w:p>
    <w:tbl>
      <w:tblPr>
        <w:tblStyle w:val="12"/>
        <w:tblW w:w="0" w:type="dxa"/>
        <w:jc w:val="center"/>
        <w:tblLayout w:type="fixed"/>
        <w:tblCellMar>
          <w:top w:w="0" w:type="dxa"/>
          <w:left w:w="108" w:type="dxa"/>
          <w:bottom w:w="0" w:type="dxa"/>
          <w:right w:w="108" w:type="dxa"/>
        </w:tblCellMar>
      </w:tblPr>
      <w:tblGrid>
        <w:gridCol w:w="1296"/>
        <w:gridCol w:w="110"/>
        <w:gridCol w:w="1630"/>
        <w:gridCol w:w="1294"/>
        <w:gridCol w:w="1517"/>
        <w:gridCol w:w="1517"/>
        <w:gridCol w:w="1517"/>
        <w:gridCol w:w="1517"/>
        <w:gridCol w:w="1517"/>
        <w:gridCol w:w="1518"/>
      </w:tblGrid>
      <w:tr>
        <w:tblPrEx>
          <w:tblCellMar>
            <w:top w:w="0" w:type="dxa"/>
            <w:left w:w="108" w:type="dxa"/>
            <w:bottom w:w="0" w:type="dxa"/>
            <w:right w:w="108" w:type="dxa"/>
          </w:tblCellMar>
        </w:tblPrEx>
        <w:trPr>
          <w:trHeight w:val="458" w:hRule="atLeast"/>
          <w:tblHeader/>
          <w:jc w:val="center"/>
        </w:trPr>
        <w:tc>
          <w:tcPr>
            <w:tcW w:w="3036"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spacing w:line="300" w:lineRule="exact"/>
              <w:jc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项       目</w:t>
            </w:r>
          </w:p>
        </w:tc>
        <w:tc>
          <w:tcPr>
            <w:tcW w:w="1294" w:type="dxa"/>
            <w:vMerge w:val="restart"/>
            <w:tcBorders>
              <w:top w:val="single" w:color="auto" w:sz="4" w:space="0"/>
              <w:left w:val="single" w:color="auto" w:sz="4" w:space="0"/>
              <w:right w:val="single" w:color="auto" w:sz="4" w:space="0"/>
            </w:tcBorders>
            <w:vAlign w:val="center"/>
          </w:tcPr>
          <w:p>
            <w:pPr>
              <w:widowControl/>
              <w:spacing w:line="300" w:lineRule="exact"/>
              <w:jc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本年收入合计</w:t>
            </w:r>
          </w:p>
        </w:tc>
        <w:tc>
          <w:tcPr>
            <w:tcW w:w="1517" w:type="dxa"/>
            <w:vMerge w:val="restart"/>
            <w:tcBorders>
              <w:top w:val="single" w:color="auto" w:sz="4" w:space="0"/>
              <w:left w:val="single" w:color="auto" w:sz="4" w:space="0"/>
              <w:right w:val="single" w:color="auto" w:sz="4" w:space="0"/>
            </w:tcBorders>
            <w:vAlign w:val="center"/>
          </w:tcPr>
          <w:p>
            <w:pPr>
              <w:widowControl/>
              <w:spacing w:line="300" w:lineRule="exact"/>
              <w:jc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财政拨款收入</w:t>
            </w:r>
          </w:p>
        </w:tc>
        <w:tc>
          <w:tcPr>
            <w:tcW w:w="1517" w:type="dxa"/>
            <w:vMerge w:val="restart"/>
            <w:tcBorders>
              <w:top w:val="single" w:color="auto" w:sz="4" w:space="0"/>
              <w:left w:val="single" w:color="auto" w:sz="4" w:space="0"/>
              <w:right w:val="single" w:color="auto" w:sz="4" w:space="0"/>
            </w:tcBorders>
            <w:vAlign w:val="center"/>
          </w:tcPr>
          <w:p>
            <w:pPr>
              <w:widowControl/>
              <w:spacing w:line="300" w:lineRule="exact"/>
              <w:jc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上级补助收入</w:t>
            </w:r>
          </w:p>
        </w:tc>
        <w:tc>
          <w:tcPr>
            <w:tcW w:w="1517" w:type="dxa"/>
            <w:vMerge w:val="restart"/>
            <w:tcBorders>
              <w:top w:val="single" w:color="auto" w:sz="4" w:space="0"/>
              <w:left w:val="single" w:color="auto" w:sz="4" w:space="0"/>
              <w:right w:val="single" w:color="auto" w:sz="4" w:space="0"/>
            </w:tcBorders>
            <w:vAlign w:val="center"/>
          </w:tcPr>
          <w:p>
            <w:pPr>
              <w:widowControl/>
              <w:spacing w:line="300" w:lineRule="exact"/>
              <w:ind w:firstLine="216" w:firstLineChars="100"/>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事业收入</w:t>
            </w:r>
          </w:p>
        </w:tc>
        <w:tc>
          <w:tcPr>
            <w:tcW w:w="1517" w:type="dxa"/>
            <w:vMerge w:val="restart"/>
            <w:tcBorders>
              <w:top w:val="single" w:color="auto" w:sz="4" w:space="0"/>
              <w:left w:val="single" w:color="auto" w:sz="4" w:space="0"/>
              <w:right w:val="single" w:color="auto" w:sz="4" w:space="0"/>
            </w:tcBorders>
            <w:vAlign w:val="center"/>
          </w:tcPr>
          <w:p>
            <w:pPr>
              <w:widowControl/>
              <w:spacing w:line="300" w:lineRule="exact"/>
              <w:jc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经营收入</w:t>
            </w:r>
          </w:p>
        </w:tc>
        <w:tc>
          <w:tcPr>
            <w:tcW w:w="1517" w:type="dxa"/>
            <w:vMerge w:val="restart"/>
            <w:tcBorders>
              <w:top w:val="single" w:color="auto" w:sz="4" w:space="0"/>
              <w:left w:val="single" w:color="auto" w:sz="4" w:space="0"/>
              <w:right w:val="single" w:color="auto" w:sz="4" w:space="0"/>
            </w:tcBorders>
            <w:vAlign w:val="center"/>
          </w:tcPr>
          <w:p>
            <w:pPr>
              <w:widowControl/>
              <w:spacing w:line="300" w:lineRule="exact"/>
              <w:ind w:left="648" w:hanging="648" w:hangingChars="300"/>
              <w:jc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 xml:space="preserve">附属单位    </w:t>
            </w:r>
          </w:p>
          <w:p>
            <w:pPr>
              <w:widowControl/>
              <w:spacing w:line="300" w:lineRule="exact"/>
              <w:ind w:left="648" w:hanging="648" w:hangingChars="300"/>
              <w:jc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上缴收入</w:t>
            </w:r>
          </w:p>
        </w:tc>
        <w:tc>
          <w:tcPr>
            <w:tcW w:w="1518" w:type="dxa"/>
            <w:vMerge w:val="restart"/>
            <w:tcBorders>
              <w:top w:val="single" w:color="auto" w:sz="4" w:space="0"/>
              <w:left w:val="single" w:color="auto" w:sz="4" w:space="0"/>
              <w:right w:val="single" w:color="auto" w:sz="4" w:space="0"/>
            </w:tcBorders>
            <w:vAlign w:val="center"/>
          </w:tcPr>
          <w:p>
            <w:pPr>
              <w:widowControl/>
              <w:spacing w:line="300" w:lineRule="exact"/>
              <w:jc w:val="center"/>
              <w:rPr>
                <w:rFonts w:ascii="仿宋_GB2312" w:hAnsi="仿宋_GB2312" w:eastAsia="仿宋_GB2312" w:cs="仿宋_GB2312"/>
                <w:kern w:val="0"/>
                <w:sz w:val="22"/>
                <w:szCs w:val="22"/>
              </w:rPr>
            </w:pPr>
            <w:r>
              <w:rPr>
                <w:rFonts w:hint="eastAsia" w:ascii="仿宋_GB2312" w:hAnsi="仿宋_GB2312" w:eastAsia="仿宋_GB2312" w:cs="仿宋_GB2312"/>
                <w:kern w:val="0"/>
                <w:sz w:val="22"/>
                <w:szCs w:val="22"/>
              </w:rPr>
              <w:t>其他收入</w:t>
            </w:r>
          </w:p>
        </w:tc>
      </w:tr>
      <w:tr>
        <w:tblPrEx>
          <w:tblCellMar>
            <w:top w:w="0" w:type="dxa"/>
            <w:left w:w="108" w:type="dxa"/>
            <w:bottom w:w="0" w:type="dxa"/>
            <w:right w:w="108" w:type="dxa"/>
          </w:tblCellMar>
        </w:tblPrEx>
        <w:trPr>
          <w:trHeight w:val="457" w:hRule="atLeast"/>
          <w:tblHeader/>
          <w:jc w:val="center"/>
        </w:trPr>
        <w:tc>
          <w:tcPr>
            <w:tcW w:w="140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widowControl/>
              <w:spacing w:line="300" w:lineRule="exact"/>
              <w:jc w:val="center"/>
              <w:rPr>
                <w:rFonts w:ascii="仿宋_GB2312" w:hAnsi="仿宋_GB2312" w:eastAsia="仿宋_GB2312" w:cs="仿宋_GB2312"/>
                <w:kern w:val="0"/>
                <w:sz w:val="20"/>
                <w:szCs w:val="20"/>
              </w:rPr>
            </w:pPr>
            <w:r>
              <w:rPr>
                <w:rFonts w:hint="eastAsia" w:ascii="仿宋_GB2312" w:hAnsi="仿宋_GB2312" w:eastAsia="仿宋_GB2312" w:cs="仿宋_GB2312"/>
                <w:kern w:val="0"/>
                <w:sz w:val="22"/>
                <w:szCs w:val="22"/>
              </w:rPr>
              <w:t>功能分类  科目编码</w:t>
            </w:r>
          </w:p>
        </w:tc>
        <w:tc>
          <w:tcPr>
            <w:tcW w:w="1630"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spacing w:line="300" w:lineRule="exact"/>
              <w:jc w:val="center"/>
              <w:rPr>
                <w:rFonts w:ascii="仿宋_GB2312" w:hAnsi="仿宋_GB2312" w:eastAsia="仿宋_GB2312" w:cs="仿宋_GB2312"/>
                <w:kern w:val="0"/>
                <w:sz w:val="20"/>
                <w:szCs w:val="20"/>
              </w:rPr>
            </w:pPr>
            <w:r>
              <w:rPr>
                <w:rFonts w:hint="eastAsia" w:ascii="仿宋_GB2312" w:hAnsi="仿宋_GB2312" w:eastAsia="仿宋_GB2312" w:cs="仿宋_GB2312"/>
                <w:kern w:val="0"/>
                <w:sz w:val="22"/>
                <w:szCs w:val="22"/>
              </w:rPr>
              <w:t>科目名称</w:t>
            </w:r>
          </w:p>
        </w:tc>
        <w:tc>
          <w:tcPr>
            <w:tcW w:w="1294" w:type="dxa"/>
            <w:vMerge w:val="continue"/>
            <w:tcBorders>
              <w:left w:val="single" w:color="auto" w:sz="4" w:space="0"/>
              <w:right w:val="single" w:color="auto" w:sz="4" w:space="0"/>
            </w:tcBorders>
            <w:vAlign w:val="center"/>
          </w:tcPr>
          <w:p>
            <w:pPr>
              <w:widowControl/>
              <w:spacing w:line="300" w:lineRule="exact"/>
              <w:jc w:val="center"/>
              <w:rPr>
                <w:rFonts w:ascii="仿宋_GB2312" w:hAnsi="仿宋_GB2312" w:eastAsia="仿宋_GB2312" w:cs="仿宋_GB2312"/>
                <w:kern w:val="0"/>
                <w:sz w:val="20"/>
                <w:szCs w:val="20"/>
              </w:rPr>
            </w:pPr>
          </w:p>
        </w:tc>
        <w:tc>
          <w:tcPr>
            <w:tcW w:w="1517" w:type="dxa"/>
            <w:vMerge w:val="continue"/>
            <w:tcBorders>
              <w:left w:val="single" w:color="auto" w:sz="4" w:space="0"/>
              <w:right w:val="single" w:color="auto" w:sz="4" w:space="0"/>
            </w:tcBorders>
            <w:vAlign w:val="center"/>
          </w:tcPr>
          <w:p>
            <w:pPr>
              <w:widowControl/>
              <w:spacing w:line="300" w:lineRule="exact"/>
              <w:jc w:val="center"/>
              <w:rPr>
                <w:rFonts w:ascii="仿宋_GB2312" w:hAnsi="仿宋_GB2312" w:eastAsia="仿宋_GB2312" w:cs="仿宋_GB2312"/>
                <w:kern w:val="0"/>
                <w:sz w:val="20"/>
                <w:szCs w:val="20"/>
              </w:rPr>
            </w:pPr>
          </w:p>
        </w:tc>
        <w:tc>
          <w:tcPr>
            <w:tcW w:w="1517" w:type="dxa"/>
            <w:vMerge w:val="continue"/>
            <w:tcBorders>
              <w:left w:val="single" w:color="auto" w:sz="4" w:space="0"/>
              <w:right w:val="single" w:color="auto" w:sz="4" w:space="0"/>
            </w:tcBorders>
            <w:vAlign w:val="center"/>
          </w:tcPr>
          <w:p>
            <w:pPr>
              <w:widowControl/>
              <w:spacing w:line="300" w:lineRule="exact"/>
              <w:jc w:val="center"/>
              <w:rPr>
                <w:rFonts w:ascii="仿宋_GB2312" w:hAnsi="仿宋_GB2312" w:eastAsia="仿宋_GB2312" w:cs="仿宋_GB2312"/>
                <w:kern w:val="0"/>
                <w:sz w:val="20"/>
                <w:szCs w:val="20"/>
              </w:rPr>
            </w:pPr>
          </w:p>
        </w:tc>
        <w:tc>
          <w:tcPr>
            <w:tcW w:w="1517" w:type="dxa"/>
            <w:vMerge w:val="continue"/>
            <w:tcBorders>
              <w:left w:val="single" w:color="auto" w:sz="4" w:space="0"/>
              <w:right w:val="single" w:color="auto" w:sz="4" w:space="0"/>
            </w:tcBorders>
            <w:vAlign w:val="center"/>
          </w:tcPr>
          <w:p>
            <w:pPr>
              <w:widowControl/>
              <w:spacing w:line="300" w:lineRule="exact"/>
              <w:ind w:firstLine="196" w:firstLineChars="100"/>
              <w:rPr>
                <w:rFonts w:ascii="仿宋_GB2312" w:hAnsi="仿宋_GB2312" w:eastAsia="仿宋_GB2312" w:cs="仿宋_GB2312"/>
                <w:kern w:val="0"/>
                <w:sz w:val="20"/>
                <w:szCs w:val="20"/>
              </w:rPr>
            </w:pPr>
          </w:p>
        </w:tc>
        <w:tc>
          <w:tcPr>
            <w:tcW w:w="1517" w:type="dxa"/>
            <w:vMerge w:val="continue"/>
            <w:tcBorders>
              <w:left w:val="single" w:color="auto" w:sz="4" w:space="0"/>
              <w:right w:val="single" w:color="auto" w:sz="4" w:space="0"/>
            </w:tcBorders>
            <w:vAlign w:val="center"/>
          </w:tcPr>
          <w:p>
            <w:pPr>
              <w:widowControl/>
              <w:spacing w:line="300" w:lineRule="exact"/>
              <w:jc w:val="center"/>
              <w:rPr>
                <w:rFonts w:ascii="仿宋_GB2312" w:hAnsi="仿宋_GB2312" w:eastAsia="仿宋_GB2312" w:cs="仿宋_GB2312"/>
                <w:kern w:val="0"/>
                <w:sz w:val="20"/>
                <w:szCs w:val="20"/>
              </w:rPr>
            </w:pPr>
          </w:p>
        </w:tc>
        <w:tc>
          <w:tcPr>
            <w:tcW w:w="1517" w:type="dxa"/>
            <w:vMerge w:val="continue"/>
            <w:tcBorders>
              <w:left w:val="single" w:color="auto" w:sz="4" w:space="0"/>
              <w:right w:val="single" w:color="auto" w:sz="4" w:space="0"/>
            </w:tcBorders>
            <w:vAlign w:val="center"/>
          </w:tcPr>
          <w:p>
            <w:pPr>
              <w:widowControl/>
              <w:spacing w:line="300" w:lineRule="exact"/>
              <w:ind w:left="588" w:hanging="588" w:hangingChars="300"/>
              <w:jc w:val="center"/>
              <w:rPr>
                <w:rFonts w:ascii="仿宋_GB2312" w:hAnsi="仿宋_GB2312" w:eastAsia="仿宋_GB2312" w:cs="仿宋_GB2312"/>
                <w:kern w:val="0"/>
                <w:sz w:val="20"/>
                <w:szCs w:val="20"/>
              </w:rPr>
            </w:pPr>
          </w:p>
        </w:tc>
        <w:tc>
          <w:tcPr>
            <w:tcW w:w="1518" w:type="dxa"/>
            <w:vMerge w:val="continue"/>
            <w:tcBorders>
              <w:left w:val="single" w:color="auto" w:sz="4" w:space="0"/>
              <w:right w:val="single" w:color="auto" w:sz="4" w:space="0"/>
            </w:tcBorders>
            <w:vAlign w:val="center"/>
          </w:tcPr>
          <w:p>
            <w:pPr>
              <w:widowControl/>
              <w:spacing w:line="300" w:lineRule="exact"/>
              <w:jc w:val="center"/>
              <w:rPr>
                <w:rFonts w:ascii="仿宋_GB2312" w:hAnsi="仿宋_GB2312" w:eastAsia="仿宋_GB2312" w:cs="仿宋_GB2312"/>
                <w:kern w:val="0"/>
                <w:sz w:val="20"/>
                <w:szCs w:val="20"/>
              </w:rPr>
            </w:pPr>
          </w:p>
        </w:tc>
      </w:tr>
      <w:tr>
        <w:tblPrEx>
          <w:tblCellMar>
            <w:top w:w="0" w:type="dxa"/>
            <w:left w:w="108" w:type="dxa"/>
            <w:bottom w:w="0" w:type="dxa"/>
            <w:right w:w="108" w:type="dxa"/>
          </w:tblCellMar>
        </w:tblPrEx>
        <w:trPr>
          <w:trHeight w:val="397" w:hRule="atLeast"/>
          <w:tblHeader/>
          <w:jc w:val="center"/>
        </w:trPr>
        <w:tc>
          <w:tcPr>
            <w:tcW w:w="3036"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spacing w:line="300" w:lineRule="exact"/>
              <w:jc w:val="center"/>
              <w:rPr>
                <w:rFonts w:ascii="仿宋_GB2312" w:hAnsi="仿宋_GB2312" w:eastAsia="仿宋_GB2312" w:cs="仿宋_GB2312"/>
                <w:kern w:val="0"/>
                <w:sz w:val="20"/>
                <w:szCs w:val="20"/>
              </w:rPr>
            </w:pPr>
            <w:r>
              <w:rPr>
                <w:rFonts w:hint="eastAsia" w:ascii="仿宋_GB2312" w:hAnsi="仿宋_GB2312" w:eastAsia="仿宋_GB2312" w:cs="仿宋_GB2312"/>
                <w:kern w:val="0"/>
                <w:sz w:val="20"/>
                <w:szCs w:val="20"/>
              </w:rPr>
              <w:t>栏 次</w:t>
            </w:r>
          </w:p>
        </w:tc>
        <w:tc>
          <w:tcPr>
            <w:tcW w:w="1294"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仿宋_GB2312" w:eastAsia="仿宋_GB2312" w:cs="仿宋_GB2312"/>
                <w:kern w:val="0"/>
                <w:sz w:val="20"/>
                <w:szCs w:val="20"/>
              </w:rPr>
            </w:pPr>
            <w:r>
              <w:rPr>
                <w:rFonts w:hint="eastAsia" w:ascii="仿宋_GB2312" w:hAnsi="仿宋_GB2312" w:eastAsia="仿宋_GB2312" w:cs="仿宋_GB2312"/>
                <w:kern w:val="0"/>
                <w:sz w:val="20"/>
                <w:szCs w:val="20"/>
              </w:rPr>
              <w:t>1</w:t>
            </w:r>
          </w:p>
        </w:tc>
        <w:tc>
          <w:tcPr>
            <w:tcW w:w="15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仿宋_GB2312" w:eastAsia="仿宋_GB2312" w:cs="仿宋_GB2312"/>
                <w:kern w:val="0"/>
                <w:sz w:val="20"/>
                <w:szCs w:val="20"/>
              </w:rPr>
            </w:pPr>
            <w:r>
              <w:rPr>
                <w:rFonts w:hint="eastAsia" w:ascii="仿宋_GB2312" w:hAnsi="仿宋_GB2312" w:eastAsia="仿宋_GB2312" w:cs="仿宋_GB2312"/>
                <w:kern w:val="0"/>
                <w:sz w:val="20"/>
                <w:szCs w:val="20"/>
              </w:rPr>
              <w:t>2</w:t>
            </w:r>
          </w:p>
        </w:tc>
        <w:tc>
          <w:tcPr>
            <w:tcW w:w="15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仿宋_GB2312" w:eastAsia="仿宋_GB2312" w:cs="仿宋_GB2312"/>
                <w:kern w:val="0"/>
                <w:sz w:val="20"/>
                <w:szCs w:val="20"/>
              </w:rPr>
            </w:pPr>
            <w:r>
              <w:rPr>
                <w:rFonts w:hint="eastAsia" w:ascii="仿宋_GB2312" w:hAnsi="仿宋_GB2312" w:eastAsia="仿宋_GB2312" w:cs="仿宋_GB2312"/>
                <w:kern w:val="0"/>
                <w:sz w:val="20"/>
                <w:szCs w:val="20"/>
              </w:rPr>
              <w:t>3</w:t>
            </w:r>
          </w:p>
        </w:tc>
        <w:tc>
          <w:tcPr>
            <w:tcW w:w="15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仿宋_GB2312" w:eastAsia="仿宋_GB2312" w:cs="仿宋_GB2312"/>
                <w:kern w:val="0"/>
                <w:sz w:val="20"/>
                <w:szCs w:val="20"/>
              </w:rPr>
            </w:pPr>
            <w:r>
              <w:rPr>
                <w:rFonts w:hint="eastAsia" w:ascii="仿宋_GB2312" w:hAnsi="仿宋_GB2312" w:eastAsia="仿宋_GB2312" w:cs="仿宋_GB2312"/>
                <w:kern w:val="0"/>
                <w:sz w:val="20"/>
                <w:szCs w:val="20"/>
              </w:rPr>
              <w:t>4</w:t>
            </w:r>
          </w:p>
        </w:tc>
        <w:tc>
          <w:tcPr>
            <w:tcW w:w="1517" w:type="dxa"/>
            <w:tcBorders>
              <w:top w:val="single" w:color="auto" w:sz="4" w:space="0"/>
              <w:left w:val="single" w:color="auto" w:sz="4" w:space="0"/>
              <w:bottom w:val="single" w:color="auto" w:sz="4" w:space="0"/>
              <w:right w:val="single" w:color="auto" w:sz="4" w:space="0"/>
            </w:tcBorders>
            <w:vAlign w:val="center"/>
          </w:tcPr>
          <w:p>
            <w:pPr>
              <w:spacing w:line="300" w:lineRule="exact"/>
              <w:jc w:val="center"/>
              <w:rPr>
                <w:rFonts w:ascii="仿宋_GB2312" w:hAnsi="仿宋_GB2312" w:eastAsia="仿宋_GB2312" w:cs="仿宋_GB2312"/>
                <w:kern w:val="0"/>
                <w:sz w:val="20"/>
                <w:szCs w:val="20"/>
              </w:rPr>
            </w:pPr>
            <w:r>
              <w:rPr>
                <w:rFonts w:hint="eastAsia" w:ascii="仿宋_GB2312" w:hAnsi="仿宋_GB2312" w:eastAsia="仿宋_GB2312" w:cs="仿宋_GB2312"/>
                <w:kern w:val="0"/>
                <w:sz w:val="20"/>
                <w:szCs w:val="20"/>
              </w:rPr>
              <w:t>5</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仿宋_GB2312" w:eastAsia="仿宋_GB2312" w:cs="仿宋_GB2312"/>
                <w:kern w:val="0"/>
                <w:sz w:val="20"/>
                <w:szCs w:val="20"/>
              </w:rPr>
            </w:pPr>
            <w:r>
              <w:rPr>
                <w:rFonts w:hint="eastAsia" w:ascii="仿宋_GB2312" w:hAnsi="仿宋_GB2312" w:eastAsia="仿宋_GB2312" w:cs="仿宋_GB2312"/>
                <w:kern w:val="0"/>
                <w:sz w:val="20"/>
                <w:szCs w:val="20"/>
              </w:rPr>
              <w:t>6</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仿宋_GB2312" w:eastAsia="仿宋_GB2312" w:cs="仿宋_GB2312"/>
                <w:kern w:val="0"/>
                <w:sz w:val="20"/>
                <w:szCs w:val="20"/>
              </w:rPr>
            </w:pPr>
            <w:r>
              <w:rPr>
                <w:rFonts w:hint="eastAsia" w:ascii="仿宋_GB2312" w:hAnsi="仿宋_GB2312" w:eastAsia="仿宋_GB2312" w:cs="仿宋_GB2312"/>
                <w:kern w:val="0"/>
                <w:sz w:val="20"/>
                <w:szCs w:val="20"/>
              </w:rPr>
              <w:t>7</w:t>
            </w:r>
          </w:p>
        </w:tc>
      </w:tr>
      <w:tr>
        <w:tblPrEx>
          <w:tblCellMar>
            <w:top w:w="0" w:type="dxa"/>
            <w:left w:w="108" w:type="dxa"/>
            <w:bottom w:w="0" w:type="dxa"/>
            <w:right w:w="108" w:type="dxa"/>
          </w:tblCellMar>
        </w:tblPrEx>
        <w:trPr>
          <w:trHeight w:val="397" w:hRule="exact"/>
          <w:tblHeader/>
          <w:jc w:val="center"/>
        </w:trPr>
        <w:tc>
          <w:tcPr>
            <w:tcW w:w="3036"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spacing w:line="300" w:lineRule="exact"/>
              <w:jc w:val="center"/>
              <w:rPr>
                <w:rFonts w:ascii="仿宋_GB2312" w:hAnsi="仿宋_GB2312" w:eastAsia="仿宋_GB2312" w:cs="仿宋_GB2312"/>
                <w:kern w:val="0"/>
                <w:sz w:val="20"/>
                <w:szCs w:val="20"/>
              </w:rPr>
            </w:pPr>
            <w:r>
              <w:rPr>
                <w:rFonts w:hint="eastAsia" w:ascii="仿宋_GB2312" w:hAnsi="仿宋_GB2312" w:eastAsia="仿宋_GB2312" w:cs="仿宋_GB2312"/>
                <w:kern w:val="0"/>
                <w:sz w:val="20"/>
                <w:szCs w:val="20"/>
              </w:rPr>
              <w:t>合 计</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52,654.17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52,654.17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w:t>
            </w:r>
          </w:p>
        </w:tc>
        <w:tc>
          <w:tcPr>
            <w:tcW w:w="174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一般公共服务支出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4,784.62</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4,784.62</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人大事务</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23.55</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23.55</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2010101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23.55</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23.55</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20103</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政府办公厅（室）及相关机构事务</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3,160.34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3,160.34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2010301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3,137.34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3,137.34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2010303</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机关服务</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20104</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发展与改革事务</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235.55</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235.55</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2010401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235.55</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235.55</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20106</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财政事务</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455.20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455.20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2010601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447.20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447.20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2010699</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其他财政事务支出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8.00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8.00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20107</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税收事务</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2010799</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其他税收事务支出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20111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纪检监察事务</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26.80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26.80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2011101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26.80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26.80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20113</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商贸事务</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329.98</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329.98</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2011308</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招商引资</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329.98</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329.98</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20129</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群众团体事务</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16.41</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16.41</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2012901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16.41</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16.41</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20131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党委办公厅（室）及相关机构事务</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391.77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391.77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2013101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391.77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391.77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20132</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组织事务</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64.08</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64.08</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2013201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52.37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52.37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2013299</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其他组织事务支出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11.72</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11.72</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20133</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宣传事务</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51.00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51.00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2013399</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其他宣传事务支出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51.00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51.00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20199</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其他一般公共服务支出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24.94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24.94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2019999</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其他一般公共服务支出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24.94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24.94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204</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公共安全支出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386.71</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386.71</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20402</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公安</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358.87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358.87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2040201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281.24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281.24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2040220</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执法办案</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2040299</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其他公安支出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57.63</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57.63</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20499</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其他公共安全支出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27.83</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27.83</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2049901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其他公共安全支出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27.83</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27.83</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205</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教育支出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414.20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414.20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20502</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普通教育</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414.20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414.20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2050202</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小学教育</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47.50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47.50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2050203</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初中教育</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180.00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180.00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2050204</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高中教育</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186.70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186.70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207</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文化旅游体育与传媒支出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625.28</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625.28</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20701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文化和旅游</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625.28</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625.28</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2070101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126.12</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126.12</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2070113</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旅游宣传</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66.67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66.67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2070199</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其他文化和旅游支出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432.49</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432.49</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208</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社会保障和就业支出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246.24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246.24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20801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人力资源和社会保障管理事务</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194.07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194.07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2080101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194.07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194.07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20808</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抚恤</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28.43</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28.43</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2080899</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其他优抚支出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28.43</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28.43</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20899</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其他社会保障和就业支出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23.74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23.74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2089901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其他社会保障和就业支出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23.74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23.74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210</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卫生健康支出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420.28</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420.28</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21003</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基层医疗卫生机构</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109.50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109.50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2100302</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乡镇卫生院</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109.50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109.50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21007</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计划生育事务</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144.30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144.30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2100716</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计划生育机构</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144.30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144.30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21011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行政事业单位医疗</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166.48</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166.48</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2101101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行政单位医疗</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91.44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91.44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2101102</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事业单位医疗</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70.66</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70.66</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2101199</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其他行政事业单位医疗支出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4.38</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4.38</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节能环保支出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149.95</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149.95</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21101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环境保护管理事务</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2.74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2.74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2110101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2.74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2.74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21103</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污染防治</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114.72</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114.72</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2110302</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水体</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88.74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88.74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2110399</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其他污染防治支出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25.98</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25.98</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21104</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自然生态保护</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32.49</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32.49</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2110404</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生物及物种资源保护</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32.49</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32.49</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城乡社区支出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43,215.37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43,215.37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城乡社区管理事务</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405.22</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405.22</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2120101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171.61</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171.61</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2120104</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城管执法</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233.61</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233.61</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21203</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城乡社区公共设施</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2120399</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其他城乡社区公共设施支出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21205</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城乡社区环境卫生</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564.57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564.57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2120501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城乡社区环境卫生</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564.57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564.57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21208</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国有土地使用权出让收入安排的支出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36,760.66</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36,760.66</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2120802</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土地开发支出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36,760.66</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36,760.66</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21213</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城市基础设施配套费安排的支出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5,384.91</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5,384.91</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2121301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城市公共设施</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5,384.91</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5,384.91</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213</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农林水支出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940.13</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940.13</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21301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农业农村</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451.36</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451.36</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2130101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451.36</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451.36</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21302</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林业和草原</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10.34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10.34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2130201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10.34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10.34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21303</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水利</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16.75</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16.75</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2130301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16.75</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16.75</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21305</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扶贫</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418.50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418.50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2130599</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其他扶贫支出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418.50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418.50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21307</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农村综合改革</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43.18</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43.18</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2130705</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对村民委员会和村党支部的补助</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43.18</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43.18</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214</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交通运输支出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14.41</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14.41</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21401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公路水路运输</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14.41</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14.41</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2140106</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公路养护</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14.41</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14.41</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220</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自然资源海洋气象等支出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965.77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965.77</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22001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自然资源事务</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925.72</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925.72</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2200120</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海域与海岛管理</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925.72</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925.72</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22099</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其他自然资源海洋气象等支出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40.04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40.04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2209901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其他自然资源海洋气象等支出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40.04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40.04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住房保障支出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338.03</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338.03</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22102</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住房改革支出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338.03</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338.03</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2210201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住房公积金</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338.03</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338.03</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224</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灾害防治及应急管理支出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153.20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153.20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22401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应急管理事务</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80.76</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80.76</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2240107</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安全生产基础</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0.96</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0.96</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2240199</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其他应急管理支出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79.80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79.80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22402</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消防事务</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72.44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72.44</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2240201</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62.15</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62.15</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296"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2240299</w:t>
            </w:r>
          </w:p>
        </w:tc>
        <w:tc>
          <w:tcPr>
            <w:tcW w:w="1740" w:type="dxa"/>
            <w:gridSpan w:val="2"/>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其他消防事务支出</w:t>
            </w:r>
          </w:p>
        </w:tc>
        <w:tc>
          <w:tcPr>
            <w:tcW w:w="1294"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10.29</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10.29</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7"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518"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bl>
    <w:p>
      <w:pPr>
        <w:rPr>
          <w:rFonts w:ascii="仿宋_GB2312" w:hAnsi="宋体" w:eastAsia="仿宋_GB2312"/>
          <w:sz w:val="20"/>
          <w:szCs w:val="20"/>
        </w:rPr>
      </w:pPr>
      <w:r>
        <w:rPr>
          <w:rFonts w:hint="eastAsia" w:ascii="仿宋_GB2312" w:hAnsi="宋体" w:eastAsia="仿宋_GB2312"/>
          <w:sz w:val="20"/>
          <w:szCs w:val="20"/>
        </w:rPr>
        <w:t>注：1.本表反映部门本年度取得的各项收入情况。2.本套报表金额单位转换时可能存在尾数误差。</w:t>
      </w:r>
    </w:p>
    <w:p>
      <w:pPr>
        <w:ind w:firstLine="108" w:firstLineChars="50"/>
        <w:rPr>
          <w:rFonts w:ascii="仿宋_GB2312" w:hAnsi="宋体" w:eastAsia="仿宋_GB2312"/>
          <w:sz w:val="22"/>
          <w:szCs w:val="22"/>
        </w:rPr>
      </w:pPr>
    </w:p>
    <w:p>
      <w:pPr>
        <w:ind w:firstLine="108" w:firstLineChars="50"/>
        <w:rPr>
          <w:rFonts w:ascii="仿宋_GB2312" w:hAnsi="宋体" w:eastAsia="仿宋_GB2312"/>
          <w:sz w:val="22"/>
          <w:szCs w:val="22"/>
        </w:rPr>
      </w:pPr>
    </w:p>
    <w:p>
      <w:pPr>
        <w:rPr>
          <w:rFonts w:ascii="仿宋_GB2312" w:hAnsi="宋体" w:eastAsia="仿宋_GB2312"/>
          <w:sz w:val="22"/>
          <w:szCs w:val="22"/>
        </w:rPr>
      </w:pPr>
    </w:p>
    <w:p>
      <w:pPr>
        <w:jc w:val="center"/>
        <w:rPr>
          <w:rFonts w:ascii="方正小标宋简体" w:eastAsia="方正小标宋简体"/>
          <w:sz w:val="44"/>
          <w:szCs w:val="44"/>
        </w:rPr>
      </w:pPr>
      <w:r>
        <w:rPr>
          <w:rFonts w:hint="eastAsia" w:ascii="方正小标宋简体" w:eastAsia="方正小标宋简体"/>
          <w:sz w:val="44"/>
          <w:szCs w:val="44"/>
        </w:rPr>
        <w:t>支出决算表</w:t>
      </w:r>
    </w:p>
    <w:p>
      <w:pPr>
        <w:spacing w:line="400" w:lineRule="exact"/>
        <w:jc w:val="right"/>
        <w:rPr>
          <w:rFonts w:ascii="楷体_GB2312" w:eastAsia="楷体_GB2312"/>
          <w:sz w:val="28"/>
          <w:szCs w:val="28"/>
        </w:rPr>
      </w:pPr>
      <w:r>
        <w:rPr>
          <w:rFonts w:hint="eastAsia" w:ascii="楷体_GB2312" w:eastAsia="楷体_GB2312"/>
          <w:sz w:val="28"/>
          <w:szCs w:val="28"/>
        </w:rPr>
        <w:t xml:space="preserve">                                                                                   公开03表</w:t>
      </w:r>
    </w:p>
    <w:p>
      <w:pPr>
        <w:wordWrap w:val="0"/>
        <w:spacing w:line="400" w:lineRule="exact"/>
        <w:ind w:firstLine="138" w:firstLineChars="50"/>
        <w:rPr>
          <w:rFonts w:ascii="楷体_GB2312" w:eastAsia="楷体_GB2312"/>
          <w:sz w:val="28"/>
          <w:szCs w:val="28"/>
        </w:rPr>
      </w:pPr>
      <w:r>
        <w:rPr>
          <w:rFonts w:hint="eastAsia" w:ascii="楷体_GB2312" w:eastAsia="楷体_GB2312"/>
          <w:sz w:val="28"/>
          <w:szCs w:val="28"/>
        </w:rPr>
        <w:t>部门：荣成市好运角旅游度假区管理委员会                                            金额单位：万元</w:t>
      </w:r>
    </w:p>
    <w:tbl>
      <w:tblPr>
        <w:tblStyle w:val="12"/>
        <w:tblW w:w="0" w:type="auto"/>
        <w:jc w:val="center"/>
        <w:tblLayout w:type="fixed"/>
        <w:tblCellMar>
          <w:top w:w="0" w:type="dxa"/>
          <w:left w:w="108" w:type="dxa"/>
          <w:bottom w:w="0" w:type="dxa"/>
          <w:right w:w="108" w:type="dxa"/>
        </w:tblCellMar>
      </w:tblPr>
      <w:tblGrid>
        <w:gridCol w:w="1344"/>
        <w:gridCol w:w="57"/>
        <w:gridCol w:w="1637"/>
        <w:gridCol w:w="1526"/>
        <w:gridCol w:w="1763"/>
        <w:gridCol w:w="1763"/>
        <w:gridCol w:w="1762"/>
        <w:gridCol w:w="1763"/>
        <w:gridCol w:w="1763"/>
      </w:tblGrid>
      <w:tr>
        <w:trPr>
          <w:trHeight w:val="458" w:hRule="atLeast"/>
          <w:tblHeader/>
          <w:jc w:val="center"/>
        </w:trPr>
        <w:tc>
          <w:tcPr>
            <w:tcW w:w="3038" w:type="dxa"/>
            <w:gridSpan w:val="3"/>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1526" w:type="dxa"/>
            <w:vMerge w:val="restart"/>
            <w:tcBorders>
              <w:top w:val="single" w:color="auto" w:sz="4" w:space="0"/>
              <w:left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本年支出合计</w:t>
            </w:r>
          </w:p>
        </w:tc>
        <w:tc>
          <w:tcPr>
            <w:tcW w:w="1763" w:type="dxa"/>
            <w:vMerge w:val="restart"/>
            <w:tcBorders>
              <w:top w:val="single" w:color="auto" w:sz="4" w:space="0"/>
              <w:left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基本支出</w:t>
            </w:r>
          </w:p>
        </w:tc>
        <w:tc>
          <w:tcPr>
            <w:tcW w:w="1763" w:type="dxa"/>
            <w:vMerge w:val="restart"/>
            <w:tcBorders>
              <w:top w:val="single" w:color="auto" w:sz="4" w:space="0"/>
              <w:left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项目支出</w:t>
            </w:r>
          </w:p>
        </w:tc>
        <w:tc>
          <w:tcPr>
            <w:tcW w:w="1762" w:type="dxa"/>
            <w:vMerge w:val="restart"/>
            <w:tcBorders>
              <w:top w:val="single" w:color="auto" w:sz="4" w:space="0"/>
              <w:left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上缴上级支出</w:t>
            </w:r>
          </w:p>
        </w:tc>
        <w:tc>
          <w:tcPr>
            <w:tcW w:w="1763" w:type="dxa"/>
            <w:vMerge w:val="restart"/>
            <w:tcBorders>
              <w:top w:val="single" w:color="auto" w:sz="4" w:space="0"/>
              <w:left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 xml:space="preserve">经营支出    </w:t>
            </w:r>
          </w:p>
        </w:tc>
        <w:tc>
          <w:tcPr>
            <w:tcW w:w="1763" w:type="dxa"/>
            <w:vMerge w:val="restart"/>
            <w:tcBorders>
              <w:top w:val="single" w:color="auto" w:sz="4" w:space="0"/>
              <w:left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对附属单位</w:t>
            </w:r>
          </w:p>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补助支出</w:t>
            </w:r>
          </w:p>
        </w:tc>
      </w:tr>
      <w:tr>
        <w:tblPrEx>
          <w:tblCellMar>
            <w:top w:w="0" w:type="dxa"/>
            <w:left w:w="108" w:type="dxa"/>
            <w:bottom w:w="0" w:type="dxa"/>
            <w:right w:w="108" w:type="dxa"/>
          </w:tblCellMar>
        </w:tblPrEx>
        <w:trPr>
          <w:trHeight w:val="457" w:hRule="atLeast"/>
          <w:tblHeader/>
          <w:jc w:val="center"/>
        </w:trPr>
        <w:tc>
          <w:tcPr>
            <w:tcW w:w="140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功能分类 科目编码</w:t>
            </w:r>
          </w:p>
        </w:tc>
        <w:tc>
          <w:tcPr>
            <w:tcW w:w="1637"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1526" w:type="dxa"/>
            <w:vMerge w:val="continue"/>
            <w:tcBorders>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p>
        </w:tc>
        <w:tc>
          <w:tcPr>
            <w:tcW w:w="1763" w:type="dxa"/>
            <w:vMerge w:val="continue"/>
            <w:tcBorders>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p>
        </w:tc>
        <w:tc>
          <w:tcPr>
            <w:tcW w:w="1763" w:type="dxa"/>
            <w:vMerge w:val="continue"/>
            <w:tcBorders>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p>
        </w:tc>
        <w:tc>
          <w:tcPr>
            <w:tcW w:w="1762" w:type="dxa"/>
            <w:vMerge w:val="continue"/>
            <w:tcBorders>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p>
        </w:tc>
        <w:tc>
          <w:tcPr>
            <w:tcW w:w="1763" w:type="dxa"/>
            <w:vMerge w:val="continue"/>
            <w:tcBorders>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p>
        </w:tc>
        <w:tc>
          <w:tcPr>
            <w:tcW w:w="1763" w:type="dxa"/>
            <w:vMerge w:val="continue"/>
            <w:tcBorders>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406" w:hRule="atLeast"/>
          <w:tblHeader/>
          <w:jc w:val="center"/>
        </w:trPr>
        <w:tc>
          <w:tcPr>
            <w:tcW w:w="3038" w:type="dxa"/>
            <w:gridSpan w:val="3"/>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1526" w:type="dxa"/>
            <w:tcBorders>
              <w:top w:val="single" w:color="auto" w:sz="4" w:space="0"/>
              <w:left w:val="nil"/>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763" w:type="dxa"/>
            <w:tcBorders>
              <w:top w:val="single" w:color="auto" w:sz="4" w:space="0"/>
              <w:left w:val="nil"/>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763" w:type="dxa"/>
            <w:tcBorders>
              <w:top w:val="single" w:color="auto" w:sz="4" w:space="0"/>
              <w:left w:val="nil"/>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762" w:type="dxa"/>
            <w:tcBorders>
              <w:top w:val="single" w:color="auto" w:sz="4" w:space="0"/>
              <w:left w:val="nil"/>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763" w:type="dxa"/>
            <w:tcBorders>
              <w:top w:val="single" w:color="auto" w:sz="4" w:space="0"/>
              <w:left w:val="nil"/>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1763" w:type="dxa"/>
            <w:tcBorders>
              <w:top w:val="single" w:color="auto" w:sz="4" w:space="0"/>
              <w:left w:val="nil"/>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r>
      <w:tr>
        <w:tblPrEx>
          <w:tblCellMar>
            <w:top w:w="0" w:type="dxa"/>
            <w:left w:w="108" w:type="dxa"/>
            <w:bottom w:w="0" w:type="dxa"/>
            <w:right w:w="108" w:type="dxa"/>
          </w:tblCellMar>
        </w:tblPrEx>
        <w:trPr>
          <w:trHeight w:val="454" w:hRule="atLeast"/>
          <w:tblHeader/>
          <w:jc w:val="center"/>
        </w:trPr>
        <w:tc>
          <w:tcPr>
            <w:tcW w:w="3038" w:type="dxa"/>
            <w:gridSpan w:val="3"/>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1526" w:type="dxa"/>
            <w:tcBorders>
              <w:top w:val="single" w:color="auto" w:sz="4" w:space="0"/>
              <w:left w:val="nil"/>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52,654.17</w:t>
            </w:r>
          </w:p>
        </w:tc>
        <w:tc>
          <w:tcPr>
            <w:tcW w:w="1763" w:type="dxa"/>
            <w:tcBorders>
              <w:top w:val="single" w:color="auto" w:sz="4" w:space="0"/>
              <w:left w:val="nil"/>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6,657.50</w:t>
            </w:r>
          </w:p>
        </w:tc>
        <w:tc>
          <w:tcPr>
            <w:tcW w:w="1763" w:type="dxa"/>
            <w:tcBorders>
              <w:top w:val="single" w:color="auto" w:sz="4" w:space="0"/>
              <w:left w:val="nil"/>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45,996.67</w:t>
            </w:r>
          </w:p>
        </w:tc>
        <w:tc>
          <w:tcPr>
            <w:tcW w:w="1762" w:type="dxa"/>
            <w:tcBorders>
              <w:top w:val="single" w:color="auto" w:sz="4" w:space="0"/>
              <w:left w:val="nil"/>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nil"/>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nil"/>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一般公共服务支出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4,784.62</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4,248.88</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535.74</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人大事务</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23.55</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23.55</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2010101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23.55</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23.55</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20103</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政府办公厅（室）及相关机构事务</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3,160.34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2,980.32</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180.03</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2010301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3,137.34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2,957.32</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180.03</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2010303</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机关服务</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20104</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发展与改革事务</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235.55</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235.55</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2010401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235.55</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235.55</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20106</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财政事务</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455.20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447.20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8.00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2010601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447.20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447.20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2010699</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其他财政事务支出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8.00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8.00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20107</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税收事务</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2010799</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其他税收事务支出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20111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纪检监察事务</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26.80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26.80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2011101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26.80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26.80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20113</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商贸事务</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329.98</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49.98</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280.00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2011308</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招商引资</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329.98</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49.98</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280.00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20129</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群众团体事务</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16.41</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16.41</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2012901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16.41</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16.41</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20131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党委办公厅（室）及相关机构事务</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391.77</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391.77</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2013101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391.77</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391.77</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20132</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组织事务</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64.08</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52.37</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11.72</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2013201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52.37</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52.37</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2013299</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其他组织事务支出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11.72</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11.72</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20133</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宣传事务</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51.00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51.00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2013399</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其他宣传事务支出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51.00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51.00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20199</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其他一般公共服务支出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24.94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24.94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2019999</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其他一般公共服务支出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24.94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24.94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204</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公共安全支出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386.71</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281.24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105.47</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20402</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公安</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358.87</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281.24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77.63</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2040201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281.24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281.24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2040220</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执法办案</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2040299</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其他公安支出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57.63</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57.63</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20499</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其他公共安全支出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27.83</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27.83</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2049901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其他公共安全支出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27.83</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27.83</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205</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教育支出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414.20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414.20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20502</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普通教育</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414.20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414.20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2050202</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小学教育</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47.50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47.50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2050203</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初中教育</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180.00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180.00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2050204</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高中教育</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186.70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186.70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207</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文化旅游体育与传媒支出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625.28</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277.58</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347.70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20701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文化和旅游</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625.28</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277.58</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347.70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2070101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126.12</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126.12</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2070113</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旅游宣传</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66.67</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66.67</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2070199</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其他文化和旅游支出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432.49</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151.46</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281.03</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208</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社会保障和就业支出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246.24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213.81</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32.43</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20801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人力资源和社会保障管理事务</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194.07</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194.07</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2080101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194.07</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194.07</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20808</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抚恤</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28.43</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28.43</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2080899</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其他优抚支出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28.43</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28.43</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20899</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其他社会保障和就业支出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23.74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19.74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2089901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其他社会保障和就业支出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23.74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19.74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210</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卫生健康支出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420.28</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306.39</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113.88</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21003</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基层医疗卫生机构</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109.50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109.50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2100302</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乡镇卫生院</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109.50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109.50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21007</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计划生育事务</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144.30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144.30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2100716</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计划生育机构</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144.30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144.30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21011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行政事业单位医疗</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166.48</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162.10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4.38</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2101101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行政单位医疗</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91.44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91.44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2101102</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事业单位医疗</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70.66</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70.66</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2101199</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其他行政事业单位医疗支出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4.38</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4.38</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节能环保支出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149.95</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2.74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147.21</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21101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环境保护管理事务</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2.74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2.74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2110101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2.74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2.74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21103</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污染防治</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114.72</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114.72</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2110302</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水体</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88.74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88.74</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2110399</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其他污染防治支出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25.98</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25.98</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21104</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自然生态保护</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32.49</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32.49</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2110404</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生物及物种资源保护</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32.49</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32.49</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城乡社区支出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43,215.37</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510.38</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42,704.99</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城乡社区管理事务</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405.22</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359.40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45.83</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2120101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171.61</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171.61</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2120104</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城管执法</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233.61</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187.79</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45.83</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21203</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城乡社区公共设施</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2120399</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其他城乡社区公共设施支出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21205</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城乡社区环境卫生</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564.57</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150.98</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413.59</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2120501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城乡社区环境卫生</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564.57</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150.98</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413.59</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21208</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国有土地使用权出让收入安排的支出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36,760.66</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36,760.66</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2120802</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土地开发支出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36,760.66</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36,760.66</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21213</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城市基础设施配套费安排的支出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5,384.91</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5,384.91</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2121301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城市公共设施</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5,384.91</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5,384.91</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213</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农林水支出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940.13</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478.45</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461.68</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21301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农业农村</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451.36</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451.36</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2130101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451.36</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451.36</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21302</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林业和草原</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10.34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10.34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2130201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10.34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10.34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21303</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水利</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16.75</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16.75</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2130301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16.75</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16.75</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21305</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扶贫</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418.50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418.50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2130599</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其他扶贫支出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418.50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418.50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21307</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农村综合改革</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43.18</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43.18</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2130705</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对村民委员会和村党支部的补助</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43.18</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43.18</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214</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交通运输支出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14.41</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14.41</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21401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公路水路运输</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14.41</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14.41</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2140106</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公路养护</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14.41</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14.41</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220</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自然资源海洋气象等支出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965.77</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965.77</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22001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自然资源事务</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925.72</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925.72</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2200120</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海域与海岛管理</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925.72</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925.72</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22099</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其他自然资源海洋气象等支出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40.04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40.04</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2209901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其他自然资源海洋气象等支出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40.04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40.04</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住房保障支出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338.03</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338.03</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22102</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住房改革支出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338.03</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338.03</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2210201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住房公积金</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338.03</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338.03</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224</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灾害防治及应急管理支出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153.20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153.20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22401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应急管理事务</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80.76</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80.76</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2240107</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安全生产基础</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0.96</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0.96</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2240199</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其他应急管理支出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79.80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79.80</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22402</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消防事务</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72.44</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72.44</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2240201</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行政运行</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62.15</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62.15</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CellMar>
            <w:top w:w="0" w:type="dxa"/>
            <w:left w:w="108" w:type="dxa"/>
            <w:bottom w:w="0" w:type="dxa"/>
            <w:right w:w="108" w:type="dxa"/>
          </w:tblCellMar>
        </w:tblPrEx>
        <w:trPr>
          <w:trHeight w:val="454" w:hRule="exact"/>
          <w:jc w:val="center"/>
        </w:trPr>
        <w:tc>
          <w:tcPr>
            <w:tcW w:w="1344"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2240299</w:t>
            </w:r>
          </w:p>
        </w:tc>
        <w:tc>
          <w:tcPr>
            <w:tcW w:w="1694" w:type="dxa"/>
            <w:gridSpan w:val="2"/>
            <w:tcBorders>
              <w:top w:val="single" w:color="auto" w:sz="4" w:space="0"/>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其他消防事务支出</w:t>
            </w:r>
          </w:p>
        </w:tc>
        <w:tc>
          <w:tcPr>
            <w:tcW w:w="1526"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10.29</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10.29</w:t>
            </w:r>
          </w:p>
        </w:tc>
        <w:tc>
          <w:tcPr>
            <w:tcW w:w="1762"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c>
          <w:tcPr>
            <w:tcW w:w="1763" w:type="dxa"/>
            <w:tcBorders>
              <w:top w:val="single" w:color="auto" w:sz="4" w:space="0"/>
              <w:left w:val="single" w:color="auto" w:sz="4" w:space="0"/>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bl>
    <w:p>
      <w:pPr>
        <w:rPr>
          <w:rFonts w:ascii="仿宋_GB2312" w:hAnsi="宋体" w:eastAsia="仿宋_GB2312"/>
          <w:sz w:val="20"/>
          <w:szCs w:val="20"/>
        </w:rPr>
      </w:pPr>
      <w:r>
        <w:rPr>
          <w:rFonts w:hint="eastAsia" w:ascii="仿宋_GB2312" w:hAnsi="宋体" w:eastAsia="仿宋_GB2312"/>
          <w:sz w:val="20"/>
          <w:szCs w:val="20"/>
        </w:rPr>
        <w:t>注：1.本表反映部门本年度各项支出情况。2.本套报表金额单位转换时可能存在尾数误差。</w:t>
      </w:r>
    </w:p>
    <w:p>
      <w:pPr>
        <w:rPr>
          <w:rFonts w:ascii="仿宋_GB2312" w:hAnsi="宋体" w:eastAsia="仿宋_GB2312"/>
          <w:sz w:val="20"/>
          <w:szCs w:val="20"/>
        </w:rPr>
        <w:sectPr>
          <w:pgSz w:w="16838" w:h="11906" w:orient="landscape"/>
          <w:pgMar w:top="1531" w:right="1701" w:bottom="1531" w:left="1701" w:header="0" w:footer="1418" w:gutter="0"/>
          <w:cols w:space="720" w:num="1"/>
          <w:docGrid w:type="linesAndChars" w:linePitch="610" w:charSpace="-849"/>
        </w:sectPr>
      </w:pPr>
    </w:p>
    <w:p>
      <w:pPr>
        <w:jc w:val="center"/>
        <w:rPr>
          <w:rFonts w:ascii="方正小标宋简体" w:eastAsia="方正小标宋简体"/>
          <w:sz w:val="44"/>
          <w:szCs w:val="44"/>
        </w:rPr>
      </w:pPr>
      <w:r>
        <w:rPr>
          <w:rFonts w:hint="eastAsia" w:ascii="方正小标宋简体" w:eastAsia="方正小标宋简体"/>
          <w:sz w:val="44"/>
          <w:szCs w:val="44"/>
        </w:rPr>
        <w:t>财政拨款收入支出决算总表</w:t>
      </w:r>
    </w:p>
    <w:p>
      <w:pPr>
        <w:spacing w:line="400" w:lineRule="exact"/>
        <w:jc w:val="right"/>
        <w:rPr>
          <w:rFonts w:ascii="楷体_GB2312" w:eastAsia="楷体_GB2312"/>
          <w:sz w:val="28"/>
          <w:szCs w:val="28"/>
        </w:rPr>
      </w:pPr>
      <w:r>
        <w:rPr>
          <w:rFonts w:hint="eastAsia" w:ascii="楷体_GB2312" w:eastAsia="楷体_GB2312"/>
          <w:sz w:val="28"/>
          <w:szCs w:val="28"/>
        </w:rPr>
        <w:t xml:space="preserve">     公开04表</w:t>
      </w:r>
    </w:p>
    <w:p>
      <w:pPr>
        <w:spacing w:line="400" w:lineRule="exact"/>
        <w:jc w:val="left"/>
        <w:rPr>
          <w:rFonts w:ascii="楷体_GB2312" w:eastAsia="楷体_GB2312"/>
          <w:sz w:val="28"/>
          <w:szCs w:val="28"/>
        </w:rPr>
      </w:pPr>
      <w:r>
        <w:rPr>
          <w:rFonts w:hint="eastAsia" w:ascii="楷体_GB2312" w:eastAsia="楷体_GB2312"/>
          <w:sz w:val="28"/>
          <w:szCs w:val="28"/>
        </w:rPr>
        <w:t>部门：荣成市好运角旅游度假区管理委员会                                             金额单位：万元</w:t>
      </w:r>
    </w:p>
    <w:tbl>
      <w:tblPr>
        <w:tblStyle w:val="12"/>
        <w:tblW w:w="13546"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2657"/>
        <w:gridCol w:w="615"/>
        <w:gridCol w:w="1110"/>
        <w:gridCol w:w="2430"/>
        <w:gridCol w:w="615"/>
        <w:gridCol w:w="1440"/>
        <w:gridCol w:w="1500"/>
        <w:gridCol w:w="1560"/>
        <w:gridCol w:w="1619"/>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tblHeader/>
          <w:jc w:val="center"/>
        </w:trPr>
        <w:tc>
          <w:tcPr>
            <w:tcW w:w="4382" w:type="dxa"/>
            <w:gridSpan w:val="3"/>
            <w:tcBorders>
              <w:top w:val="single" w:color="auto" w:sz="4" w:space="0"/>
              <w:bottom w:val="single" w:color="auto" w:sz="4" w:space="0"/>
              <w:right w:val="single" w:color="auto" w:sz="4" w:space="0"/>
            </w:tcBorders>
            <w:shd w:val="clear" w:color="auto" w:fill="FFFFFF"/>
            <w:vAlign w:val="center"/>
          </w:tcPr>
          <w:p>
            <w:pPr>
              <w:widowControl/>
              <w:spacing w:line="300" w:lineRule="exact"/>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收 入</w:t>
            </w:r>
          </w:p>
        </w:tc>
        <w:tc>
          <w:tcPr>
            <w:tcW w:w="9164" w:type="dxa"/>
            <w:gridSpan w:val="6"/>
            <w:tcBorders>
              <w:top w:val="single" w:color="auto" w:sz="4" w:space="0"/>
              <w:left w:val="single" w:color="auto" w:sz="4" w:space="0"/>
              <w:bottom w:val="single" w:color="auto" w:sz="4" w:space="0"/>
            </w:tcBorders>
            <w:shd w:val="clear" w:color="auto" w:fill="FFFFFF"/>
            <w:vAlign w:val="center"/>
          </w:tcPr>
          <w:p>
            <w:pPr>
              <w:widowControl/>
              <w:spacing w:line="300" w:lineRule="exact"/>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支 出</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30" w:hRule="atLeast"/>
          <w:tblHeader/>
          <w:jc w:val="center"/>
        </w:trPr>
        <w:tc>
          <w:tcPr>
            <w:tcW w:w="2657" w:type="dxa"/>
            <w:tcBorders>
              <w:top w:val="single" w:color="auto" w:sz="4" w:space="0"/>
              <w:bottom w:val="single" w:color="auto" w:sz="4" w:space="0"/>
              <w:right w:val="single" w:color="auto" w:sz="4" w:space="0"/>
            </w:tcBorders>
            <w:shd w:val="clear" w:color="auto" w:fill="FFFFFF"/>
            <w:vAlign w:val="center"/>
          </w:tcPr>
          <w:p>
            <w:pPr>
              <w:widowControl/>
              <w:spacing w:line="300" w:lineRule="exact"/>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项   目</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spacing w:line="300" w:lineRule="exact"/>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行次</w:t>
            </w:r>
          </w:p>
        </w:tc>
        <w:tc>
          <w:tcPr>
            <w:tcW w:w="1110"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spacing w:line="300" w:lineRule="exact"/>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金额</w:t>
            </w:r>
          </w:p>
        </w:tc>
        <w:tc>
          <w:tcPr>
            <w:tcW w:w="2430"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spacing w:line="300" w:lineRule="exact"/>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项    目</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spacing w:line="300" w:lineRule="exact"/>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行次</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spacing w:line="300" w:lineRule="exact"/>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合计</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spacing w:line="300" w:lineRule="exact"/>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一般公共预算</w:t>
            </w:r>
          </w:p>
          <w:p>
            <w:pPr>
              <w:widowControl/>
              <w:spacing w:line="300" w:lineRule="exact"/>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财政拨款</w:t>
            </w:r>
          </w:p>
        </w:tc>
        <w:tc>
          <w:tcPr>
            <w:tcW w:w="1560" w:type="dxa"/>
            <w:tcBorders>
              <w:top w:val="single" w:color="auto" w:sz="4" w:space="0"/>
              <w:left w:val="single" w:color="auto" w:sz="4" w:space="0"/>
              <w:bottom w:val="single" w:color="auto" w:sz="4" w:space="0"/>
            </w:tcBorders>
            <w:shd w:val="clear" w:color="auto" w:fill="FFFFFF"/>
            <w:vAlign w:val="center"/>
          </w:tcPr>
          <w:p>
            <w:pPr>
              <w:widowControl/>
              <w:spacing w:line="300" w:lineRule="exact"/>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政府性基金</w:t>
            </w:r>
          </w:p>
          <w:p>
            <w:pPr>
              <w:widowControl/>
              <w:spacing w:line="300" w:lineRule="exact"/>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预算财政拨款</w:t>
            </w:r>
          </w:p>
        </w:tc>
        <w:tc>
          <w:tcPr>
            <w:tcW w:w="1619" w:type="dxa"/>
            <w:tcBorders>
              <w:top w:val="single" w:color="auto" w:sz="4" w:space="0"/>
              <w:left w:val="single" w:color="auto" w:sz="4" w:space="0"/>
              <w:bottom w:val="single" w:color="auto" w:sz="4" w:space="0"/>
            </w:tcBorders>
            <w:shd w:val="clear" w:color="auto" w:fill="FFFFFF"/>
          </w:tcPr>
          <w:p>
            <w:pPr>
              <w:widowControl/>
              <w:spacing w:line="300" w:lineRule="exact"/>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国有资本经营预算财政拨款</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blHeader/>
          <w:jc w:val="center"/>
        </w:trPr>
        <w:tc>
          <w:tcPr>
            <w:tcW w:w="2657" w:type="dxa"/>
            <w:tcBorders>
              <w:top w:val="single" w:color="auto" w:sz="4" w:space="0"/>
              <w:bottom w:val="single" w:color="auto" w:sz="4" w:space="0"/>
              <w:right w:val="single" w:color="auto" w:sz="4" w:space="0"/>
            </w:tcBorders>
            <w:shd w:val="clear" w:color="auto" w:fill="auto"/>
            <w:vAlign w:val="center"/>
          </w:tcPr>
          <w:p>
            <w:pPr>
              <w:widowControl/>
              <w:spacing w:line="300" w:lineRule="exact"/>
              <w:ind w:firstLine="980" w:firstLineChars="500"/>
              <w:rPr>
                <w:rFonts w:ascii="仿宋_GB2312" w:hAnsi="宋体" w:eastAsia="仿宋_GB2312" w:cs="宋体"/>
                <w:kern w:val="0"/>
                <w:sz w:val="20"/>
                <w:szCs w:val="20"/>
              </w:rPr>
            </w:pPr>
            <w:r>
              <w:rPr>
                <w:rFonts w:hint="eastAsia" w:ascii="仿宋_GB2312" w:hAnsi="宋体" w:eastAsia="仿宋_GB2312" w:cs="宋体"/>
                <w:kern w:val="0"/>
                <w:sz w:val="20"/>
                <w:szCs w:val="20"/>
              </w:rPr>
              <w:t>栏  次</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spacing w:line="300" w:lineRule="exact"/>
              <w:jc w:val="center"/>
              <w:rPr>
                <w:rFonts w:ascii="仿宋_GB2312" w:hAnsi="宋体" w:eastAsia="仿宋_GB2312" w:cs="宋体"/>
                <w:kern w:val="0"/>
                <w:sz w:val="20"/>
                <w:szCs w:val="20"/>
              </w:rPr>
            </w:pPr>
          </w:p>
        </w:tc>
        <w:tc>
          <w:tcPr>
            <w:tcW w:w="1110"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300" w:lineRule="exact"/>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1</w:t>
            </w:r>
          </w:p>
        </w:tc>
        <w:tc>
          <w:tcPr>
            <w:tcW w:w="2430"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spacing w:line="300" w:lineRule="exact"/>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栏  次</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spacing w:line="300" w:lineRule="exact"/>
              <w:jc w:val="center"/>
              <w:rPr>
                <w:rFonts w:ascii="仿宋_GB2312" w:hAnsi="宋体" w:eastAsia="仿宋_GB2312" w:cs="宋体"/>
                <w:kern w:val="0"/>
                <w:sz w:val="20"/>
                <w:szCs w:val="20"/>
              </w:rPr>
            </w:pPr>
          </w:p>
        </w:tc>
        <w:tc>
          <w:tcPr>
            <w:tcW w:w="1440"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spacing w:line="300" w:lineRule="exact"/>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2</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center"/>
          </w:tcPr>
          <w:p>
            <w:pPr>
              <w:widowControl/>
              <w:spacing w:line="300" w:lineRule="exact"/>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3</w:t>
            </w:r>
          </w:p>
        </w:tc>
        <w:tc>
          <w:tcPr>
            <w:tcW w:w="1560" w:type="dxa"/>
            <w:tcBorders>
              <w:top w:val="single" w:color="auto" w:sz="4" w:space="0"/>
              <w:left w:val="single" w:color="auto" w:sz="4" w:space="0"/>
              <w:bottom w:val="single" w:color="auto" w:sz="4" w:space="0"/>
            </w:tcBorders>
            <w:vAlign w:val="center"/>
          </w:tcPr>
          <w:p>
            <w:pPr>
              <w:widowControl/>
              <w:spacing w:line="300" w:lineRule="exact"/>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4</w:t>
            </w:r>
          </w:p>
        </w:tc>
        <w:tc>
          <w:tcPr>
            <w:tcW w:w="1619" w:type="dxa"/>
            <w:tcBorders>
              <w:top w:val="single" w:color="auto" w:sz="4" w:space="0"/>
              <w:left w:val="single" w:color="auto" w:sz="4" w:space="0"/>
              <w:bottom w:val="single" w:color="auto" w:sz="4" w:space="0"/>
            </w:tcBorders>
          </w:tcPr>
          <w:p>
            <w:pPr>
              <w:widowControl/>
              <w:spacing w:line="300" w:lineRule="exact"/>
              <w:jc w:val="center"/>
              <w:rPr>
                <w:rFonts w:ascii="仿宋_GB2312" w:hAnsi="宋体" w:eastAsia="仿宋_GB2312" w:cs="宋体"/>
                <w:kern w:val="0"/>
                <w:sz w:val="20"/>
                <w:szCs w:val="20"/>
              </w:rPr>
            </w:pPr>
            <w:r>
              <w:rPr>
                <w:rFonts w:hint="eastAsia" w:ascii="仿宋_GB2312" w:hAnsi="宋体" w:eastAsia="仿宋_GB2312" w:cs="宋体"/>
                <w:kern w:val="0"/>
                <w:sz w:val="20"/>
                <w:szCs w:val="20"/>
              </w:rPr>
              <w:t>5</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一、一般公共预算财政拨款</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10,508.60 </w:t>
            </w:r>
          </w:p>
        </w:tc>
        <w:tc>
          <w:tcPr>
            <w:tcW w:w="243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一、一般公共服务支出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33</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4,784.62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4,784.62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二、政府性基金预算财政拨款</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42,145.57 </w:t>
            </w:r>
          </w:p>
        </w:tc>
        <w:tc>
          <w:tcPr>
            <w:tcW w:w="243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二、外交支出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34</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三、国有资本经营预算财政拨款</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243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三、国防支出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35</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243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四、公共安全支出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36</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386.71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386.71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243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五、教育支出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37</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414.20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414.20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6</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243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六、科学技术支出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38</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7</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七、文化旅游体育与传媒支出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39</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625.28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625.28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8</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八、社会保障和就业支出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40</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246.24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246.24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9</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九、卫生健康支出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41</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420.28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420.28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十、节能环保支出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42</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149.95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149.95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11</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十一、城乡社区支出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43</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43,215.37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1,069.80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42,145.57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12</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十二、农林水支出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44</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940.13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940.13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13</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十三、交通运输支出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45</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14.41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14.41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14</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十四、资源勘探工业信息等支出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46</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15</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十五、商业服务业等支出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47</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16</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十六、金融支出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48</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17</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十七、援助其他地区支出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49</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18</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十八、自然资源海洋气象等支出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50</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965.77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965.77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19</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十九、住房保障支出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51</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338.03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338.03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20</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二十、粮油物资储备支出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52</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21</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二十一、国有资本经营预算支出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53</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22</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二十二、灾害防治及应急管理支出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54</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153.20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153.20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23</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二十三、其他支出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55</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24</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二十四、债务还本支出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56</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25</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二十五、债务付息支出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57</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26</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二十六、抗疫特别国债安排的支出</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58</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auto"/>
            <w:vAlign w:val="bottom"/>
          </w:tcPr>
          <w:p>
            <w:pPr>
              <w:widowControl/>
              <w:spacing w:line="240" w:lineRule="exact"/>
              <w:jc w:val="center"/>
              <w:textAlignment w:val="bottom"/>
              <w:rPr>
                <w:rFonts w:ascii="仿宋_GB2312" w:hAnsi="仿宋_GB2312" w:eastAsia="仿宋_GB2312" w:cs="仿宋_GB2312"/>
                <w:bCs/>
                <w:kern w:val="0"/>
                <w:sz w:val="20"/>
                <w:szCs w:val="20"/>
              </w:rPr>
            </w:pPr>
            <w:r>
              <w:rPr>
                <w:rFonts w:hint="eastAsia" w:ascii="仿宋_GB2312" w:hAnsi="仿宋_GB2312" w:eastAsia="仿宋_GB2312" w:cs="仿宋_GB2312"/>
                <w:b/>
                <w:bCs/>
                <w:color w:val="000000"/>
                <w:kern w:val="0"/>
                <w:sz w:val="20"/>
                <w:szCs w:val="20"/>
              </w:rPr>
              <w:t>本年收入合计</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27</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52,654.17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center"/>
              <w:textAlignment w:val="bottom"/>
              <w:rPr>
                <w:rFonts w:ascii="仿宋_GB2312" w:hAnsi="仿宋_GB2312" w:eastAsia="仿宋_GB2312" w:cs="仿宋_GB2312"/>
                <w:bCs/>
                <w:kern w:val="0"/>
                <w:sz w:val="20"/>
                <w:szCs w:val="20"/>
              </w:rPr>
            </w:pPr>
            <w:r>
              <w:rPr>
                <w:rFonts w:hint="eastAsia" w:ascii="仿宋_GB2312" w:hAnsi="仿宋_GB2312" w:eastAsia="仿宋_GB2312" w:cs="仿宋_GB2312"/>
                <w:b/>
                <w:bCs/>
                <w:color w:val="000000"/>
                <w:kern w:val="0"/>
                <w:sz w:val="20"/>
                <w:szCs w:val="20"/>
              </w:rPr>
              <w:t>本年支出合计</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59</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52,654.17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10,508.60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42,145.57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年初财政拨款结转和结余</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28</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年末财政拨款结转和结余</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60</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  一般公共预算财政拨款</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29</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61</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  政府性基金预算财政拨款</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30</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62</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  国有资本经营预算财政拨款</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31</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0.00 </w:t>
            </w:r>
          </w:p>
        </w:tc>
        <w:tc>
          <w:tcPr>
            <w:tcW w:w="243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lef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63</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97" w:hRule="atLeast"/>
          <w:jc w:val="center"/>
        </w:trPr>
        <w:tc>
          <w:tcPr>
            <w:tcW w:w="2657" w:type="dxa"/>
            <w:tcBorders>
              <w:top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b/>
                <w:bCs/>
                <w:kern w:val="0"/>
                <w:sz w:val="20"/>
                <w:szCs w:val="20"/>
              </w:rPr>
            </w:pPr>
            <w:r>
              <w:rPr>
                <w:rFonts w:hint="eastAsia" w:ascii="仿宋_GB2312" w:hAnsi="仿宋_GB2312" w:eastAsia="仿宋_GB2312" w:cs="仿宋_GB2312"/>
                <w:b/>
                <w:bCs/>
                <w:color w:val="000000"/>
                <w:kern w:val="0"/>
                <w:sz w:val="20"/>
                <w:szCs w:val="20"/>
              </w:rPr>
              <w:t>总计</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32</w:t>
            </w:r>
          </w:p>
        </w:tc>
        <w:tc>
          <w:tcPr>
            <w:tcW w:w="1110"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 xml:space="preserve">52,654.17 </w:t>
            </w:r>
          </w:p>
        </w:tc>
        <w:tc>
          <w:tcPr>
            <w:tcW w:w="243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b/>
                <w:bCs/>
                <w:kern w:val="0"/>
                <w:sz w:val="20"/>
                <w:szCs w:val="20"/>
              </w:rPr>
            </w:pPr>
            <w:r>
              <w:rPr>
                <w:rFonts w:hint="eastAsia" w:ascii="仿宋_GB2312" w:hAnsi="仿宋_GB2312" w:eastAsia="仿宋_GB2312" w:cs="仿宋_GB2312"/>
                <w:b/>
                <w:bCs/>
                <w:color w:val="000000"/>
                <w:kern w:val="0"/>
                <w:sz w:val="20"/>
                <w:szCs w:val="20"/>
              </w:rPr>
              <w:t>总计</w:t>
            </w:r>
          </w:p>
        </w:tc>
        <w:tc>
          <w:tcPr>
            <w:tcW w:w="615"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center"/>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64</w:t>
            </w:r>
          </w:p>
        </w:tc>
        <w:tc>
          <w:tcPr>
            <w:tcW w:w="144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52,654.17</w:t>
            </w:r>
          </w:p>
        </w:tc>
        <w:tc>
          <w:tcPr>
            <w:tcW w:w="1500" w:type="dxa"/>
            <w:tcBorders>
              <w:top w:val="single" w:color="auto" w:sz="4" w:space="0"/>
              <w:left w:val="single" w:color="auto" w:sz="4" w:space="0"/>
              <w:bottom w:val="single" w:color="auto" w:sz="4" w:space="0"/>
              <w:right w:val="single" w:color="auto" w:sz="4" w:space="0"/>
            </w:tcBorders>
            <w:shd w:val="clear" w:color="auto" w:fill="FFFFFF"/>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10,508.60</w:t>
            </w:r>
          </w:p>
        </w:tc>
        <w:tc>
          <w:tcPr>
            <w:tcW w:w="1560" w:type="dxa"/>
            <w:tcBorders>
              <w:top w:val="single" w:color="auto" w:sz="4" w:space="0"/>
              <w:left w:val="single" w:color="auto" w:sz="4" w:space="0"/>
              <w:bottom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0"/>
                <w:szCs w:val="20"/>
              </w:rPr>
            </w:pPr>
            <w:r>
              <w:rPr>
                <w:rFonts w:hint="eastAsia" w:ascii="仿宋_GB2312" w:hAnsi="仿宋_GB2312" w:eastAsia="仿宋_GB2312" w:cs="仿宋_GB2312"/>
                <w:color w:val="000000"/>
                <w:kern w:val="0"/>
                <w:sz w:val="20"/>
                <w:szCs w:val="20"/>
              </w:rPr>
              <w:t>42,145.57</w:t>
            </w:r>
          </w:p>
        </w:tc>
        <w:tc>
          <w:tcPr>
            <w:tcW w:w="1619" w:type="dxa"/>
            <w:tcBorders>
              <w:top w:val="single" w:color="auto" w:sz="4" w:space="0"/>
              <w:left w:val="single" w:color="auto" w:sz="4" w:space="0"/>
              <w:bottom w:val="single" w:color="auto" w:sz="4" w:space="0"/>
            </w:tcBorders>
            <w:shd w:val="clear" w:color="auto" w:fill="auto"/>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bl>
    <w:p>
      <w:pPr>
        <w:spacing w:line="240" w:lineRule="exact"/>
        <w:rPr>
          <w:rFonts w:ascii="仿宋_GB2312" w:hAnsi="宋体" w:eastAsia="仿宋_GB2312"/>
          <w:sz w:val="22"/>
          <w:szCs w:val="22"/>
        </w:rPr>
      </w:pPr>
    </w:p>
    <w:p>
      <w:pPr>
        <w:spacing w:line="240" w:lineRule="exact"/>
        <w:rPr>
          <w:rFonts w:ascii="仿宋_GB2312" w:hAnsi="宋体" w:eastAsia="仿宋_GB2312"/>
          <w:sz w:val="20"/>
          <w:szCs w:val="20"/>
        </w:rPr>
      </w:pPr>
      <w:r>
        <w:rPr>
          <w:rFonts w:hint="eastAsia" w:ascii="仿宋_GB2312" w:hAnsi="宋体" w:eastAsia="仿宋_GB2312"/>
          <w:sz w:val="20"/>
          <w:szCs w:val="20"/>
        </w:rPr>
        <w:t>注：1.本表反映部门本年度一般公共预算财政拨款、政府性基金预算财政拨款和国有资本经营预算财政拨款的总收支和年末结转结余情况。</w:t>
      </w:r>
    </w:p>
    <w:p>
      <w:pPr>
        <w:spacing w:line="240" w:lineRule="exact"/>
        <w:ind w:firstLine="392" w:firstLineChars="200"/>
        <w:rPr>
          <w:rFonts w:ascii="仿宋_GB2312" w:hAnsi="宋体" w:eastAsia="仿宋_GB2312"/>
          <w:sz w:val="20"/>
          <w:szCs w:val="20"/>
        </w:rPr>
        <w:sectPr>
          <w:pgSz w:w="16838" w:h="11906" w:orient="landscape"/>
          <w:pgMar w:top="1531" w:right="1701" w:bottom="1531" w:left="1701" w:header="0" w:footer="1418" w:gutter="0"/>
          <w:cols w:space="720" w:num="1"/>
          <w:docGrid w:type="linesAndChars" w:linePitch="610" w:charSpace="-849"/>
        </w:sectPr>
      </w:pPr>
      <w:r>
        <w:rPr>
          <w:rFonts w:hint="eastAsia" w:ascii="仿宋_GB2312" w:hAnsi="宋体" w:eastAsia="仿宋_GB2312"/>
          <w:sz w:val="20"/>
          <w:szCs w:val="20"/>
        </w:rPr>
        <w:t>2.本套报表金额单位转换时可能存在尾数误差。</w:t>
      </w:r>
    </w:p>
    <w:p>
      <w:pPr>
        <w:jc w:val="center"/>
        <w:rPr>
          <w:rFonts w:ascii="方正小标宋简体" w:eastAsia="方正小标宋简体"/>
          <w:sz w:val="44"/>
          <w:szCs w:val="44"/>
        </w:rPr>
      </w:pPr>
      <w:r>
        <w:rPr>
          <w:rFonts w:hint="eastAsia" w:ascii="方正小标宋简体" w:eastAsia="方正小标宋简体"/>
          <w:sz w:val="44"/>
          <w:szCs w:val="44"/>
        </w:rPr>
        <w:t>一般公共预算财政拨款支出决算表</w:t>
      </w:r>
    </w:p>
    <w:p>
      <w:pPr>
        <w:spacing w:line="400" w:lineRule="exact"/>
        <w:jc w:val="right"/>
        <w:rPr>
          <w:rFonts w:ascii="楷体_GB2312" w:eastAsia="楷体_GB2312"/>
          <w:sz w:val="28"/>
          <w:szCs w:val="28"/>
        </w:rPr>
      </w:pPr>
      <w:r>
        <w:rPr>
          <w:rFonts w:hint="eastAsia" w:ascii="楷体_GB2312" w:eastAsia="楷体_GB2312"/>
          <w:sz w:val="28"/>
          <w:szCs w:val="28"/>
        </w:rPr>
        <w:t>公开05表</w:t>
      </w:r>
    </w:p>
    <w:p>
      <w:pPr>
        <w:wordWrap w:val="0"/>
        <w:spacing w:line="400" w:lineRule="exact"/>
        <w:ind w:firstLine="138" w:firstLineChars="50"/>
        <w:rPr>
          <w:rFonts w:ascii="楷体_GB2312" w:eastAsia="楷体_GB2312"/>
          <w:sz w:val="28"/>
          <w:szCs w:val="28"/>
        </w:rPr>
      </w:pPr>
      <w:r>
        <w:rPr>
          <w:rFonts w:hint="eastAsia" w:ascii="楷体_GB2312" w:eastAsia="楷体_GB2312"/>
          <w:sz w:val="28"/>
          <w:szCs w:val="28"/>
        </w:rPr>
        <w:t>部门：荣成市好运角旅游度假区管理委员会                                           金额单位：万元</w:t>
      </w:r>
    </w:p>
    <w:tbl>
      <w:tblPr>
        <w:tblStyle w:val="12"/>
        <w:tblW w:w="0" w:type="auto"/>
        <w:jc w:val="center"/>
        <w:tblLayout w:type="fixed"/>
        <w:tblCellMar>
          <w:top w:w="0" w:type="dxa"/>
          <w:left w:w="108" w:type="dxa"/>
          <w:bottom w:w="0" w:type="dxa"/>
          <w:right w:w="108" w:type="dxa"/>
        </w:tblCellMar>
      </w:tblPr>
      <w:tblGrid>
        <w:gridCol w:w="1701"/>
        <w:gridCol w:w="3170"/>
        <w:gridCol w:w="2783"/>
        <w:gridCol w:w="2978"/>
        <w:gridCol w:w="2520"/>
      </w:tblGrid>
      <w:tr>
        <w:tblPrEx>
          <w:tblCellMar>
            <w:top w:w="0" w:type="dxa"/>
            <w:left w:w="108" w:type="dxa"/>
            <w:bottom w:w="0" w:type="dxa"/>
            <w:right w:w="108" w:type="dxa"/>
          </w:tblCellMar>
        </w:tblPrEx>
        <w:trPr>
          <w:trHeight w:val="428" w:hRule="atLeast"/>
          <w:tblHeader/>
          <w:jc w:val="center"/>
        </w:trPr>
        <w:tc>
          <w:tcPr>
            <w:tcW w:w="487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8281" w:type="dxa"/>
            <w:gridSpan w:val="3"/>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本年支出</w:t>
            </w:r>
          </w:p>
        </w:tc>
      </w:tr>
      <w:tr>
        <w:tblPrEx>
          <w:tblCellMar>
            <w:top w:w="0" w:type="dxa"/>
            <w:left w:w="108" w:type="dxa"/>
            <w:bottom w:w="0" w:type="dxa"/>
            <w:right w:w="108" w:type="dxa"/>
          </w:tblCellMar>
        </w:tblPrEx>
        <w:trPr>
          <w:trHeight w:val="675" w:hRule="exact"/>
          <w:tblHeader/>
          <w:jc w:val="center"/>
        </w:trPr>
        <w:tc>
          <w:tcPr>
            <w:tcW w:w="17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功能分类</w:t>
            </w:r>
          </w:p>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科目编码</w:t>
            </w:r>
          </w:p>
        </w:tc>
        <w:tc>
          <w:tcPr>
            <w:tcW w:w="317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278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297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基本支出</w:t>
            </w:r>
          </w:p>
        </w:tc>
        <w:tc>
          <w:tcPr>
            <w:tcW w:w="25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项目支出</w:t>
            </w:r>
          </w:p>
        </w:tc>
      </w:tr>
      <w:tr>
        <w:tblPrEx>
          <w:tblCellMar>
            <w:top w:w="0" w:type="dxa"/>
            <w:left w:w="108" w:type="dxa"/>
            <w:bottom w:w="0" w:type="dxa"/>
            <w:right w:w="108" w:type="dxa"/>
          </w:tblCellMar>
        </w:tblPrEx>
        <w:trPr>
          <w:trHeight w:val="454" w:hRule="exact"/>
          <w:tblHeader/>
          <w:jc w:val="center"/>
        </w:trPr>
        <w:tc>
          <w:tcPr>
            <w:tcW w:w="487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2783" w:type="dxa"/>
            <w:tcBorders>
              <w:top w:val="nil"/>
              <w:left w:val="nil"/>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2978" w:type="dxa"/>
            <w:tcBorders>
              <w:top w:val="nil"/>
              <w:left w:val="nil"/>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2520" w:type="dxa"/>
            <w:tcBorders>
              <w:top w:val="nil"/>
              <w:left w:val="nil"/>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r>
      <w:tr>
        <w:tblPrEx>
          <w:tblCellMar>
            <w:top w:w="0" w:type="dxa"/>
            <w:left w:w="108" w:type="dxa"/>
            <w:bottom w:w="0" w:type="dxa"/>
            <w:right w:w="108" w:type="dxa"/>
          </w:tblCellMar>
        </w:tblPrEx>
        <w:trPr>
          <w:trHeight w:val="454" w:hRule="exact"/>
          <w:tblHeader/>
          <w:jc w:val="center"/>
        </w:trPr>
        <w:tc>
          <w:tcPr>
            <w:tcW w:w="487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2783" w:type="dxa"/>
            <w:tcBorders>
              <w:top w:val="nil"/>
              <w:left w:val="nil"/>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10,508.60</w:t>
            </w:r>
          </w:p>
        </w:tc>
        <w:tc>
          <w:tcPr>
            <w:tcW w:w="2978" w:type="dxa"/>
            <w:tcBorders>
              <w:top w:val="nil"/>
              <w:left w:val="nil"/>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6,657.50</w:t>
            </w:r>
          </w:p>
        </w:tc>
        <w:tc>
          <w:tcPr>
            <w:tcW w:w="2520" w:type="dxa"/>
            <w:tcBorders>
              <w:top w:val="nil"/>
              <w:left w:val="nil"/>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3,851.10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一般公共服务支出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4,784.62</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4,248.88</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535.74</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人大事务</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23.55</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23.55</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2010101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行政运行</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23.55</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23.55</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20103</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政府办公厅（室）及相关机构事务</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3,160.34</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2,980.32</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180.03</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2010301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行政运行</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3,137.34</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2,957.32</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180.03</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2010303</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机关服务</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23.00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23.00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20104</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发展与改革事务</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235.55</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235.55</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2010401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行政运行</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235.55</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235.55</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20106</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财政事务</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455.20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447.20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8.00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2010601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行政运行</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447.20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447.20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2010699</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其他财政事务支出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8.00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8.00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20107</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税收事务</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5.00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2010799</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其他税收事务支出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5.00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20111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纪检监察事务</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26.80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26.80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2011101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行政运行</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26.80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26.80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20113</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商贸事务</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329.98</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49.98</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280.00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2011308</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招商引资</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329.98</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49.98</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280.00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20129</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群众团体事务</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16.41</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16.41</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2012901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行政运行</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16.41</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16.41</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20131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党委办公厅（室）及相关机构事务</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391.77</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391.77</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2013101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行政运行</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391.77</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391.77</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20132</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组织事务</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64.08</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52.37</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11.72</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2013201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行政运行</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52.37</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52.37</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2013299</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其他组织事务支出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11.72</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11.72</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20133</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宣传事务</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51.00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51.00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2013399</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其他宣传事务支出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51.00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51.00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20199</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其他一般公共服务支出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24.94</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24.94</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2019999</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其他一般公共服务支出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24.94</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24.94</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204</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公共安全支出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386.71</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281.24</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105.47</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20402</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公安</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358.87</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281.24</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77.63</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2040201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行政运行</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281.24</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281.24</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2040220</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执法办案</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20.00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2040299</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其他公安支出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57.63</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57.63</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20499</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其他公共安全支出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27.83</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27.83</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2049901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其他公共安全支出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27.83</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27.83</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205</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教育支出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414.20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414.20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20502</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普通教育</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414.20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414.20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2050202</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小学教育</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47.50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47.50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2050203</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初中教育</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180.00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180.00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2050204</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高中教育</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186.70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186.70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207</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文化旅游体育与传媒支出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625.28</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277.58</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347.70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20701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文化和旅游</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625.28</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277.58</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347.70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2070101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行政运行</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126.12</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126.12</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2070113</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旅游宣传</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66.67</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66.67</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2070199</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其他文化和旅游支出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432.49</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151.46</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281.03</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208</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社会保障和就业支出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246.24</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213.81</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32.43</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20801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人力资源和社会保障管理事务</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194.07</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194.07</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2080101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行政运行</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194.07</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194.07</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20808</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抚恤</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28.43</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28.43</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2080899</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其他优抚支出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28.43</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28.43</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20899</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其他社会保障和就业支出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23.74</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19.74</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2089901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其他社会保障和就业支出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23.74</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19.74</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210</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卫生健康支出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420.28</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306.39</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113.88</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21003</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基层医疗卫生机构</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109.50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109.50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2100302</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乡镇卫生院</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109.50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109.50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21007</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计划生育事务</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144.30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144.30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2100716</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计划生育机构</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144.30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144.30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21011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行政事业单位医疗</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166.48</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162.10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4.38</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2101101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行政单位医疗</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91.44</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91.44</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2101102</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事业单位医疗</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70.66</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70.66</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2101199</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其他行政事业单位医疗支出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4.38</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4.38</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节能环保支出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149.95</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2.74</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147.21</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21101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环境保护管理事务</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2.74</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2.74</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2110101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行政运行</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2.74</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2.74</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21103</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污染防治</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114.72</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114.72</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2110302</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水体</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88.74</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88.74</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2110399</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其他污染防治支出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25.98</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25.98</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21104</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自然生态保护</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32.49</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32.49</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2110404</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生物及物种资源保护</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32.49</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32.49</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212</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城乡社区支出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1,069.80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510.38</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559.41</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21201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城乡社区管理事务</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405.22</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359.40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45.83</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2120101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行政运行</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171.61</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171.61</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2120104</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城管执法</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233.61</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187.79</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45.83</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21203</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城乡社区公共设施</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100.00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100.00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2120399</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其他城乡社区公共设施支出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100.00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100.00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21205</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城乡社区环境卫生</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564.57</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150.98</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413.59</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2120501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城乡社区环境卫生</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564.57</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150.98</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413.59</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213</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农林水支出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940.13</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478.45</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461.68</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21301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农业农村</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451.36</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451.36</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2130101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行政运行</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451.36</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451.36</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21302</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林业和草原</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10.34</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10.34</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2130201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行政运行</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10.34</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10.34</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21303</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水利</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16.75</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16.75</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2130301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行政运行</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16.75</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16.75</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21305</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扶贫</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418.50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418.50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2130599</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其他扶贫支出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418.50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418.50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21307</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农村综合改革</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43.18</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43.18</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2130705</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对村民委员会和村党支部的补助</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43.18</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43.18</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214</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交通运输支出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14.41</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14.41</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21401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公路水路运输</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14.41</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14.41</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2140106</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公路养护</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14.41</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14.41</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220</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自然资源海洋气象等支出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965.77</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965.77</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22001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自然资源事务</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925.72</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925.72</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2200120</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海域与海岛管理</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925.72</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925.72</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22099</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其他自然资源海洋气象等支出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40.04</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40.04</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2209901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其他自然资源海洋气象等支出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40.04</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40.04</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221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住房保障支出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338.03</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338.03</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22102</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住房改革支出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338.03</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338.03</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2210201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住房公积金</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338.03</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338.03</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224</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灾害防治及应急管理支出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153.20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153.20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22401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应急管理事务</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80.76</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80.76</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2240107</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安全生产基础</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0.96</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0.96</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2240199</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其他应急管理支出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79.80</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79.80</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22402</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消防事务</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72.44</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72.44</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2240201</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行政运行</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62.15</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62.15</w:t>
            </w:r>
          </w:p>
        </w:tc>
      </w:tr>
      <w:tr>
        <w:tblPrEx>
          <w:tblCellMar>
            <w:top w:w="0" w:type="dxa"/>
            <w:left w:w="108" w:type="dxa"/>
            <w:bottom w:w="0" w:type="dxa"/>
            <w:right w:w="108" w:type="dxa"/>
          </w:tblCellMar>
        </w:tblPrEx>
        <w:trPr>
          <w:trHeight w:val="454" w:hRule="exact"/>
          <w:jc w:val="center"/>
        </w:trPr>
        <w:tc>
          <w:tcPr>
            <w:tcW w:w="1701"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2240299</w:t>
            </w:r>
          </w:p>
        </w:tc>
        <w:tc>
          <w:tcPr>
            <w:tcW w:w="3170" w:type="dxa"/>
            <w:tcBorders>
              <w:top w:val="single" w:color="auto" w:sz="4" w:space="0"/>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其他消防事务支出</w:t>
            </w:r>
          </w:p>
        </w:tc>
        <w:tc>
          <w:tcPr>
            <w:tcW w:w="2783"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10.29</w:t>
            </w:r>
          </w:p>
        </w:tc>
        <w:tc>
          <w:tcPr>
            <w:tcW w:w="2978"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2520" w:type="dxa"/>
            <w:tcBorders>
              <w:top w:val="single" w:color="auto" w:sz="4" w:space="0"/>
              <w:left w:val="single" w:color="auto" w:sz="4" w:space="0"/>
              <w:bottom w:val="single" w:color="auto" w:sz="4" w:space="0"/>
              <w:right w:val="single" w:color="auto" w:sz="4" w:space="0"/>
            </w:tcBorders>
            <w:vAlign w:val="bottom"/>
          </w:tcPr>
          <w:p>
            <w:pPr>
              <w:widowControl/>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10.29</w:t>
            </w:r>
          </w:p>
        </w:tc>
      </w:tr>
    </w:tbl>
    <w:p>
      <w:pPr>
        <w:spacing w:line="400" w:lineRule="exact"/>
        <w:ind w:firstLine="108" w:firstLineChars="50"/>
        <w:jc w:val="left"/>
        <w:rPr>
          <w:rFonts w:ascii="仿宋_GB2312" w:hAnsi="宋体" w:eastAsia="仿宋_GB2312"/>
          <w:sz w:val="22"/>
          <w:szCs w:val="22"/>
        </w:rPr>
      </w:pPr>
      <w:r>
        <w:rPr>
          <w:rFonts w:hint="eastAsia" w:ascii="仿宋_GB2312" w:hAnsi="宋体" w:eastAsia="仿宋_GB2312"/>
          <w:sz w:val="22"/>
          <w:szCs w:val="22"/>
        </w:rPr>
        <w:t>注：1.本表反映部门本年度一般公共预算财政拨款支出情况。2.本套报表金额单位转换时可能存在尾数误差。</w:t>
      </w:r>
    </w:p>
    <w:p>
      <w:pPr>
        <w:spacing w:line="400" w:lineRule="exact"/>
        <w:ind w:firstLine="108" w:firstLineChars="50"/>
        <w:jc w:val="left"/>
        <w:rPr>
          <w:rFonts w:ascii="仿宋_GB2312" w:hAnsi="宋体" w:eastAsia="仿宋_GB2312"/>
          <w:sz w:val="22"/>
          <w:szCs w:val="22"/>
        </w:rPr>
        <w:sectPr>
          <w:pgSz w:w="16838" w:h="11906" w:orient="landscape"/>
          <w:pgMar w:top="1531" w:right="1701" w:bottom="1531" w:left="1701" w:header="0" w:footer="1418" w:gutter="0"/>
          <w:cols w:space="720" w:num="1"/>
          <w:docGrid w:type="linesAndChars" w:linePitch="610" w:charSpace="-849"/>
        </w:sectPr>
      </w:pPr>
    </w:p>
    <w:p>
      <w:pPr>
        <w:jc w:val="center"/>
        <w:rPr>
          <w:rFonts w:ascii="方正小标宋简体" w:eastAsia="方正小标宋简体"/>
          <w:sz w:val="44"/>
          <w:szCs w:val="44"/>
        </w:rPr>
      </w:pPr>
      <w:r>
        <w:rPr>
          <w:rFonts w:hint="eastAsia" w:ascii="方正小标宋简体" w:eastAsia="方正小标宋简体"/>
          <w:sz w:val="44"/>
          <w:szCs w:val="44"/>
        </w:rPr>
        <w:t>一般公共预算财政拨款基本支出决算表</w:t>
      </w:r>
    </w:p>
    <w:p>
      <w:pPr>
        <w:spacing w:line="400" w:lineRule="exact"/>
        <w:jc w:val="right"/>
        <w:rPr>
          <w:rFonts w:ascii="楷体_GB2312" w:eastAsia="楷体_GB2312"/>
          <w:sz w:val="28"/>
          <w:szCs w:val="28"/>
        </w:rPr>
      </w:pPr>
      <w:r>
        <w:rPr>
          <w:rFonts w:hint="eastAsia" w:ascii="楷体_GB2312" w:eastAsia="楷体_GB2312"/>
          <w:sz w:val="28"/>
          <w:szCs w:val="28"/>
        </w:rPr>
        <w:t>公开06表</w:t>
      </w:r>
    </w:p>
    <w:p>
      <w:pPr>
        <w:spacing w:line="400" w:lineRule="exact"/>
        <w:ind w:firstLine="138" w:firstLineChars="50"/>
        <w:jc w:val="left"/>
        <w:rPr>
          <w:rFonts w:ascii="楷体_GB2312" w:eastAsia="楷体_GB2312"/>
          <w:sz w:val="28"/>
          <w:szCs w:val="28"/>
        </w:rPr>
      </w:pPr>
      <w:r>
        <w:rPr>
          <w:rFonts w:hint="eastAsia" w:ascii="楷体_GB2312" w:eastAsia="楷体_GB2312"/>
          <w:sz w:val="28"/>
          <w:szCs w:val="28"/>
        </w:rPr>
        <w:t>部门：荣成市好运角旅游度假区管理委员会                                            金额单位：万元</w:t>
      </w:r>
    </w:p>
    <w:tbl>
      <w:tblPr>
        <w:tblStyle w:val="12"/>
        <w:tblW w:w="0" w:type="auto"/>
        <w:jc w:val="center"/>
        <w:tblLayout w:type="fixed"/>
        <w:tblCellMar>
          <w:top w:w="0" w:type="dxa"/>
          <w:left w:w="108" w:type="dxa"/>
          <w:bottom w:w="0" w:type="dxa"/>
          <w:right w:w="108" w:type="dxa"/>
        </w:tblCellMar>
      </w:tblPr>
      <w:tblGrid>
        <w:gridCol w:w="1008"/>
        <w:gridCol w:w="2894"/>
        <w:gridCol w:w="976"/>
        <w:gridCol w:w="1138"/>
        <w:gridCol w:w="1984"/>
        <w:gridCol w:w="927"/>
        <w:gridCol w:w="916"/>
        <w:gridCol w:w="2489"/>
        <w:gridCol w:w="943"/>
      </w:tblGrid>
      <w:tr>
        <w:tblPrEx>
          <w:tblCellMar>
            <w:top w:w="0" w:type="dxa"/>
            <w:left w:w="108" w:type="dxa"/>
            <w:bottom w:w="0" w:type="dxa"/>
            <w:right w:w="108" w:type="dxa"/>
          </w:tblCellMar>
        </w:tblPrEx>
        <w:trPr>
          <w:trHeight w:val="369" w:hRule="atLeast"/>
          <w:tblHeader/>
          <w:jc w:val="center"/>
        </w:trPr>
        <w:tc>
          <w:tcPr>
            <w:tcW w:w="4878" w:type="dxa"/>
            <w:gridSpan w:val="3"/>
            <w:tcBorders>
              <w:top w:val="single" w:color="auto" w:sz="8" w:space="0"/>
              <w:left w:val="single" w:color="auto" w:sz="8"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人员经费</w:t>
            </w:r>
          </w:p>
        </w:tc>
        <w:tc>
          <w:tcPr>
            <w:tcW w:w="8397" w:type="dxa"/>
            <w:gridSpan w:val="6"/>
            <w:tcBorders>
              <w:top w:val="single" w:color="auto" w:sz="8" w:space="0"/>
              <w:left w:val="nil"/>
              <w:bottom w:val="single" w:color="auto" w:sz="4" w:space="0"/>
              <w:right w:val="single" w:color="000000" w:sz="8" w:space="0"/>
            </w:tcBorders>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公用经费</w:t>
            </w:r>
          </w:p>
        </w:tc>
      </w:tr>
      <w:tr>
        <w:tblPrEx>
          <w:tblCellMar>
            <w:top w:w="0" w:type="dxa"/>
            <w:left w:w="108" w:type="dxa"/>
            <w:bottom w:w="0" w:type="dxa"/>
            <w:right w:w="108" w:type="dxa"/>
          </w:tblCellMar>
        </w:tblPrEx>
        <w:trPr>
          <w:trHeight w:val="300" w:hRule="atLeast"/>
          <w:tblHeader/>
          <w:jc w:val="center"/>
        </w:trPr>
        <w:tc>
          <w:tcPr>
            <w:tcW w:w="1008" w:type="dxa"/>
            <w:vMerge w:val="restart"/>
            <w:tcBorders>
              <w:top w:val="nil"/>
              <w:left w:val="single" w:color="auto" w:sz="8"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经济分类 科目编码</w:t>
            </w:r>
          </w:p>
        </w:tc>
        <w:tc>
          <w:tcPr>
            <w:tcW w:w="2894" w:type="dxa"/>
            <w:vMerge w:val="restart"/>
            <w:tcBorders>
              <w:top w:val="nil"/>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科目名称</w:t>
            </w:r>
          </w:p>
        </w:tc>
        <w:tc>
          <w:tcPr>
            <w:tcW w:w="976" w:type="dxa"/>
            <w:vMerge w:val="restart"/>
            <w:tcBorders>
              <w:top w:val="nil"/>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决算数</w:t>
            </w:r>
          </w:p>
        </w:tc>
        <w:tc>
          <w:tcPr>
            <w:tcW w:w="1138" w:type="dxa"/>
            <w:vMerge w:val="restart"/>
            <w:tcBorders>
              <w:top w:val="nil"/>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经济分类科目编码</w:t>
            </w:r>
          </w:p>
        </w:tc>
        <w:tc>
          <w:tcPr>
            <w:tcW w:w="1984" w:type="dxa"/>
            <w:vMerge w:val="restart"/>
            <w:tcBorders>
              <w:top w:val="nil"/>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科目名称</w:t>
            </w:r>
          </w:p>
        </w:tc>
        <w:tc>
          <w:tcPr>
            <w:tcW w:w="927" w:type="dxa"/>
            <w:vMerge w:val="restart"/>
            <w:tcBorders>
              <w:top w:val="nil"/>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决算数</w:t>
            </w:r>
          </w:p>
        </w:tc>
        <w:tc>
          <w:tcPr>
            <w:tcW w:w="916" w:type="dxa"/>
            <w:vMerge w:val="restart"/>
            <w:tcBorders>
              <w:top w:val="nil"/>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经济分类科目编码</w:t>
            </w:r>
          </w:p>
        </w:tc>
        <w:tc>
          <w:tcPr>
            <w:tcW w:w="2489" w:type="dxa"/>
            <w:vMerge w:val="restart"/>
            <w:tcBorders>
              <w:top w:val="nil"/>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科目名称</w:t>
            </w:r>
          </w:p>
        </w:tc>
        <w:tc>
          <w:tcPr>
            <w:tcW w:w="943" w:type="dxa"/>
            <w:vMerge w:val="restart"/>
            <w:tcBorders>
              <w:top w:val="nil"/>
              <w:left w:val="single" w:color="auto" w:sz="4" w:space="0"/>
              <w:bottom w:val="single" w:color="auto" w:sz="4" w:space="0"/>
              <w:right w:val="single" w:color="auto" w:sz="8" w:space="0"/>
            </w:tcBorders>
            <w:vAlign w:val="center"/>
          </w:tcPr>
          <w:p>
            <w:pPr>
              <w:widowControl/>
              <w:spacing w:line="300" w:lineRule="exact"/>
              <w:jc w:val="center"/>
              <w:rPr>
                <w:rFonts w:ascii="仿宋_GB2312" w:hAnsi="宋体" w:eastAsia="仿宋_GB2312" w:cs="宋体"/>
                <w:color w:val="000000"/>
                <w:kern w:val="0"/>
                <w:sz w:val="20"/>
                <w:szCs w:val="20"/>
              </w:rPr>
            </w:pPr>
            <w:r>
              <w:rPr>
                <w:rFonts w:hint="eastAsia" w:ascii="仿宋_GB2312" w:hAnsi="宋体" w:eastAsia="仿宋_GB2312" w:cs="宋体"/>
                <w:color w:val="000000"/>
                <w:kern w:val="0"/>
                <w:sz w:val="20"/>
                <w:szCs w:val="20"/>
              </w:rPr>
              <w:t>决算数</w:t>
            </w:r>
          </w:p>
        </w:tc>
      </w:tr>
      <w:tr>
        <w:tblPrEx>
          <w:tblCellMar>
            <w:top w:w="0" w:type="dxa"/>
            <w:left w:w="108" w:type="dxa"/>
            <w:bottom w:w="0" w:type="dxa"/>
            <w:right w:w="108" w:type="dxa"/>
          </w:tblCellMar>
        </w:tblPrEx>
        <w:trPr>
          <w:trHeight w:val="300" w:hRule="atLeast"/>
          <w:tblHeader/>
          <w:jc w:val="center"/>
        </w:trPr>
        <w:tc>
          <w:tcPr>
            <w:tcW w:w="1008" w:type="dxa"/>
            <w:vMerge w:val="continue"/>
            <w:tcBorders>
              <w:top w:val="nil"/>
              <w:left w:val="single" w:color="auto" w:sz="8" w:space="0"/>
              <w:bottom w:val="single" w:color="auto" w:sz="4" w:space="0"/>
              <w:right w:val="single" w:color="auto" w:sz="4" w:space="0"/>
            </w:tcBorders>
            <w:vAlign w:val="center"/>
          </w:tcPr>
          <w:p>
            <w:pPr>
              <w:widowControl/>
              <w:spacing w:line="300" w:lineRule="exact"/>
              <w:jc w:val="left"/>
              <w:rPr>
                <w:rFonts w:ascii="仿宋_GB2312" w:hAnsi="宋体" w:eastAsia="仿宋_GB2312" w:cs="宋体"/>
                <w:color w:val="000000"/>
                <w:kern w:val="0"/>
                <w:sz w:val="22"/>
                <w:szCs w:val="22"/>
              </w:rPr>
            </w:pPr>
          </w:p>
        </w:tc>
        <w:tc>
          <w:tcPr>
            <w:tcW w:w="2894" w:type="dxa"/>
            <w:vMerge w:val="continue"/>
            <w:tcBorders>
              <w:top w:val="nil"/>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cs="宋体"/>
                <w:color w:val="000000"/>
                <w:kern w:val="0"/>
                <w:sz w:val="22"/>
                <w:szCs w:val="22"/>
              </w:rPr>
            </w:pPr>
          </w:p>
        </w:tc>
        <w:tc>
          <w:tcPr>
            <w:tcW w:w="976" w:type="dxa"/>
            <w:vMerge w:val="continue"/>
            <w:tcBorders>
              <w:top w:val="nil"/>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cs="宋体"/>
                <w:color w:val="000000"/>
                <w:kern w:val="0"/>
                <w:sz w:val="22"/>
                <w:szCs w:val="22"/>
              </w:rPr>
            </w:pPr>
          </w:p>
        </w:tc>
        <w:tc>
          <w:tcPr>
            <w:tcW w:w="1138" w:type="dxa"/>
            <w:vMerge w:val="continue"/>
            <w:tcBorders>
              <w:top w:val="nil"/>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cs="宋体"/>
                <w:color w:val="000000"/>
                <w:kern w:val="0"/>
                <w:sz w:val="22"/>
                <w:szCs w:val="22"/>
              </w:rPr>
            </w:pPr>
          </w:p>
        </w:tc>
        <w:tc>
          <w:tcPr>
            <w:tcW w:w="1984" w:type="dxa"/>
            <w:vMerge w:val="continue"/>
            <w:tcBorders>
              <w:top w:val="nil"/>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cs="宋体"/>
                <w:color w:val="000000"/>
                <w:kern w:val="0"/>
                <w:sz w:val="22"/>
                <w:szCs w:val="22"/>
              </w:rPr>
            </w:pPr>
          </w:p>
        </w:tc>
        <w:tc>
          <w:tcPr>
            <w:tcW w:w="927" w:type="dxa"/>
            <w:vMerge w:val="continue"/>
            <w:tcBorders>
              <w:top w:val="nil"/>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cs="宋体"/>
                <w:color w:val="000000"/>
                <w:kern w:val="0"/>
                <w:sz w:val="22"/>
                <w:szCs w:val="22"/>
              </w:rPr>
            </w:pPr>
          </w:p>
        </w:tc>
        <w:tc>
          <w:tcPr>
            <w:tcW w:w="916" w:type="dxa"/>
            <w:vMerge w:val="continue"/>
            <w:tcBorders>
              <w:top w:val="nil"/>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cs="宋体"/>
                <w:color w:val="000000"/>
                <w:kern w:val="0"/>
                <w:sz w:val="22"/>
                <w:szCs w:val="22"/>
              </w:rPr>
            </w:pPr>
          </w:p>
        </w:tc>
        <w:tc>
          <w:tcPr>
            <w:tcW w:w="2489" w:type="dxa"/>
            <w:vMerge w:val="continue"/>
            <w:tcBorders>
              <w:top w:val="nil"/>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cs="宋体"/>
                <w:color w:val="000000"/>
                <w:kern w:val="0"/>
                <w:sz w:val="22"/>
                <w:szCs w:val="22"/>
              </w:rPr>
            </w:pPr>
          </w:p>
        </w:tc>
        <w:tc>
          <w:tcPr>
            <w:tcW w:w="943" w:type="dxa"/>
            <w:vMerge w:val="continue"/>
            <w:tcBorders>
              <w:top w:val="nil"/>
              <w:left w:val="single" w:color="auto" w:sz="4" w:space="0"/>
              <w:bottom w:val="single" w:color="auto" w:sz="4" w:space="0"/>
              <w:right w:val="single" w:color="auto" w:sz="8" w:space="0"/>
            </w:tcBorders>
            <w:vAlign w:val="center"/>
          </w:tcPr>
          <w:p>
            <w:pPr>
              <w:widowControl/>
              <w:spacing w:line="300" w:lineRule="exact"/>
              <w:jc w:val="left"/>
              <w:rPr>
                <w:rFonts w:ascii="仿宋_GB2312" w:hAnsi="宋体" w:eastAsia="仿宋_GB2312" w:cs="宋体"/>
                <w:color w:val="000000"/>
                <w:kern w:val="0"/>
                <w:sz w:val="22"/>
                <w:szCs w:val="22"/>
              </w:rPr>
            </w:pP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301</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工资福利支出</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4,708.08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商品和服务支出</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1,683.78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307</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债务利息及费用支出</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30101</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基本工资</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2,139.18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30201</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办公费</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68.74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30701</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国内债务付息</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30102</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津贴补贴</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779.23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30202</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印刷费</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70.16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30702</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国外债务付息</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30103</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奖金</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591.31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30203</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咨询费</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13.00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30703</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国内债务发行费用</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30106</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伙食补助费</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30204</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手续费</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0.08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30704</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国外债务发行费用</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30107</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绩效工资</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18.00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30205</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水费</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21.20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310</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资本性支出</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67.22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30108</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机关事业单位基本养老保险缴费</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163.09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30206</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电费</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46.46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31001</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房屋建筑物购建</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30109</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职业年金缴费</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30207</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邮电费</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37.34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31002</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办公设备购置</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33.39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30110</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职工基本医疗保险缴费</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229.80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30208</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取暖费</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67.24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31003</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专用设备购置</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11.34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30111</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公务员医疗补助缴费</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91.44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30209</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物业管理费</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5.82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31005</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基础设施建设</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30112</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其他社会保障缴费</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113.55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30211</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差旅费</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19.69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31006</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大型修缮</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30113</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住房公积金</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537.34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30212</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因公出国（境）费用</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31007</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信息网络及软件购置更新</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30114</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医疗费</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0.04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30213</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维修（护）费</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48.97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31008</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物资储备</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30199</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其他工资福利支出</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45.11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30214</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租赁费</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26.06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31009</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土地补偿</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303</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对个人和家庭的补助</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198.41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30215</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会议费</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11.14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31010</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安置补助</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30301</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离休费</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37.21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30216</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培训费</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11.04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31011</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地上附着物和青苗补偿</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30302</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退休费</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19.93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30217</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公务接待费</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2.11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31012</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拆迁补偿</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30303</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退职（役）费</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30218</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专用材料费</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50.85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31013</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公务用车购置</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22.49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30304</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抚恤金</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21.53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30224</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被装购置费</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31019</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其他交通工具购置</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30305</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生活补助</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110.71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30225</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专用燃料费</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31021</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文物和陈列品购置</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30306</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救济费</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30226</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劳务费</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74.89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31022</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无形资产购置</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30307</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医疗费补助</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30227</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委托业务费</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997.27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31099</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其他资本性支出</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30308</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助学金</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30228</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工会经费</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41.08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312</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对企业补助</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30309</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奖励金</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0.11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30229</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福利费</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4.89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31201</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资本金注入</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30310</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个人农业生产补贴</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30231</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公务用车运行维护费</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64.66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31203</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政府投资基金股权投资</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30311</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代缴社会保险费</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30239</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其他交通费用</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31204</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费用补贴</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30399</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其他对个人和家庭的补助</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8.91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30240</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税金及附加费用</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1.09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31205</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利息补贴</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30299</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其他商品和服务支出</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31299</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其他对企业补助</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399</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其他支出</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39906</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赠与</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39907</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国家赔偿费用支出</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39908</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对民间非营利组织和群众性自治组织补贴</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1008" w:type="dxa"/>
            <w:tcBorders>
              <w:top w:val="nil"/>
              <w:left w:val="single" w:color="auto" w:sz="8"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289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976"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1138"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1984"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927"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w:t>
            </w:r>
          </w:p>
        </w:tc>
        <w:tc>
          <w:tcPr>
            <w:tcW w:w="916"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39999</w:t>
            </w:r>
          </w:p>
        </w:tc>
        <w:tc>
          <w:tcPr>
            <w:tcW w:w="2489" w:type="dxa"/>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  其他支出</w:t>
            </w:r>
          </w:p>
        </w:tc>
        <w:tc>
          <w:tcPr>
            <w:tcW w:w="943" w:type="dxa"/>
            <w:tcBorders>
              <w:top w:val="nil"/>
              <w:left w:val="nil"/>
              <w:bottom w:val="single" w:color="auto" w:sz="4"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0.00 </w:t>
            </w:r>
          </w:p>
        </w:tc>
      </w:tr>
      <w:tr>
        <w:tblPrEx>
          <w:tblCellMar>
            <w:top w:w="0" w:type="dxa"/>
            <w:left w:w="108" w:type="dxa"/>
            <w:bottom w:w="0" w:type="dxa"/>
            <w:right w:w="108" w:type="dxa"/>
          </w:tblCellMar>
        </w:tblPrEx>
        <w:trPr>
          <w:trHeight w:val="397" w:hRule="atLeast"/>
          <w:jc w:val="center"/>
        </w:trPr>
        <w:tc>
          <w:tcPr>
            <w:tcW w:w="3902" w:type="dxa"/>
            <w:gridSpan w:val="2"/>
            <w:tcBorders>
              <w:top w:val="single" w:color="auto" w:sz="4" w:space="0"/>
              <w:left w:val="single" w:color="auto" w:sz="8" w:space="0"/>
              <w:bottom w:val="single" w:color="auto" w:sz="8" w:space="0"/>
              <w:right w:val="single" w:color="auto" w:sz="4" w:space="0"/>
            </w:tcBorders>
            <w:vAlign w:val="bottom"/>
          </w:tcPr>
          <w:p>
            <w:pPr>
              <w:widowControl/>
              <w:spacing w:line="240" w:lineRule="exact"/>
              <w:jc w:val="center"/>
              <w:textAlignment w:val="bottom"/>
              <w:rPr>
                <w:rFonts w:ascii="仿宋_GB2312" w:hAnsi="仿宋_GB2312" w:eastAsia="仿宋_GB2312" w:cs="仿宋_GB2312"/>
                <w:b/>
                <w:bCs/>
                <w:color w:val="000000"/>
                <w:kern w:val="0"/>
                <w:sz w:val="20"/>
                <w:szCs w:val="20"/>
              </w:rPr>
            </w:pPr>
            <w:r>
              <w:rPr>
                <w:rFonts w:hint="eastAsia" w:ascii="仿宋_GB2312" w:hAnsi="仿宋_GB2312" w:eastAsia="仿宋_GB2312" w:cs="仿宋_GB2312"/>
                <w:b/>
                <w:bCs/>
                <w:color w:val="000000"/>
                <w:kern w:val="0"/>
                <w:sz w:val="20"/>
                <w:szCs w:val="20"/>
              </w:rPr>
              <w:t>人员经费合计</w:t>
            </w:r>
          </w:p>
        </w:tc>
        <w:tc>
          <w:tcPr>
            <w:tcW w:w="976" w:type="dxa"/>
            <w:tcBorders>
              <w:top w:val="nil"/>
              <w:left w:val="nil"/>
              <w:bottom w:val="single" w:color="auto" w:sz="8" w:space="0"/>
              <w:right w:val="single" w:color="auto" w:sz="4"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4,906.49 </w:t>
            </w:r>
          </w:p>
        </w:tc>
        <w:tc>
          <w:tcPr>
            <w:tcW w:w="7454" w:type="dxa"/>
            <w:gridSpan w:val="5"/>
            <w:tcBorders>
              <w:top w:val="single" w:color="auto" w:sz="4" w:space="0"/>
              <w:left w:val="nil"/>
              <w:bottom w:val="single" w:color="auto" w:sz="8" w:space="0"/>
              <w:right w:val="single" w:color="auto" w:sz="4" w:space="0"/>
            </w:tcBorders>
            <w:vAlign w:val="bottom"/>
          </w:tcPr>
          <w:p>
            <w:pPr>
              <w:widowControl/>
              <w:spacing w:line="240" w:lineRule="exact"/>
              <w:jc w:val="center"/>
              <w:textAlignment w:val="bottom"/>
              <w:rPr>
                <w:rFonts w:ascii="仿宋_GB2312" w:hAnsi="仿宋_GB2312" w:eastAsia="仿宋_GB2312" w:cs="仿宋_GB2312"/>
                <w:b/>
                <w:bCs/>
                <w:color w:val="000000"/>
                <w:kern w:val="0"/>
                <w:sz w:val="20"/>
                <w:szCs w:val="20"/>
              </w:rPr>
            </w:pPr>
            <w:r>
              <w:rPr>
                <w:rFonts w:hint="eastAsia" w:ascii="仿宋_GB2312" w:hAnsi="仿宋_GB2312" w:eastAsia="仿宋_GB2312" w:cs="仿宋_GB2312"/>
                <w:b/>
                <w:bCs/>
                <w:color w:val="000000"/>
                <w:kern w:val="0"/>
                <w:sz w:val="20"/>
                <w:szCs w:val="20"/>
              </w:rPr>
              <w:t>公用经费合计</w:t>
            </w:r>
          </w:p>
        </w:tc>
        <w:tc>
          <w:tcPr>
            <w:tcW w:w="943" w:type="dxa"/>
            <w:tcBorders>
              <w:top w:val="nil"/>
              <w:left w:val="nil"/>
              <w:bottom w:val="single" w:color="auto" w:sz="8" w:space="0"/>
              <w:right w:val="single" w:color="auto" w:sz="8" w:space="0"/>
            </w:tcBorders>
            <w:vAlign w:val="bottom"/>
          </w:tcPr>
          <w:p>
            <w:pPr>
              <w:widowControl/>
              <w:spacing w:line="240" w:lineRule="exact"/>
              <w:jc w:val="right"/>
              <w:textAlignment w:val="bottom"/>
              <w:rPr>
                <w:rFonts w:ascii="仿宋_GB2312" w:hAnsi="仿宋_GB2312" w:eastAsia="仿宋_GB2312" w:cs="仿宋_GB2312"/>
                <w:color w:val="000000"/>
                <w:kern w:val="0"/>
                <w:sz w:val="20"/>
                <w:szCs w:val="20"/>
              </w:rPr>
            </w:pPr>
            <w:r>
              <w:rPr>
                <w:rFonts w:hint="eastAsia" w:ascii="仿宋_GB2312" w:hAnsi="仿宋_GB2312" w:eastAsia="仿宋_GB2312" w:cs="仿宋_GB2312"/>
                <w:color w:val="000000"/>
                <w:kern w:val="0"/>
                <w:sz w:val="20"/>
                <w:szCs w:val="20"/>
              </w:rPr>
              <w:t xml:space="preserve">1,751.01 </w:t>
            </w:r>
          </w:p>
        </w:tc>
      </w:tr>
    </w:tbl>
    <w:p>
      <w:pPr>
        <w:spacing w:line="400" w:lineRule="exact"/>
        <w:ind w:firstLine="98" w:firstLineChars="50"/>
        <w:jc w:val="left"/>
        <w:rPr>
          <w:rFonts w:ascii="仿宋_GB2312" w:hAnsi="宋体" w:eastAsia="仿宋_GB2312"/>
          <w:sz w:val="20"/>
          <w:szCs w:val="20"/>
        </w:rPr>
      </w:pPr>
      <w:r>
        <w:rPr>
          <w:rFonts w:hint="eastAsia" w:ascii="仿宋_GB2312" w:hAnsi="宋体" w:eastAsia="仿宋_GB2312"/>
          <w:sz w:val="20"/>
          <w:szCs w:val="20"/>
        </w:rPr>
        <w:t>注:1.本表反映部门本年度一般公共预算财政拨款基本支出明细情况。2.本套报表金额单位转换时可能存在尾数误差。</w:t>
      </w:r>
    </w:p>
    <w:p>
      <w:pPr>
        <w:spacing w:line="400" w:lineRule="exact"/>
        <w:ind w:firstLine="98" w:firstLineChars="50"/>
        <w:jc w:val="left"/>
        <w:rPr>
          <w:rFonts w:ascii="仿宋_GB2312" w:hAnsi="宋体" w:eastAsia="仿宋_GB2312"/>
          <w:sz w:val="20"/>
          <w:szCs w:val="20"/>
        </w:rPr>
        <w:sectPr>
          <w:pgSz w:w="16838" w:h="11906" w:orient="landscape"/>
          <w:pgMar w:top="1531" w:right="1701" w:bottom="1531" w:left="1701" w:header="0" w:footer="1418" w:gutter="0"/>
          <w:cols w:space="720" w:num="1"/>
          <w:docGrid w:type="linesAndChars" w:linePitch="610" w:charSpace="-849"/>
        </w:sectPr>
      </w:pPr>
    </w:p>
    <w:p>
      <w:pPr>
        <w:jc w:val="center"/>
        <w:rPr>
          <w:rFonts w:ascii="方正小标宋简体" w:eastAsia="方正小标宋简体"/>
          <w:sz w:val="44"/>
          <w:szCs w:val="44"/>
        </w:rPr>
      </w:pPr>
      <w:r>
        <w:rPr>
          <w:rFonts w:hint="eastAsia" w:ascii="方正小标宋简体" w:eastAsia="方正小标宋简体"/>
          <w:sz w:val="44"/>
          <w:szCs w:val="44"/>
        </w:rPr>
        <w:t>一般公共预算财政拨款“三公”经费支出决算表</w:t>
      </w:r>
    </w:p>
    <w:p>
      <w:pPr>
        <w:wordWrap w:val="0"/>
        <w:spacing w:line="400" w:lineRule="exact"/>
        <w:jc w:val="right"/>
        <w:rPr>
          <w:rFonts w:ascii="楷体_GB2312" w:eastAsia="楷体_GB2312"/>
          <w:sz w:val="28"/>
          <w:szCs w:val="28"/>
        </w:rPr>
      </w:pPr>
      <w:r>
        <w:rPr>
          <w:rFonts w:hint="eastAsia" w:ascii="方正小标宋简体" w:eastAsia="方正小标宋简体"/>
          <w:sz w:val="44"/>
          <w:szCs w:val="44"/>
        </w:rPr>
        <w:t>　</w:t>
      </w:r>
      <w:r>
        <w:rPr>
          <w:rFonts w:hint="eastAsia" w:ascii="楷体_GB2312" w:eastAsia="楷体_GB2312"/>
          <w:sz w:val="28"/>
          <w:szCs w:val="28"/>
        </w:rPr>
        <w:t>公开07表</w:t>
      </w:r>
    </w:p>
    <w:p>
      <w:pPr>
        <w:spacing w:line="400" w:lineRule="exact"/>
        <w:ind w:firstLine="138" w:firstLineChars="50"/>
        <w:rPr>
          <w:rFonts w:ascii="楷体_GB2312" w:eastAsia="楷体_GB2312"/>
          <w:sz w:val="28"/>
          <w:szCs w:val="28"/>
        </w:rPr>
      </w:pPr>
      <w:r>
        <w:rPr>
          <w:rFonts w:hint="eastAsia" w:ascii="楷体_GB2312" w:eastAsia="楷体_GB2312"/>
          <w:sz w:val="28"/>
          <w:szCs w:val="28"/>
        </w:rPr>
        <w:t>部门：荣成市好运角旅游度假区管理委员会                                            金额单位：万元</w:t>
      </w:r>
    </w:p>
    <w:tbl>
      <w:tblPr>
        <w:tblStyle w:val="12"/>
        <w:tblW w:w="0" w:type="auto"/>
        <w:jc w:val="center"/>
        <w:tblLayout w:type="fixed"/>
        <w:tblCellMar>
          <w:top w:w="0" w:type="dxa"/>
          <w:left w:w="108" w:type="dxa"/>
          <w:bottom w:w="0" w:type="dxa"/>
          <w:right w:w="108" w:type="dxa"/>
        </w:tblCellMar>
      </w:tblPr>
      <w:tblGrid>
        <w:gridCol w:w="1179"/>
        <w:gridCol w:w="1195"/>
        <w:gridCol w:w="1180"/>
        <w:gridCol w:w="1180"/>
        <w:gridCol w:w="1272"/>
        <w:gridCol w:w="878"/>
        <w:gridCol w:w="1098"/>
        <w:gridCol w:w="1143"/>
        <w:gridCol w:w="851"/>
        <w:gridCol w:w="1132"/>
        <w:gridCol w:w="1164"/>
        <w:gridCol w:w="984"/>
      </w:tblGrid>
      <w:tr>
        <w:tblPrEx>
          <w:tblCellMar>
            <w:top w:w="0" w:type="dxa"/>
            <w:left w:w="108" w:type="dxa"/>
            <w:bottom w:w="0" w:type="dxa"/>
            <w:right w:w="108" w:type="dxa"/>
          </w:tblCellMar>
        </w:tblPrEx>
        <w:trPr>
          <w:trHeight w:val="862" w:hRule="atLeast"/>
          <w:jc w:val="center"/>
        </w:trPr>
        <w:tc>
          <w:tcPr>
            <w:tcW w:w="6884" w:type="dxa"/>
            <w:gridSpan w:val="6"/>
            <w:tcBorders>
              <w:top w:val="single" w:color="auto" w:sz="8" w:space="0"/>
              <w:left w:val="single" w:color="auto" w:sz="8" w:space="0"/>
              <w:bottom w:val="single" w:color="auto" w:sz="4" w:space="0"/>
              <w:right w:val="single" w:color="000000" w:sz="8" w:space="0"/>
            </w:tcBorders>
            <w:shd w:val="clear" w:color="auto" w:fill="FFFFFF"/>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预 算 数</w:t>
            </w:r>
          </w:p>
        </w:tc>
        <w:tc>
          <w:tcPr>
            <w:tcW w:w="6372" w:type="dxa"/>
            <w:gridSpan w:val="6"/>
            <w:tcBorders>
              <w:top w:val="single" w:color="000000" w:sz="8" w:space="0"/>
              <w:left w:val="single" w:color="000000" w:sz="8" w:space="0"/>
              <w:bottom w:val="single" w:color="000000" w:sz="8" w:space="0"/>
              <w:right w:val="single" w:color="000000" w:sz="8" w:space="0"/>
            </w:tcBorders>
            <w:shd w:val="clear" w:color="auto" w:fill="FFFFFF"/>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决 算 数　</w:t>
            </w:r>
          </w:p>
        </w:tc>
      </w:tr>
      <w:tr>
        <w:tblPrEx>
          <w:tblCellMar>
            <w:top w:w="0" w:type="dxa"/>
            <w:left w:w="108" w:type="dxa"/>
            <w:bottom w:w="0" w:type="dxa"/>
            <w:right w:w="108" w:type="dxa"/>
          </w:tblCellMar>
        </w:tblPrEx>
        <w:trPr>
          <w:trHeight w:val="862" w:hRule="atLeast"/>
          <w:jc w:val="center"/>
        </w:trPr>
        <w:tc>
          <w:tcPr>
            <w:tcW w:w="1179" w:type="dxa"/>
            <w:vMerge w:val="restart"/>
            <w:tcBorders>
              <w:top w:val="nil"/>
              <w:left w:val="single" w:color="auto" w:sz="8" w:space="0"/>
              <w:bottom w:val="single" w:color="auto" w:sz="4" w:space="0"/>
              <w:right w:val="single" w:color="auto" w:sz="4" w:space="0"/>
            </w:tcBorders>
            <w:shd w:val="clear" w:color="auto" w:fill="auto"/>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合计</w:t>
            </w:r>
          </w:p>
        </w:tc>
        <w:tc>
          <w:tcPr>
            <w:tcW w:w="1195"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因公出国（境）费</w:t>
            </w:r>
          </w:p>
        </w:tc>
        <w:tc>
          <w:tcPr>
            <w:tcW w:w="3632"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公务用车购置及运行维护费</w:t>
            </w:r>
          </w:p>
        </w:tc>
        <w:tc>
          <w:tcPr>
            <w:tcW w:w="878" w:type="dxa"/>
            <w:vMerge w:val="restart"/>
            <w:tcBorders>
              <w:top w:val="nil"/>
              <w:left w:val="single" w:color="auto" w:sz="4" w:space="0"/>
              <w:bottom w:val="single" w:color="auto" w:sz="4" w:space="0"/>
              <w:right w:val="single" w:color="000000" w:sz="8" w:space="0"/>
            </w:tcBorders>
            <w:shd w:val="clear" w:color="auto" w:fill="auto"/>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w:t>
            </w:r>
          </w:p>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接待费</w:t>
            </w:r>
          </w:p>
        </w:tc>
        <w:tc>
          <w:tcPr>
            <w:tcW w:w="1098" w:type="dxa"/>
            <w:vMerge w:val="restart"/>
            <w:tcBorders>
              <w:top w:val="single" w:color="000000" w:sz="8" w:space="0"/>
              <w:left w:val="single" w:color="000000" w:sz="8" w:space="0"/>
              <w:bottom w:val="single" w:color="000000" w:sz="8" w:space="0"/>
              <w:right w:val="single" w:color="000000" w:sz="8" w:space="0"/>
            </w:tcBorders>
            <w:shd w:val="clear" w:color="auto" w:fill="FFFFFF"/>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合计</w:t>
            </w:r>
          </w:p>
        </w:tc>
        <w:tc>
          <w:tcPr>
            <w:tcW w:w="1143" w:type="dxa"/>
            <w:vMerge w:val="restart"/>
            <w:tcBorders>
              <w:top w:val="single" w:color="000000" w:sz="8" w:space="0"/>
              <w:left w:val="single" w:color="000000" w:sz="8" w:space="0"/>
              <w:bottom w:val="single" w:color="000000" w:sz="8" w:space="0"/>
              <w:right w:val="single" w:color="000000" w:sz="8" w:space="0"/>
            </w:tcBorders>
            <w:shd w:val="clear" w:color="auto" w:fill="FFFFFF"/>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因公出国（境）费</w:t>
            </w:r>
          </w:p>
        </w:tc>
        <w:tc>
          <w:tcPr>
            <w:tcW w:w="3147" w:type="dxa"/>
            <w:gridSpan w:val="3"/>
            <w:tcBorders>
              <w:top w:val="single" w:color="000000" w:sz="8" w:space="0"/>
              <w:left w:val="single" w:color="000000" w:sz="8" w:space="0"/>
              <w:bottom w:val="single" w:color="000000" w:sz="8" w:space="0"/>
              <w:right w:val="single" w:color="000000" w:sz="8"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公务用车购置及运行维护费</w:t>
            </w:r>
          </w:p>
        </w:tc>
        <w:tc>
          <w:tcPr>
            <w:tcW w:w="984" w:type="dxa"/>
            <w:vMerge w:val="restart"/>
            <w:tcBorders>
              <w:top w:val="single" w:color="000000" w:sz="8" w:space="0"/>
              <w:left w:val="single" w:color="000000" w:sz="8" w:space="0"/>
              <w:bottom w:val="single" w:color="000000" w:sz="8" w:space="0"/>
              <w:right w:val="single" w:color="000000" w:sz="8"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w:t>
            </w:r>
          </w:p>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接待费</w:t>
            </w:r>
          </w:p>
        </w:tc>
      </w:tr>
      <w:tr>
        <w:tblPrEx>
          <w:tblCellMar>
            <w:top w:w="0" w:type="dxa"/>
            <w:left w:w="108" w:type="dxa"/>
            <w:bottom w:w="0" w:type="dxa"/>
            <w:right w:w="108" w:type="dxa"/>
          </w:tblCellMar>
        </w:tblPrEx>
        <w:trPr>
          <w:trHeight w:val="862" w:hRule="atLeast"/>
          <w:jc w:val="center"/>
        </w:trPr>
        <w:tc>
          <w:tcPr>
            <w:tcW w:w="1179" w:type="dxa"/>
            <w:vMerge w:val="continue"/>
            <w:tcBorders>
              <w:top w:val="nil"/>
              <w:left w:val="single" w:color="auto" w:sz="8" w:space="0"/>
              <w:bottom w:val="single" w:color="auto" w:sz="4" w:space="0"/>
              <w:right w:val="single" w:color="auto" w:sz="4" w:space="0"/>
            </w:tcBorders>
            <w:shd w:val="clear" w:color="auto" w:fill="auto"/>
            <w:vAlign w:val="center"/>
          </w:tcPr>
          <w:p>
            <w:pPr>
              <w:widowControl/>
              <w:spacing w:line="300" w:lineRule="exact"/>
              <w:jc w:val="left"/>
              <w:rPr>
                <w:rFonts w:ascii="仿宋_GB2312" w:hAnsi="宋体" w:eastAsia="仿宋_GB2312" w:cs="宋体"/>
                <w:kern w:val="0"/>
                <w:sz w:val="22"/>
                <w:szCs w:val="22"/>
              </w:rPr>
            </w:pPr>
          </w:p>
        </w:tc>
        <w:tc>
          <w:tcPr>
            <w:tcW w:w="1195" w:type="dxa"/>
            <w:vMerge w:val="continue"/>
            <w:tcBorders>
              <w:top w:val="nil"/>
              <w:left w:val="single" w:color="auto" w:sz="4" w:space="0"/>
              <w:bottom w:val="single" w:color="auto" w:sz="4" w:space="0"/>
              <w:right w:val="single" w:color="auto" w:sz="4" w:space="0"/>
            </w:tcBorders>
            <w:shd w:val="clear" w:color="auto" w:fill="auto"/>
            <w:vAlign w:val="center"/>
          </w:tcPr>
          <w:p>
            <w:pPr>
              <w:widowControl/>
              <w:spacing w:line="300" w:lineRule="exact"/>
              <w:jc w:val="left"/>
              <w:rPr>
                <w:rFonts w:ascii="仿宋_GB2312" w:hAnsi="宋体" w:eastAsia="仿宋_GB2312" w:cs="宋体"/>
                <w:kern w:val="0"/>
                <w:sz w:val="22"/>
                <w:szCs w:val="22"/>
              </w:rPr>
            </w:pPr>
          </w:p>
        </w:tc>
        <w:tc>
          <w:tcPr>
            <w:tcW w:w="1180"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1180"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公务用车购置费</w:t>
            </w:r>
          </w:p>
        </w:tc>
        <w:tc>
          <w:tcPr>
            <w:tcW w:w="1272" w:type="dxa"/>
            <w:tcBorders>
              <w:top w:val="nil"/>
              <w:left w:val="nil"/>
              <w:bottom w:val="single" w:color="auto" w:sz="4" w:space="0"/>
              <w:right w:val="single" w:color="auto" w:sz="4" w:space="0"/>
            </w:tcBorders>
            <w:shd w:val="clear" w:color="auto" w:fill="auto"/>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公务用车运行维护费</w:t>
            </w:r>
          </w:p>
        </w:tc>
        <w:tc>
          <w:tcPr>
            <w:tcW w:w="878" w:type="dxa"/>
            <w:vMerge w:val="continue"/>
            <w:tcBorders>
              <w:top w:val="nil"/>
              <w:left w:val="single" w:color="auto" w:sz="4" w:space="0"/>
              <w:bottom w:val="single" w:color="auto" w:sz="4" w:space="0"/>
              <w:right w:val="single" w:color="000000" w:sz="8" w:space="0"/>
            </w:tcBorders>
            <w:shd w:val="clear" w:color="auto" w:fill="auto"/>
            <w:vAlign w:val="center"/>
          </w:tcPr>
          <w:p>
            <w:pPr>
              <w:widowControl/>
              <w:spacing w:line="300" w:lineRule="exact"/>
              <w:jc w:val="left"/>
              <w:rPr>
                <w:rFonts w:ascii="仿宋_GB2312" w:hAnsi="宋体" w:eastAsia="仿宋_GB2312" w:cs="宋体"/>
                <w:kern w:val="0"/>
                <w:sz w:val="22"/>
                <w:szCs w:val="22"/>
              </w:rPr>
            </w:pPr>
          </w:p>
        </w:tc>
        <w:tc>
          <w:tcPr>
            <w:tcW w:w="1098" w:type="dxa"/>
            <w:vMerge w:val="continue"/>
            <w:tcBorders>
              <w:top w:val="single" w:color="000000" w:sz="8" w:space="0"/>
              <w:left w:val="single" w:color="000000" w:sz="8" w:space="0"/>
              <w:bottom w:val="single" w:color="000000" w:sz="8" w:space="0"/>
              <w:right w:val="single" w:color="000000" w:sz="8" w:space="0"/>
            </w:tcBorders>
            <w:shd w:val="clear" w:color="auto" w:fill="FFFFFF"/>
            <w:vAlign w:val="center"/>
          </w:tcPr>
          <w:p>
            <w:pPr>
              <w:spacing w:line="300" w:lineRule="exact"/>
              <w:jc w:val="left"/>
              <w:rPr>
                <w:rFonts w:ascii="仿宋_GB2312" w:hAnsi="宋体" w:eastAsia="仿宋_GB2312" w:cs="宋体"/>
                <w:kern w:val="0"/>
                <w:sz w:val="22"/>
                <w:szCs w:val="22"/>
              </w:rPr>
            </w:pPr>
          </w:p>
        </w:tc>
        <w:tc>
          <w:tcPr>
            <w:tcW w:w="1143" w:type="dxa"/>
            <w:vMerge w:val="continue"/>
            <w:tcBorders>
              <w:top w:val="single" w:color="000000" w:sz="8" w:space="0"/>
              <w:left w:val="single" w:color="000000" w:sz="8" w:space="0"/>
              <w:bottom w:val="single" w:color="000000" w:sz="8" w:space="0"/>
              <w:right w:val="single" w:color="000000" w:sz="8" w:space="0"/>
            </w:tcBorders>
            <w:shd w:val="clear" w:color="auto" w:fill="FFFFFF"/>
            <w:vAlign w:val="center"/>
          </w:tcPr>
          <w:p>
            <w:pPr>
              <w:spacing w:line="300" w:lineRule="exact"/>
              <w:jc w:val="left"/>
              <w:rPr>
                <w:rFonts w:ascii="仿宋_GB2312" w:hAnsi="宋体" w:eastAsia="仿宋_GB2312" w:cs="宋体"/>
                <w:kern w:val="0"/>
                <w:sz w:val="22"/>
                <w:szCs w:val="22"/>
              </w:rPr>
            </w:pPr>
          </w:p>
        </w:tc>
        <w:tc>
          <w:tcPr>
            <w:tcW w:w="851" w:type="dxa"/>
            <w:tcBorders>
              <w:top w:val="single" w:color="000000" w:sz="8" w:space="0"/>
              <w:left w:val="single" w:color="000000" w:sz="8" w:space="0"/>
              <w:bottom w:val="single" w:color="000000" w:sz="8" w:space="0"/>
              <w:right w:val="single" w:color="000000" w:sz="8"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1132" w:type="dxa"/>
            <w:tcBorders>
              <w:top w:val="single" w:color="000000" w:sz="8" w:space="0"/>
              <w:left w:val="single" w:color="000000" w:sz="8" w:space="0"/>
              <w:bottom w:val="single" w:color="000000" w:sz="8" w:space="0"/>
              <w:right w:val="single" w:color="000000" w:sz="8"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公务用车购置费</w:t>
            </w:r>
          </w:p>
        </w:tc>
        <w:tc>
          <w:tcPr>
            <w:tcW w:w="1164" w:type="dxa"/>
            <w:tcBorders>
              <w:top w:val="single" w:color="000000" w:sz="8" w:space="0"/>
              <w:left w:val="single" w:color="000000" w:sz="8" w:space="0"/>
              <w:bottom w:val="single" w:color="000000" w:sz="8" w:space="0"/>
              <w:right w:val="single" w:color="000000" w:sz="8"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公务用车运行维护费</w:t>
            </w:r>
          </w:p>
        </w:tc>
        <w:tc>
          <w:tcPr>
            <w:tcW w:w="984" w:type="dxa"/>
            <w:vMerge w:val="continue"/>
            <w:tcBorders>
              <w:top w:val="single" w:color="000000" w:sz="8" w:space="0"/>
              <w:left w:val="single" w:color="000000" w:sz="8" w:space="0"/>
              <w:bottom w:val="single" w:color="000000" w:sz="8" w:space="0"/>
              <w:right w:val="single" w:color="000000" w:sz="8" w:space="0"/>
            </w:tcBorders>
            <w:vAlign w:val="center"/>
          </w:tcPr>
          <w:p>
            <w:pPr>
              <w:widowControl/>
              <w:spacing w:line="300" w:lineRule="exact"/>
              <w:jc w:val="left"/>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623" w:hRule="atLeast"/>
          <w:jc w:val="center"/>
        </w:trPr>
        <w:tc>
          <w:tcPr>
            <w:tcW w:w="1179" w:type="dxa"/>
            <w:tcBorders>
              <w:top w:val="nil"/>
              <w:left w:val="single" w:color="auto" w:sz="8" w:space="0"/>
              <w:bottom w:val="single" w:color="auto" w:sz="8" w:space="0"/>
              <w:right w:val="single" w:color="auto" w:sz="4" w:space="0"/>
            </w:tcBorders>
            <w:shd w:val="clear" w:color="auto" w:fill="auto"/>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195" w:type="dxa"/>
            <w:tcBorders>
              <w:top w:val="nil"/>
              <w:left w:val="nil"/>
              <w:bottom w:val="single" w:color="auto" w:sz="8" w:space="0"/>
              <w:right w:val="single" w:color="auto" w:sz="4" w:space="0"/>
            </w:tcBorders>
            <w:shd w:val="clear" w:color="auto" w:fill="auto"/>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180" w:type="dxa"/>
            <w:tcBorders>
              <w:top w:val="nil"/>
              <w:left w:val="nil"/>
              <w:bottom w:val="single" w:color="auto" w:sz="8" w:space="0"/>
              <w:right w:val="single" w:color="auto" w:sz="4" w:space="0"/>
            </w:tcBorders>
            <w:shd w:val="clear" w:color="auto" w:fill="auto"/>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180" w:type="dxa"/>
            <w:tcBorders>
              <w:top w:val="nil"/>
              <w:left w:val="nil"/>
              <w:bottom w:val="single" w:color="auto" w:sz="8" w:space="0"/>
              <w:right w:val="single" w:color="auto" w:sz="4" w:space="0"/>
            </w:tcBorders>
            <w:shd w:val="clear" w:color="auto" w:fill="auto"/>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272" w:type="dxa"/>
            <w:tcBorders>
              <w:top w:val="nil"/>
              <w:left w:val="nil"/>
              <w:bottom w:val="single" w:color="auto" w:sz="8" w:space="0"/>
              <w:right w:val="single" w:color="auto" w:sz="4" w:space="0"/>
            </w:tcBorders>
            <w:shd w:val="clear" w:color="auto" w:fill="auto"/>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878" w:type="dxa"/>
            <w:tcBorders>
              <w:top w:val="nil"/>
              <w:left w:val="nil"/>
              <w:bottom w:val="single" w:color="auto" w:sz="8" w:space="0"/>
              <w:right w:val="single" w:color="000000" w:sz="8" w:space="0"/>
            </w:tcBorders>
            <w:shd w:val="clear" w:color="auto" w:fill="auto"/>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1098" w:type="dxa"/>
            <w:tcBorders>
              <w:top w:val="single" w:color="000000" w:sz="8" w:space="0"/>
              <w:left w:val="single" w:color="000000" w:sz="8" w:space="0"/>
              <w:bottom w:val="single" w:color="000000" w:sz="8" w:space="0"/>
              <w:right w:val="single" w:color="000000" w:sz="8" w:space="0"/>
            </w:tcBorders>
            <w:shd w:val="clear" w:color="auto" w:fill="FFFFFF"/>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7</w:t>
            </w:r>
          </w:p>
        </w:tc>
        <w:tc>
          <w:tcPr>
            <w:tcW w:w="1143" w:type="dxa"/>
            <w:tcBorders>
              <w:top w:val="single" w:color="000000" w:sz="8" w:space="0"/>
              <w:left w:val="single" w:color="000000" w:sz="8" w:space="0"/>
              <w:bottom w:val="single" w:color="000000" w:sz="8" w:space="0"/>
              <w:right w:val="single" w:color="000000" w:sz="8" w:space="0"/>
            </w:tcBorders>
            <w:shd w:val="clear" w:color="auto" w:fill="FFFFFF"/>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8</w:t>
            </w:r>
          </w:p>
        </w:tc>
        <w:tc>
          <w:tcPr>
            <w:tcW w:w="851" w:type="dxa"/>
            <w:tcBorders>
              <w:top w:val="single" w:color="000000" w:sz="8" w:space="0"/>
              <w:left w:val="single" w:color="000000" w:sz="8" w:space="0"/>
              <w:bottom w:val="single" w:color="000000" w:sz="8" w:space="0"/>
              <w:right w:val="single" w:color="000000" w:sz="8"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9</w:t>
            </w:r>
          </w:p>
        </w:tc>
        <w:tc>
          <w:tcPr>
            <w:tcW w:w="1132" w:type="dxa"/>
            <w:tcBorders>
              <w:top w:val="single" w:color="000000" w:sz="8" w:space="0"/>
              <w:left w:val="single" w:color="000000" w:sz="8" w:space="0"/>
              <w:bottom w:val="single" w:color="000000" w:sz="8" w:space="0"/>
              <w:right w:val="single" w:color="000000" w:sz="8"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10</w:t>
            </w:r>
          </w:p>
        </w:tc>
        <w:tc>
          <w:tcPr>
            <w:tcW w:w="1164" w:type="dxa"/>
            <w:tcBorders>
              <w:top w:val="single" w:color="000000" w:sz="8" w:space="0"/>
              <w:left w:val="single" w:color="000000" w:sz="8" w:space="0"/>
              <w:bottom w:val="single" w:color="000000" w:sz="8" w:space="0"/>
              <w:right w:val="single" w:color="000000" w:sz="8"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11</w:t>
            </w:r>
          </w:p>
        </w:tc>
        <w:tc>
          <w:tcPr>
            <w:tcW w:w="984" w:type="dxa"/>
            <w:tcBorders>
              <w:top w:val="single" w:color="000000" w:sz="8" w:space="0"/>
              <w:left w:val="single" w:color="000000" w:sz="8" w:space="0"/>
              <w:bottom w:val="single" w:color="000000" w:sz="8" w:space="0"/>
              <w:right w:val="single" w:color="000000" w:sz="8"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12</w:t>
            </w:r>
          </w:p>
        </w:tc>
      </w:tr>
      <w:tr>
        <w:tblPrEx>
          <w:tblCellMar>
            <w:top w:w="0" w:type="dxa"/>
            <w:left w:w="108" w:type="dxa"/>
            <w:bottom w:w="0" w:type="dxa"/>
            <w:right w:w="108" w:type="dxa"/>
          </w:tblCellMar>
        </w:tblPrEx>
        <w:trPr>
          <w:trHeight w:val="1296" w:hRule="atLeast"/>
          <w:jc w:val="center"/>
        </w:trPr>
        <w:tc>
          <w:tcPr>
            <w:tcW w:w="1179" w:type="dxa"/>
            <w:tcBorders>
              <w:top w:val="nil"/>
              <w:left w:val="single" w:color="auto" w:sz="8" w:space="0"/>
              <w:bottom w:val="single" w:color="auto" w:sz="8" w:space="0"/>
              <w:right w:val="single" w:color="auto" w:sz="4" w:space="0"/>
            </w:tcBorders>
            <w:shd w:val="clear" w:color="auto" w:fill="auto"/>
            <w:vAlign w:val="center"/>
          </w:tcPr>
          <w:p>
            <w:pPr>
              <w:widowControl/>
              <w:jc w:val="right"/>
              <w:textAlignment w:val="center"/>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100.05</w:t>
            </w:r>
          </w:p>
        </w:tc>
        <w:tc>
          <w:tcPr>
            <w:tcW w:w="1195" w:type="dxa"/>
            <w:tcBorders>
              <w:top w:val="nil"/>
              <w:left w:val="nil"/>
              <w:bottom w:val="single" w:color="auto" w:sz="8" w:space="0"/>
              <w:right w:val="single" w:color="auto" w:sz="4" w:space="0"/>
            </w:tcBorders>
            <w:shd w:val="clear" w:color="auto" w:fill="auto"/>
            <w:vAlign w:val="center"/>
          </w:tcPr>
          <w:p>
            <w:pPr>
              <w:widowControl/>
              <w:jc w:val="right"/>
              <w:textAlignment w:val="center"/>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8</w:t>
            </w:r>
          </w:p>
        </w:tc>
        <w:tc>
          <w:tcPr>
            <w:tcW w:w="1180" w:type="dxa"/>
            <w:tcBorders>
              <w:top w:val="nil"/>
              <w:left w:val="nil"/>
              <w:bottom w:val="single" w:color="auto" w:sz="8" w:space="0"/>
              <w:right w:val="single" w:color="auto" w:sz="4" w:space="0"/>
            </w:tcBorders>
            <w:shd w:val="clear" w:color="auto" w:fill="auto"/>
            <w:vAlign w:val="center"/>
          </w:tcPr>
          <w:p>
            <w:pPr>
              <w:widowControl/>
              <w:jc w:val="right"/>
              <w:textAlignment w:val="center"/>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90</w:t>
            </w:r>
          </w:p>
        </w:tc>
        <w:tc>
          <w:tcPr>
            <w:tcW w:w="1180" w:type="dxa"/>
            <w:tcBorders>
              <w:top w:val="nil"/>
              <w:left w:val="nil"/>
              <w:bottom w:val="single" w:color="auto" w:sz="8" w:space="0"/>
              <w:right w:val="single" w:color="auto" w:sz="4" w:space="0"/>
            </w:tcBorders>
            <w:shd w:val="clear" w:color="auto" w:fill="auto"/>
            <w:vAlign w:val="center"/>
          </w:tcPr>
          <w:p>
            <w:pPr>
              <w:widowControl/>
              <w:jc w:val="right"/>
              <w:textAlignment w:val="center"/>
              <w:rPr>
                <w:rFonts w:ascii="仿宋_GB2312" w:hAnsi="仿宋_GB2312" w:eastAsia="仿宋_GB2312" w:cs="仿宋_GB2312"/>
                <w:kern w:val="0"/>
                <w:sz w:val="22"/>
                <w:szCs w:val="22"/>
              </w:rPr>
            </w:pPr>
          </w:p>
        </w:tc>
        <w:tc>
          <w:tcPr>
            <w:tcW w:w="1272" w:type="dxa"/>
            <w:tcBorders>
              <w:top w:val="nil"/>
              <w:left w:val="nil"/>
              <w:bottom w:val="single" w:color="auto" w:sz="8" w:space="0"/>
              <w:right w:val="single" w:color="auto" w:sz="4" w:space="0"/>
            </w:tcBorders>
            <w:shd w:val="clear" w:color="auto" w:fill="auto"/>
            <w:vAlign w:val="center"/>
          </w:tcPr>
          <w:p>
            <w:pPr>
              <w:widowControl/>
              <w:jc w:val="right"/>
              <w:textAlignment w:val="center"/>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90</w:t>
            </w:r>
          </w:p>
        </w:tc>
        <w:tc>
          <w:tcPr>
            <w:tcW w:w="878" w:type="dxa"/>
            <w:tcBorders>
              <w:top w:val="nil"/>
              <w:left w:val="nil"/>
              <w:bottom w:val="single" w:color="auto" w:sz="8" w:space="0"/>
              <w:right w:val="single" w:color="000000" w:sz="8" w:space="0"/>
            </w:tcBorders>
            <w:shd w:val="clear" w:color="auto" w:fill="auto"/>
            <w:vAlign w:val="center"/>
          </w:tcPr>
          <w:p>
            <w:pPr>
              <w:widowControl/>
              <w:jc w:val="right"/>
              <w:textAlignment w:val="center"/>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2.5</w:t>
            </w:r>
          </w:p>
        </w:tc>
        <w:tc>
          <w:tcPr>
            <w:tcW w:w="1098" w:type="dxa"/>
            <w:tcBorders>
              <w:top w:val="single" w:color="000000" w:sz="8" w:space="0"/>
              <w:left w:val="single" w:color="000000" w:sz="8" w:space="0"/>
              <w:bottom w:val="single" w:color="000000" w:sz="8" w:space="0"/>
              <w:right w:val="single" w:color="000000" w:sz="8" w:space="0"/>
            </w:tcBorders>
            <w:shd w:val="clear" w:color="auto" w:fill="FFFFFF"/>
            <w:vAlign w:val="center"/>
          </w:tcPr>
          <w:p>
            <w:pPr>
              <w:widowControl/>
              <w:jc w:val="right"/>
              <w:textAlignment w:val="center"/>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89.26</w:t>
            </w:r>
          </w:p>
        </w:tc>
        <w:tc>
          <w:tcPr>
            <w:tcW w:w="1143" w:type="dxa"/>
            <w:tcBorders>
              <w:top w:val="single" w:color="000000" w:sz="8" w:space="0"/>
              <w:left w:val="single" w:color="000000" w:sz="8" w:space="0"/>
              <w:bottom w:val="single" w:color="000000" w:sz="8" w:space="0"/>
              <w:right w:val="single" w:color="000000" w:sz="8" w:space="0"/>
            </w:tcBorders>
            <w:shd w:val="clear" w:color="auto" w:fill="FFFFFF"/>
            <w:vAlign w:val="center"/>
          </w:tcPr>
          <w:p>
            <w:pPr>
              <w:widowControl/>
              <w:jc w:val="right"/>
              <w:textAlignment w:val="center"/>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851" w:type="dxa"/>
            <w:tcBorders>
              <w:top w:val="single" w:color="000000" w:sz="8" w:space="0"/>
              <w:left w:val="single" w:color="000000" w:sz="8" w:space="0"/>
              <w:bottom w:val="single" w:color="000000" w:sz="8" w:space="0"/>
              <w:right w:val="single" w:color="000000" w:sz="8" w:space="0"/>
            </w:tcBorders>
            <w:vAlign w:val="center"/>
          </w:tcPr>
          <w:p>
            <w:pPr>
              <w:widowControl/>
              <w:jc w:val="right"/>
              <w:textAlignment w:val="center"/>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87.15</w:t>
            </w:r>
          </w:p>
        </w:tc>
        <w:tc>
          <w:tcPr>
            <w:tcW w:w="1132" w:type="dxa"/>
            <w:tcBorders>
              <w:top w:val="single" w:color="000000" w:sz="8" w:space="0"/>
              <w:left w:val="single" w:color="000000" w:sz="8" w:space="0"/>
              <w:bottom w:val="single" w:color="000000" w:sz="8" w:space="0"/>
              <w:right w:val="single" w:color="000000" w:sz="8" w:space="0"/>
            </w:tcBorders>
            <w:vAlign w:val="center"/>
          </w:tcPr>
          <w:p>
            <w:pPr>
              <w:widowControl/>
              <w:jc w:val="right"/>
              <w:textAlignment w:val="center"/>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22.49</w:t>
            </w:r>
          </w:p>
        </w:tc>
        <w:tc>
          <w:tcPr>
            <w:tcW w:w="1164" w:type="dxa"/>
            <w:tcBorders>
              <w:top w:val="single" w:color="000000" w:sz="8" w:space="0"/>
              <w:left w:val="single" w:color="000000" w:sz="8" w:space="0"/>
              <w:bottom w:val="single" w:color="000000" w:sz="8" w:space="0"/>
              <w:right w:val="single" w:color="000000" w:sz="8" w:space="0"/>
            </w:tcBorders>
            <w:vAlign w:val="center"/>
          </w:tcPr>
          <w:p>
            <w:pPr>
              <w:widowControl/>
              <w:jc w:val="right"/>
              <w:textAlignment w:val="center"/>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64.66</w:t>
            </w:r>
          </w:p>
        </w:tc>
        <w:tc>
          <w:tcPr>
            <w:tcW w:w="984" w:type="dxa"/>
            <w:tcBorders>
              <w:top w:val="single" w:color="000000" w:sz="8" w:space="0"/>
              <w:left w:val="single" w:color="000000" w:sz="8" w:space="0"/>
              <w:bottom w:val="single" w:color="000000" w:sz="8" w:space="0"/>
              <w:right w:val="single" w:color="000000" w:sz="8" w:space="0"/>
            </w:tcBorders>
            <w:vAlign w:val="center"/>
          </w:tcPr>
          <w:p>
            <w:pPr>
              <w:widowControl/>
              <w:jc w:val="right"/>
              <w:textAlignment w:val="center"/>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2.11</w:t>
            </w:r>
          </w:p>
        </w:tc>
      </w:tr>
    </w:tbl>
    <w:p>
      <w:pPr>
        <w:spacing w:line="360" w:lineRule="exact"/>
        <w:ind w:firstLine="108" w:firstLineChars="50"/>
        <w:rPr>
          <w:rFonts w:ascii="仿宋_GB2312" w:hAnsi="宋体" w:eastAsia="仿宋_GB2312"/>
          <w:sz w:val="22"/>
          <w:szCs w:val="22"/>
        </w:rPr>
      </w:pPr>
      <w:r>
        <w:rPr>
          <w:rFonts w:hint="eastAsia" w:ascii="仿宋_GB2312" w:hAnsi="宋体" w:eastAsia="仿宋_GB2312"/>
          <w:sz w:val="22"/>
          <w:szCs w:val="22"/>
        </w:rPr>
        <w:t>注：1.本表反映部门本年度“三公”经费支出预决算情况。其中，预算数为“三公”经费年初预算数；决算数是包括当年一般公共预算财政拨款和以前年度结转资金安排的实际支出。2.本套报表金额单位转换时可能存在尾数误差。</w:t>
      </w:r>
    </w:p>
    <w:p>
      <w:pPr>
        <w:ind w:firstLine="108" w:firstLineChars="50"/>
        <w:rPr>
          <w:rFonts w:ascii="仿宋_GB2312" w:hAnsi="宋体" w:eastAsia="仿宋_GB2312"/>
          <w:sz w:val="22"/>
          <w:szCs w:val="22"/>
        </w:rPr>
      </w:pPr>
    </w:p>
    <w:p>
      <w:pPr>
        <w:ind w:firstLine="108" w:firstLineChars="50"/>
        <w:rPr>
          <w:rFonts w:ascii="仿宋_GB2312" w:hAnsi="宋体" w:eastAsia="仿宋_GB2312"/>
          <w:sz w:val="22"/>
          <w:szCs w:val="22"/>
        </w:rPr>
      </w:pPr>
    </w:p>
    <w:p>
      <w:pPr>
        <w:jc w:val="center"/>
        <w:rPr>
          <w:rFonts w:ascii="方正小标宋简体" w:eastAsia="方正小标宋简体"/>
          <w:sz w:val="44"/>
          <w:szCs w:val="44"/>
        </w:rPr>
      </w:pPr>
      <w:r>
        <w:rPr>
          <w:rFonts w:hint="eastAsia" w:ascii="方正小标宋简体" w:eastAsia="方正小标宋简体"/>
          <w:sz w:val="44"/>
          <w:szCs w:val="44"/>
        </w:rPr>
        <w:t>政府性基金预算财政拨款收入支出决算表</w:t>
      </w:r>
    </w:p>
    <w:p>
      <w:pPr>
        <w:spacing w:line="400" w:lineRule="exact"/>
        <w:jc w:val="right"/>
        <w:rPr>
          <w:rFonts w:ascii="楷体_GB2312" w:eastAsia="楷体_GB2312"/>
          <w:sz w:val="28"/>
          <w:szCs w:val="28"/>
        </w:rPr>
      </w:pPr>
      <w:r>
        <w:rPr>
          <w:rFonts w:hint="eastAsia" w:ascii="楷体_GB2312" w:eastAsia="楷体_GB2312"/>
          <w:sz w:val="28"/>
          <w:szCs w:val="28"/>
        </w:rPr>
        <w:t>公开08表</w:t>
      </w:r>
    </w:p>
    <w:p>
      <w:pPr>
        <w:spacing w:line="400" w:lineRule="exact"/>
        <w:ind w:firstLine="138" w:firstLineChars="50"/>
        <w:rPr>
          <w:rFonts w:ascii="楷体_GB2312" w:eastAsia="楷体_GB2312"/>
          <w:sz w:val="28"/>
          <w:szCs w:val="28"/>
        </w:rPr>
      </w:pPr>
      <w:r>
        <w:rPr>
          <w:rFonts w:hint="eastAsia" w:ascii="楷体_GB2312" w:eastAsia="楷体_GB2312"/>
          <w:sz w:val="28"/>
          <w:szCs w:val="28"/>
        </w:rPr>
        <w:t>部门：荣成市好运角旅游度假区管理委员会                                            金额单位：万元</w:t>
      </w:r>
    </w:p>
    <w:tbl>
      <w:tblPr>
        <w:tblStyle w:val="12"/>
        <w:tblpPr w:leftFromText="180" w:rightFromText="180" w:vertAnchor="text" w:tblpXSpec="center" w:tblpY="1"/>
        <w:tblOverlap w:val="never"/>
        <w:tblW w:w="0" w:type="auto"/>
        <w:jc w:val="center"/>
        <w:tblLayout w:type="fixed"/>
        <w:tblCellMar>
          <w:top w:w="0" w:type="dxa"/>
          <w:left w:w="108" w:type="dxa"/>
          <w:bottom w:w="0" w:type="dxa"/>
          <w:right w:w="108" w:type="dxa"/>
        </w:tblCellMar>
      </w:tblPr>
      <w:tblGrid>
        <w:gridCol w:w="1184"/>
        <w:gridCol w:w="244"/>
        <w:gridCol w:w="1856"/>
        <w:gridCol w:w="1410"/>
        <w:gridCol w:w="1601"/>
        <w:gridCol w:w="1708"/>
        <w:gridCol w:w="1708"/>
        <w:gridCol w:w="1708"/>
        <w:gridCol w:w="1791"/>
      </w:tblGrid>
      <w:tr>
        <w:tblPrEx>
          <w:tblCellMar>
            <w:top w:w="0" w:type="dxa"/>
            <w:left w:w="108" w:type="dxa"/>
            <w:bottom w:w="0" w:type="dxa"/>
            <w:right w:w="108" w:type="dxa"/>
          </w:tblCellMar>
        </w:tblPrEx>
        <w:trPr>
          <w:trHeight w:val="453" w:hRule="atLeast"/>
          <w:jc w:val="center"/>
        </w:trPr>
        <w:tc>
          <w:tcPr>
            <w:tcW w:w="3284" w:type="dxa"/>
            <w:gridSpan w:val="3"/>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1410" w:type="dxa"/>
            <w:vMerge w:val="restart"/>
            <w:tcBorders>
              <w:top w:val="single" w:color="auto" w:sz="4" w:space="0"/>
              <w:left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年初结转和结余</w:t>
            </w:r>
          </w:p>
        </w:tc>
        <w:tc>
          <w:tcPr>
            <w:tcW w:w="1601" w:type="dxa"/>
            <w:vMerge w:val="restart"/>
            <w:tcBorders>
              <w:top w:val="single" w:color="auto" w:sz="4" w:space="0"/>
              <w:left w:val="nil"/>
              <w:right w:val="single" w:color="auto" w:sz="4" w:space="0"/>
            </w:tcBorders>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本年收入</w:t>
            </w:r>
          </w:p>
        </w:tc>
        <w:tc>
          <w:tcPr>
            <w:tcW w:w="5124" w:type="dxa"/>
            <w:gridSpan w:val="3"/>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本年支出</w:t>
            </w:r>
          </w:p>
        </w:tc>
        <w:tc>
          <w:tcPr>
            <w:tcW w:w="1791" w:type="dxa"/>
            <w:vMerge w:val="restart"/>
            <w:tcBorders>
              <w:top w:val="single" w:color="auto" w:sz="4" w:space="0"/>
              <w:left w:val="nil"/>
              <w:right w:val="single" w:color="auto" w:sz="4" w:space="0"/>
            </w:tcBorders>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年末结转和结余</w:t>
            </w:r>
          </w:p>
        </w:tc>
      </w:tr>
      <w:tr>
        <w:tblPrEx>
          <w:tblCellMar>
            <w:top w:w="0" w:type="dxa"/>
            <w:left w:w="108" w:type="dxa"/>
            <w:bottom w:w="0" w:type="dxa"/>
            <w:right w:w="108" w:type="dxa"/>
          </w:tblCellMar>
        </w:tblPrEx>
        <w:trPr>
          <w:trHeight w:val="599" w:hRule="atLeast"/>
          <w:jc w:val="center"/>
        </w:trPr>
        <w:tc>
          <w:tcPr>
            <w:tcW w:w="1428"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功能分类  科目编码</w:t>
            </w:r>
          </w:p>
        </w:tc>
        <w:tc>
          <w:tcPr>
            <w:tcW w:w="1856"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1410" w:type="dxa"/>
            <w:vMerge w:val="continue"/>
            <w:tcBorders>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p>
        </w:tc>
        <w:tc>
          <w:tcPr>
            <w:tcW w:w="1601" w:type="dxa"/>
            <w:vMerge w:val="continue"/>
            <w:tcBorders>
              <w:left w:val="nil"/>
              <w:bottom w:val="single" w:color="auto" w:sz="4" w:space="0"/>
              <w:right w:val="single" w:color="auto" w:sz="4" w:space="0"/>
            </w:tcBorders>
            <w:vAlign w:val="center"/>
          </w:tcPr>
          <w:p>
            <w:pPr>
              <w:spacing w:line="300" w:lineRule="exact"/>
              <w:jc w:val="center"/>
              <w:rPr>
                <w:rFonts w:ascii="仿宋_GB2312" w:hAnsi="宋体" w:eastAsia="仿宋_GB2312" w:cs="宋体"/>
                <w:kern w:val="0"/>
                <w:sz w:val="22"/>
                <w:szCs w:val="22"/>
              </w:rPr>
            </w:pPr>
          </w:p>
        </w:tc>
        <w:tc>
          <w:tcPr>
            <w:tcW w:w="1708"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1708"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基本支出</w:t>
            </w:r>
          </w:p>
        </w:tc>
        <w:tc>
          <w:tcPr>
            <w:tcW w:w="1708" w:type="dxa"/>
            <w:tcBorders>
              <w:top w:val="single" w:color="auto" w:sz="4" w:space="0"/>
              <w:left w:val="nil"/>
              <w:bottom w:val="single" w:color="auto" w:sz="4" w:space="0"/>
              <w:right w:val="single" w:color="auto" w:sz="4" w:space="0"/>
            </w:tcBorders>
            <w:vAlign w:val="center"/>
          </w:tcPr>
          <w:p>
            <w:pPr>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项目支出</w:t>
            </w:r>
          </w:p>
        </w:tc>
        <w:tc>
          <w:tcPr>
            <w:tcW w:w="1791" w:type="dxa"/>
            <w:vMerge w:val="continue"/>
            <w:tcBorders>
              <w:left w:val="nil"/>
              <w:bottom w:val="single" w:color="auto" w:sz="4" w:space="0"/>
              <w:right w:val="single" w:color="auto" w:sz="4" w:space="0"/>
            </w:tcBorders>
            <w:vAlign w:val="center"/>
          </w:tcPr>
          <w:p>
            <w:pPr>
              <w:spacing w:line="300" w:lineRule="exact"/>
              <w:jc w:val="center"/>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454" w:hRule="atLeast"/>
          <w:jc w:val="center"/>
        </w:trPr>
        <w:tc>
          <w:tcPr>
            <w:tcW w:w="3284" w:type="dxa"/>
            <w:gridSpan w:val="3"/>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1410" w:type="dxa"/>
            <w:tcBorders>
              <w:top w:val="nil"/>
              <w:left w:val="nil"/>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601" w:type="dxa"/>
            <w:tcBorders>
              <w:top w:val="nil"/>
              <w:left w:val="nil"/>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708" w:type="dxa"/>
            <w:tcBorders>
              <w:top w:val="nil"/>
              <w:left w:val="nil"/>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708" w:type="dxa"/>
            <w:tcBorders>
              <w:top w:val="nil"/>
              <w:left w:val="nil"/>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708" w:type="dxa"/>
            <w:tcBorders>
              <w:top w:val="nil"/>
              <w:left w:val="nil"/>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1791" w:type="dxa"/>
            <w:tcBorders>
              <w:top w:val="nil"/>
              <w:left w:val="nil"/>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6</w:t>
            </w:r>
          </w:p>
        </w:tc>
      </w:tr>
      <w:tr>
        <w:tblPrEx>
          <w:tblCellMar>
            <w:top w:w="0" w:type="dxa"/>
            <w:left w:w="108" w:type="dxa"/>
            <w:bottom w:w="0" w:type="dxa"/>
            <w:right w:w="108" w:type="dxa"/>
          </w:tblCellMar>
        </w:tblPrEx>
        <w:trPr>
          <w:trHeight w:val="397" w:hRule="atLeast"/>
          <w:jc w:val="center"/>
        </w:trPr>
        <w:tc>
          <w:tcPr>
            <w:tcW w:w="3284" w:type="dxa"/>
            <w:gridSpan w:val="3"/>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1410" w:type="dxa"/>
            <w:tcBorders>
              <w:top w:val="nil"/>
              <w:left w:val="nil"/>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1601" w:type="dxa"/>
            <w:tcBorders>
              <w:top w:val="nil"/>
              <w:left w:val="nil"/>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42,145.57</w:t>
            </w:r>
          </w:p>
        </w:tc>
        <w:tc>
          <w:tcPr>
            <w:tcW w:w="1708" w:type="dxa"/>
            <w:tcBorders>
              <w:top w:val="nil"/>
              <w:left w:val="nil"/>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42,145.57</w:t>
            </w:r>
          </w:p>
        </w:tc>
        <w:tc>
          <w:tcPr>
            <w:tcW w:w="1708" w:type="dxa"/>
            <w:tcBorders>
              <w:top w:val="nil"/>
              <w:left w:val="nil"/>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1708" w:type="dxa"/>
            <w:tcBorders>
              <w:top w:val="nil"/>
              <w:left w:val="nil"/>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42,145.57</w:t>
            </w:r>
          </w:p>
        </w:tc>
        <w:tc>
          <w:tcPr>
            <w:tcW w:w="1791" w:type="dxa"/>
            <w:tcBorders>
              <w:top w:val="nil"/>
              <w:left w:val="nil"/>
              <w:bottom w:val="single" w:color="auto" w:sz="4" w:space="0"/>
              <w:right w:val="single" w:color="auto" w:sz="4" w:space="0"/>
            </w:tcBorders>
            <w:vAlign w:val="center"/>
          </w:tcPr>
          <w:p>
            <w:pPr>
              <w:widowControl/>
              <w:spacing w:line="240" w:lineRule="exact"/>
              <w:jc w:val="right"/>
              <w:textAlignment w:val="center"/>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397" w:hRule="atLeast"/>
          <w:jc w:val="center"/>
        </w:trPr>
        <w:tc>
          <w:tcPr>
            <w:tcW w:w="1184" w:type="dxa"/>
            <w:tcBorders>
              <w:top w:val="nil"/>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212</w:t>
            </w:r>
          </w:p>
        </w:tc>
        <w:tc>
          <w:tcPr>
            <w:tcW w:w="2100" w:type="dxa"/>
            <w:gridSpan w:val="2"/>
            <w:tcBorders>
              <w:top w:val="nil"/>
              <w:left w:val="nil"/>
              <w:bottom w:val="single" w:color="auto" w:sz="4" w:space="0"/>
              <w:right w:val="single" w:color="auto" w:sz="4" w:space="0"/>
            </w:tcBorders>
            <w:vAlign w:val="bottom"/>
          </w:tcPr>
          <w:p>
            <w:pPr>
              <w:widowControl/>
              <w:spacing w:line="280" w:lineRule="exact"/>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城乡社区支出</w:t>
            </w:r>
          </w:p>
        </w:tc>
        <w:tc>
          <w:tcPr>
            <w:tcW w:w="1410"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1601"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42,145.57</w:t>
            </w:r>
          </w:p>
        </w:tc>
        <w:tc>
          <w:tcPr>
            <w:tcW w:w="1708"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42,145.57</w:t>
            </w:r>
          </w:p>
        </w:tc>
        <w:tc>
          <w:tcPr>
            <w:tcW w:w="1708"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1708"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42,145.57</w:t>
            </w:r>
          </w:p>
        </w:tc>
        <w:tc>
          <w:tcPr>
            <w:tcW w:w="1791"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397" w:hRule="atLeast"/>
          <w:jc w:val="center"/>
        </w:trPr>
        <w:tc>
          <w:tcPr>
            <w:tcW w:w="1184" w:type="dxa"/>
            <w:tcBorders>
              <w:top w:val="nil"/>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21208</w:t>
            </w:r>
          </w:p>
        </w:tc>
        <w:tc>
          <w:tcPr>
            <w:tcW w:w="2100" w:type="dxa"/>
            <w:gridSpan w:val="2"/>
            <w:tcBorders>
              <w:top w:val="nil"/>
              <w:left w:val="nil"/>
              <w:bottom w:val="single" w:color="auto" w:sz="4" w:space="0"/>
              <w:right w:val="single" w:color="auto" w:sz="4" w:space="0"/>
            </w:tcBorders>
            <w:vAlign w:val="bottom"/>
          </w:tcPr>
          <w:p>
            <w:pPr>
              <w:widowControl/>
              <w:spacing w:line="280" w:lineRule="exact"/>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国有土地使用权出让收入安排的支出</w:t>
            </w:r>
          </w:p>
        </w:tc>
        <w:tc>
          <w:tcPr>
            <w:tcW w:w="1410"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1601"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36,760.66</w:t>
            </w:r>
          </w:p>
        </w:tc>
        <w:tc>
          <w:tcPr>
            <w:tcW w:w="1708"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36,760.66</w:t>
            </w:r>
          </w:p>
        </w:tc>
        <w:tc>
          <w:tcPr>
            <w:tcW w:w="1708"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1708"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36,760.66</w:t>
            </w:r>
          </w:p>
        </w:tc>
        <w:tc>
          <w:tcPr>
            <w:tcW w:w="1791"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397" w:hRule="atLeast"/>
          <w:jc w:val="center"/>
        </w:trPr>
        <w:tc>
          <w:tcPr>
            <w:tcW w:w="1184" w:type="dxa"/>
            <w:tcBorders>
              <w:top w:val="nil"/>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2120802</w:t>
            </w:r>
          </w:p>
        </w:tc>
        <w:tc>
          <w:tcPr>
            <w:tcW w:w="2100" w:type="dxa"/>
            <w:gridSpan w:val="2"/>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 xml:space="preserve">  土地开发支出</w:t>
            </w:r>
          </w:p>
        </w:tc>
        <w:tc>
          <w:tcPr>
            <w:tcW w:w="1410"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1601"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36,760.66</w:t>
            </w:r>
          </w:p>
        </w:tc>
        <w:tc>
          <w:tcPr>
            <w:tcW w:w="1708"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36,760.66</w:t>
            </w:r>
          </w:p>
        </w:tc>
        <w:tc>
          <w:tcPr>
            <w:tcW w:w="1708" w:type="dxa"/>
            <w:tcBorders>
              <w:top w:val="single" w:color="auto" w:sz="4" w:space="0"/>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1708"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36,760.66</w:t>
            </w:r>
          </w:p>
        </w:tc>
        <w:tc>
          <w:tcPr>
            <w:tcW w:w="1791"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397" w:hRule="atLeast"/>
          <w:jc w:val="center"/>
        </w:trPr>
        <w:tc>
          <w:tcPr>
            <w:tcW w:w="1184" w:type="dxa"/>
            <w:tcBorders>
              <w:top w:val="nil"/>
              <w:left w:val="single" w:color="auto" w:sz="4" w:space="0"/>
              <w:bottom w:val="single" w:color="auto" w:sz="4" w:space="0"/>
              <w:right w:val="single" w:color="auto" w:sz="4" w:space="0"/>
            </w:tcBorders>
            <w:vAlign w:val="bottom"/>
          </w:tcPr>
          <w:p>
            <w:pPr>
              <w:widowControl/>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21213</w:t>
            </w:r>
          </w:p>
        </w:tc>
        <w:tc>
          <w:tcPr>
            <w:tcW w:w="2100" w:type="dxa"/>
            <w:gridSpan w:val="2"/>
            <w:tcBorders>
              <w:top w:val="nil"/>
              <w:left w:val="nil"/>
              <w:bottom w:val="single" w:color="auto" w:sz="4" w:space="0"/>
              <w:right w:val="single" w:color="auto" w:sz="4" w:space="0"/>
            </w:tcBorders>
            <w:vAlign w:val="bottom"/>
          </w:tcPr>
          <w:p>
            <w:pPr>
              <w:widowControl/>
              <w:spacing w:line="280" w:lineRule="exact"/>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城市基础设施配套费安排的支出</w:t>
            </w:r>
          </w:p>
        </w:tc>
        <w:tc>
          <w:tcPr>
            <w:tcW w:w="1410"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1601"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5,384.91</w:t>
            </w:r>
          </w:p>
        </w:tc>
        <w:tc>
          <w:tcPr>
            <w:tcW w:w="1708"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5,384.91</w:t>
            </w:r>
          </w:p>
        </w:tc>
        <w:tc>
          <w:tcPr>
            <w:tcW w:w="1708"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1708"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5,384.91</w:t>
            </w:r>
          </w:p>
        </w:tc>
        <w:tc>
          <w:tcPr>
            <w:tcW w:w="1791"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r>
        <w:tblPrEx>
          <w:tblCellMar>
            <w:top w:w="0" w:type="dxa"/>
            <w:left w:w="108" w:type="dxa"/>
            <w:bottom w:w="0" w:type="dxa"/>
            <w:right w:w="108" w:type="dxa"/>
          </w:tblCellMar>
        </w:tblPrEx>
        <w:trPr>
          <w:trHeight w:val="397" w:hRule="exact"/>
          <w:jc w:val="center"/>
        </w:trPr>
        <w:tc>
          <w:tcPr>
            <w:tcW w:w="1184" w:type="dxa"/>
            <w:tcBorders>
              <w:top w:val="nil"/>
              <w:left w:val="single" w:color="auto" w:sz="4" w:space="0"/>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2121301</w:t>
            </w:r>
          </w:p>
        </w:tc>
        <w:tc>
          <w:tcPr>
            <w:tcW w:w="2100" w:type="dxa"/>
            <w:gridSpan w:val="2"/>
            <w:tcBorders>
              <w:top w:val="nil"/>
              <w:left w:val="nil"/>
              <w:bottom w:val="single" w:color="auto" w:sz="4" w:space="0"/>
              <w:right w:val="single" w:color="auto" w:sz="4" w:space="0"/>
            </w:tcBorders>
            <w:vAlign w:val="bottom"/>
          </w:tcPr>
          <w:p>
            <w:pPr>
              <w:widowControl/>
              <w:spacing w:line="240" w:lineRule="exact"/>
              <w:jc w:val="lef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 xml:space="preserve">  城市公共设施</w:t>
            </w:r>
          </w:p>
        </w:tc>
        <w:tc>
          <w:tcPr>
            <w:tcW w:w="1410"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1601"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5,384.91</w:t>
            </w:r>
          </w:p>
        </w:tc>
        <w:tc>
          <w:tcPr>
            <w:tcW w:w="1708"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5,384.91</w:t>
            </w:r>
          </w:p>
        </w:tc>
        <w:tc>
          <w:tcPr>
            <w:tcW w:w="1708"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c>
          <w:tcPr>
            <w:tcW w:w="1708"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5,384.91</w:t>
            </w:r>
          </w:p>
        </w:tc>
        <w:tc>
          <w:tcPr>
            <w:tcW w:w="1791" w:type="dxa"/>
            <w:tcBorders>
              <w:top w:val="nil"/>
              <w:left w:val="nil"/>
              <w:bottom w:val="single" w:color="auto" w:sz="4" w:space="0"/>
              <w:right w:val="single" w:color="auto" w:sz="4" w:space="0"/>
            </w:tcBorders>
            <w:vAlign w:val="bottom"/>
          </w:tcPr>
          <w:p>
            <w:pPr>
              <w:widowControl/>
              <w:spacing w:line="240" w:lineRule="exact"/>
              <w:jc w:val="right"/>
              <w:textAlignment w:val="bottom"/>
              <w:rPr>
                <w:rFonts w:ascii="仿宋_GB2312" w:hAnsi="仿宋_GB2312" w:eastAsia="仿宋_GB2312" w:cs="仿宋_GB2312"/>
                <w:kern w:val="0"/>
                <w:sz w:val="22"/>
                <w:szCs w:val="22"/>
              </w:rPr>
            </w:pPr>
            <w:r>
              <w:rPr>
                <w:rFonts w:hint="eastAsia" w:ascii="仿宋_GB2312" w:hAnsi="仿宋_GB2312" w:eastAsia="仿宋_GB2312" w:cs="仿宋_GB2312"/>
                <w:color w:val="000000"/>
                <w:kern w:val="0"/>
                <w:sz w:val="22"/>
                <w:szCs w:val="22"/>
              </w:rPr>
              <w:t>0.00</w:t>
            </w:r>
          </w:p>
        </w:tc>
      </w:tr>
    </w:tbl>
    <w:p>
      <w:pPr>
        <w:ind w:firstLine="108" w:firstLineChars="50"/>
        <w:rPr>
          <w:rFonts w:ascii="仿宋_GB2312" w:hAnsi="宋体" w:eastAsia="仿宋_GB2312"/>
          <w:sz w:val="22"/>
          <w:szCs w:val="22"/>
        </w:rPr>
      </w:pPr>
      <w:r>
        <w:rPr>
          <w:rFonts w:hint="eastAsia" w:ascii="仿宋_GB2312" w:hAnsi="宋体" w:eastAsia="仿宋_GB2312"/>
          <w:sz w:val="22"/>
          <w:szCs w:val="22"/>
        </w:rPr>
        <w:t>注：1.本表反映部门本年度政府性基金预算财政拨款收入、支出及结转和结余情况。2.本套报表金额单位转换时可能存在尾数误差。</w:t>
      </w:r>
    </w:p>
    <w:p>
      <w:pPr>
        <w:ind w:firstLine="108" w:firstLineChars="50"/>
        <w:rPr>
          <w:rFonts w:ascii="仿宋_GB2312" w:hAnsi="宋体" w:eastAsia="仿宋_GB2312"/>
          <w:sz w:val="22"/>
          <w:szCs w:val="22"/>
        </w:rPr>
        <w:sectPr>
          <w:pgSz w:w="16838" w:h="11906" w:orient="landscape"/>
          <w:pgMar w:top="1531" w:right="1701" w:bottom="1531" w:left="1701" w:header="0" w:footer="1418" w:gutter="0"/>
          <w:cols w:space="720" w:num="1"/>
          <w:docGrid w:type="linesAndChars" w:linePitch="610" w:charSpace="-849"/>
        </w:sectPr>
      </w:pPr>
    </w:p>
    <w:p>
      <w:pPr>
        <w:jc w:val="center"/>
        <w:rPr>
          <w:rFonts w:ascii="方正小标宋简体" w:eastAsia="方正小标宋简体"/>
          <w:sz w:val="44"/>
          <w:szCs w:val="44"/>
        </w:rPr>
      </w:pPr>
      <w:r>
        <w:rPr>
          <w:rFonts w:hint="eastAsia" w:ascii="方正小标宋简体" w:eastAsia="方正小标宋简体"/>
          <w:sz w:val="44"/>
          <w:szCs w:val="44"/>
        </w:rPr>
        <w:t>国有资本经营预算财政拨款支出决算表</w:t>
      </w:r>
    </w:p>
    <w:p>
      <w:pPr>
        <w:spacing w:line="400" w:lineRule="exact"/>
        <w:jc w:val="right"/>
        <w:rPr>
          <w:rFonts w:ascii="楷体_GB2312" w:eastAsia="楷体_GB2312"/>
          <w:sz w:val="28"/>
          <w:szCs w:val="28"/>
        </w:rPr>
      </w:pPr>
      <w:r>
        <w:rPr>
          <w:rFonts w:hint="eastAsia" w:ascii="楷体_GB2312" w:eastAsia="楷体_GB2312"/>
          <w:sz w:val="28"/>
          <w:szCs w:val="28"/>
        </w:rPr>
        <w:t>公开09表</w:t>
      </w:r>
    </w:p>
    <w:p>
      <w:pPr>
        <w:wordWrap w:val="0"/>
        <w:spacing w:line="400" w:lineRule="exact"/>
        <w:ind w:firstLine="138" w:firstLineChars="50"/>
        <w:jc w:val="right"/>
        <w:rPr>
          <w:rFonts w:ascii="楷体_GB2312" w:eastAsia="楷体_GB2312"/>
          <w:sz w:val="28"/>
          <w:szCs w:val="28"/>
        </w:rPr>
      </w:pPr>
      <w:r>
        <w:rPr>
          <w:rFonts w:hint="eastAsia" w:ascii="楷体_GB2312" w:eastAsia="楷体_GB2312"/>
          <w:sz w:val="28"/>
          <w:szCs w:val="28"/>
        </w:rPr>
        <w:t>部门：荣成市好运角旅游度假区管理委员会                                            金额单位：万元</w:t>
      </w:r>
    </w:p>
    <w:tbl>
      <w:tblPr>
        <w:tblStyle w:val="12"/>
        <w:tblW w:w="0" w:type="auto"/>
        <w:jc w:val="center"/>
        <w:tblLayout w:type="fixed"/>
        <w:tblCellMar>
          <w:top w:w="0" w:type="dxa"/>
          <w:left w:w="108" w:type="dxa"/>
          <w:bottom w:w="0" w:type="dxa"/>
          <w:right w:w="108" w:type="dxa"/>
        </w:tblCellMar>
      </w:tblPr>
      <w:tblGrid>
        <w:gridCol w:w="1701"/>
        <w:gridCol w:w="3170"/>
        <w:gridCol w:w="2783"/>
        <w:gridCol w:w="2978"/>
        <w:gridCol w:w="2520"/>
      </w:tblGrid>
      <w:tr>
        <w:tblPrEx>
          <w:tblCellMar>
            <w:top w:w="0" w:type="dxa"/>
            <w:left w:w="108" w:type="dxa"/>
            <w:bottom w:w="0" w:type="dxa"/>
            <w:right w:w="108" w:type="dxa"/>
          </w:tblCellMar>
        </w:tblPrEx>
        <w:trPr>
          <w:trHeight w:val="428" w:hRule="atLeast"/>
          <w:jc w:val="center"/>
        </w:trPr>
        <w:tc>
          <w:tcPr>
            <w:tcW w:w="487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8281" w:type="dxa"/>
            <w:gridSpan w:val="3"/>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本年支出</w:t>
            </w:r>
          </w:p>
        </w:tc>
      </w:tr>
      <w:tr>
        <w:tblPrEx>
          <w:tblCellMar>
            <w:top w:w="0" w:type="dxa"/>
            <w:left w:w="108" w:type="dxa"/>
            <w:bottom w:w="0" w:type="dxa"/>
            <w:right w:w="108" w:type="dxa"/>
          </w:tblCellMar>
        </w:tblPrEx>
        <w:trPr>
          <w:trHeight w:val="675" w:hRule="exact"/>
          <w:jc w:val="center"/>
        </w:trPr>
        <w:tc>
          <w:tcPr>
            <w:tcW w:w="1701"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功能分类</w:t>
            </w:r>
          </w:p>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科目编码</w:t>
            </w:r>
          </w:p>
        </w:tc>
        <w:tc>
          <w:tcPr>
            <w:tcW w:w="317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2783"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2978"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基本支出</w:t>
            </w:r>
          </w:p>
        </w:tc>
        <w:tc>
          <w:tcPr>
            <w:tcW w:w="2520" w:type="dxa"/>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项目支出</w:t>
            </w:r>
          </w:p>
        </w:tc>
      </w:tr>
      <w:tr>
        <w:tblPrEx>
          <w:tblCellMar>
            <w:top w:w="0" w:type="dxa"/>
            <w:left w:w="108" w:type="dxa"/>
            <w:bottom w:w="0" w:type="dxa"/>
            <w:right w:w="108" w:type="dxa"/>
          </w:tblCellMar>
        </w:tblPrEx>
        <w:trPr>
          <w:trHeight w:val="454" w:hRule="exact"/>
          <w:jc w:val="center"/>
        </w:trPr>
        <w:tc>
          <w:tcPr>
            <w:tcW w:w="487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2783" w:type="dxa"/>
            <w:tcBorders>
              <w:top w:val="nil"/>
              <w:left w:val="nil"/>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2978" w:type="dxa"/>
            <w:tcBorders>
              <w:top w:val="nil"/>
              <w:left w:val="nil"/>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2520" w:type="dxa"/>
            <w:tcBorders>
              <w:top w:val="nil"/>
              <w:left w:val="nil"/>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3</w:t>
            </w:r>
          </w:p>
        </w:tc>
      </w:tr>
      <w:tr>
        <w:tblPrEx>
          <w:tblCellMar>
            <w:top w:w="0" w:type="dxa"/>
            <w:left w:w="108" w:type="dxa"/>
            <w:bottom w:w="0" w:type="dxa"/>
            <w:right w:w="108" w:type="dxa"/>
          </w:tblCellMar>
        </w:tblPrEx>
        <w:trPr>
          <w:trHeight w:val="454" w:hRule="exact"/>
          <w:jc w:val="center"/>
        </w:trPr>
        <w:tc>
          <w:tcPr>
            <w:tcW w:w="4871" w:type="dxa"/>
            <w:gridSpan w:val="2"/>
            <w:tcBorders>
              <w:top w:val="single" w:color="auto" w:sz="4" w:space="0"/>
              <w:left w:val="single" w:color="auto" w:sz="4" w:space="0"/>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2783" w:type="dxa"/>
            <w:tcBorders>
              <w:top w:val="nil"/>
              <w:left w:val="nil"/>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p>
        </w:tc>
        <w:tc>
          <w:tcPr>
            <w:tcW w:w="2978" w:type="dxa"/>
            <w:tcBorders>
              <w:top w:val="nil"/>
              <w:left w:val="nil"/>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p>
        </w:tc>
        <w:tc>
          <w:tcPr>
            <w:tcW w:w="2520" w:type="dxa"/>
            <w:tcBorders>
              <w:top w:val="nil"/>
              <w:left w:val="nil"/>
              <w:bottom w:val="single" w:color="auto" w:sz="4" w:space="0"/>
              <w:right w:val="single" w:color="auto" w:sz="4" w:space="0"/>
            </w:tcBorders>
            <w:vAlign w:val="center"/>
          </w:tcPr>
          <w:p>
            <w:pPr>
              <w:widowControl/>
              <w:spacing w:line="300" w:lineRule="exact"/>
              <w:jc w:val="center"/>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p>
        </w:tc>
        <w:tc>
          <w:tcPr>
            <w:tcW w:w="3170"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783"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978"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520"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3170"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783"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978"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520"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3170"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783"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978" w:type="dxa"/>
            <w:tcBorders>
              <w:top w:val="single" w:color="auto" w:sz="4" w:space="0"/>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520"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3170"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783"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978"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520"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3170"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783"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978"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520"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3170"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783"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978"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520"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p>
        </w:tc>
        <w:tc>
          <w:tcPr>
            <w:tcW w:w="3170"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p>
        </w:tc>
        <w:tc>
          <w:tcPr>
            <w:tcW w:w="2783"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p>
        </w:tc>
        <w:tc>
          <w:tcPr>
            <w:tcW w:w="2978"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p>
        </w:tc>
        <w:tc>
          <w:tcPr>
            <w:tcW w:w="2520"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3170"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783"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978"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520"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r>
        <w:tblPrEx>
          <w:tblCellMar>
            <w:top w:w="0" w:type="dxa"/>
            <w:left w:w="108" w:type="dxa"/>
            <w:bottom w:w="0" w:type="dxa"/>
            <w:right w:w="108" w:type="dxa"/>
          </w:tblCellMar>
        </w:tblPrEx>
        <w:trPr>
          <w:trHeight w:val="454" w:hRule="exact"/>
          <w:jc w:val="center"/>
        </w:trPr>
        <w:tc>
          <w:tcPr>
            <w:tcW w:w="1701" w:type="dxa"/>
            <w:tcBorders>
              <w:top w:val="nil"/>
              <w:left w:val="single" w:color="auto" w:sz="4" w:space="0"/>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3170"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783"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978"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c>
          <w:tcPr>
            <w:tcW w:w="2520" w:type="dxa"/>
            <w:tcBorders>
              <w:top w:val="nil"/>
              <w:left w:val="nil"/>
              <w:bottom w:val="single" w:color="auto" w:sz="4" w:space="0"/>
              <w:right w:val="single" w:color="auto" w:sz="4" w:space="0"/>
            </w:tcBorders>
            <w:vAlign w:val="center"/>
          </w:tcPr>
          <w:p>
            <w:pPr>
              <w:widowControl/>
              <w:spacing w:line="300" w:lineRule="exact"/>
              <w:jc w:val="left"/>
              <w:rPr>
                <w:rFonts w:ascii="仿宋_GB2312" w:hAnsi="宋体" w:eastAsia="仿宋_GB2312" w:cs="宋体"/>
                <w:kern w:val="0"/>
                <w:sz w:val="22"/>
                <w:szCs w:val="22"/>
              </w:rPr>
            </w:pPr>
            <w:r>
              <w:rPr>
                <w:rFonts w:hint="eastAsia" w:ascii="仿宋_GB2312" w:hAnsi="宋体" w:eastAsia="仿宋_GB2312" w:cs="宋体"/>
                <w:kern w:val="0"/>
                <w:sz w:val="22"/>
                <w:szCs w:val="22"/>
              </w:rPr>
              <w:t>　</w:t>
            </w:r>
          </w:p>
        </w:tc>
      </w:tr>
    </w:tbl>
    <w:p>
      <w:pPr>
        <w:spacing w:line="400" w:lineRule="exact"/>
        <w:ind w:firstLine="108" w:firstLineChars="50"/>
        <w:jc w:val="left"/>
        <w:rPr>
          <w:rFonts w:ascii="仿宋_GB2312" w:hAnsi="宋体" w:eastAsia="仿宋_GB2312"/>
          <w:sz w:val="22"/>
          <w:szCs w:val="22"/>
        </w:rPr>
        <w:sectPr>
          <w:pgSz w:w="16838" w:h="11906" w:orient="landscape"/>
          <w:pgMar w:top="1531" w:right="1701" w:bottom="1531" w:left="1701" w:header="0" w:footer="1418" w:gutter="0"/>
          <w:cols w:space="720" w:num="1"/>
          <w:docGrid w:type="linesAndChars" w:linePitch="610" w:charSpace="-849"/>
        </w:sectPr>
      </w:pPr>
      <w:r>
        <w:rPr>
          <w:rFonts w:hint="eastAsia" w:ascii="仿宋_GB2312" w:hAnsi="宋体" w:eastAsia="仿宋_GB2312"/>
          <w:sz w:val="22"/>
          <w:szCs w:val="22"/>
        </w:rPr>
        <w:t>注：本部门没有使用国有资本经营预算安排的支出，故本表无数据。</w:t>
      </w:r>
    </w:p>
    <w:p>
      <w:pPr>
        <w:ind w:firstLine="536" w:firstLineChars="100"/>
        <w:rPr>
          <w:rFonts w:ascii="方正小标宋简体" w:eastAsia="方正小标宋简体"/>
          <w:spacing w:val="60"/>
          <w:sz w:val="42"/>
        </w:rPr>
      </w:pPr>
      <w:r>
        <w:rPr>
          <w:rFonts w:hint="eastAsia" w:ascii="方正小标宋简体" w:eastAsia="方正小标宋简体"/>
          <w:spacing w:val="60"/>
          <w:sz w:val="42"/>
        </w:rPr>
        <w:t>第三部分</w:t>
      </w:r>
    </w:p>
    <w:p>
      <w:pPr>
        <w:spacing w:line="800" w:lineRule="exact"/>
        <w:jc w:val="center"/>
        <w:rPr>
          <w:rFonts w:ascii="方正小标宋简体" w:eastAsia="方正小标宋简体"/>
          <w:spacing w:val="60"/>
          <w:sz w:val="48"/>
        </w:rPr>
      </w:pPr>
    </w:p>
    <w:p>
      <w:pPr>
        <w:spacing w:line="800" w:lineRule="exact"/>
        <w:jc w:val="center"/>
        <w:rPr>
          <w:rFonts w:ascii="方正小标宋简体" w:eastAsia="方正小标宋简体"/>
          <w:spacing w:val="60"/>
          <w:sz w:val="48"/>
        </w:rPr>
      </w:pPr>
    </w:p>
    <w:p>
      <w:pPr>
        <w:spacing w:line="800" w:lineRule="exact"/>
        <w:jc w:val="center"/>
        <w:rPr>
          <w:rFonts w:ascii="方正小标宋简体" w:eastAsia="方正小标宋简体"/>
          <w:spacing w:val="60"/>
          <w:sz w:val="48"/>
        </w:rPr>
        <w:sectPr>
          <w:pgSz w:w="11906" w:h="16838"/>
          <w:pgMar w:top="1701" w:right="1531" w:bottom="1701" w:left="1531" w:header="0" w:footer="1418" w:gutter="0"/>
          <w:cols w:space="720" w:num="1"/>
          <w:docGrid w:type="linesAndChars" w:linePitch="610" w:charSpace="-849"/>
        </w:sectPr>
      </w:pPr>
      <w:r>
        <w:rPr>
          <w:rFonts w:hint="eastAsia" w:ascii="方正小标宋简体" w:eastAsia="方正小标宋简体"/>
          <w:spacing w:val="60"/>
          <w:sz w:val="48"/>
        </w:rPr>
        <w:t>2020年度部门决算情况说明</w:t>
      </w:r>
    </w:p>
    <w:p>
      <w:pPr>
        <w:spacing w:line="580" w:lineRule="exact"/>
        <w:ind w:firstLine="640" w:firstLineChars="200"/>
        <w:rPr>
          <w:rFonts w:ascii="黑体" w:hAnsi="黑体" w:eastAsia="黑体"/>
          <w:szCs w:val="32"/>
        </w:rPr>
      </w:pPr>
      <w:r>
        <w:rPr>
          <w:rFonts w:hint="eastAsia" w:ascii="黑体" w:hAnsi="黑体" w:eastAsia="黑体"/>
          <w:szCs w:val="32"/>
        </w:rPr>
        <w:t>一、收入支出决算总体情况说明</w:t>
      </w:r>
    </w:p>
    <w:p>
      <w:pPr>
        <w:spacing w:line="580" w:lineRule="exact"/>
        <w:ind w:firstLine="640" w:firstLineChars="200"/>
        <w:rPr>
          <w:rFonts w:ascii="仿宋_GB2312" w:eastAsia="仿宋_GB2312"/>
          <w:szCs w:val="32"/>
        </w:rPr>
      </w:pPr>
      <w:r>
        <w:rPr>
          <w:rFonts w:hint="eastAsia" w:ascii="仿宋_GB2312" w:eastAsia="仿宋_GB2312"/>
          <w:szCs w:val="32"/>
        </w:rPr>
        <w:t>2020年度收、支总计52654.17万元。与2019年度相比，收、支总计各减少48387.68万元，下降47.89%。主要是税收收入与土地出让收益减少，对应的收入、支出减少。</w:t>
      </w:r>
    </w:p>
    <w:p>
      <w:pPr>
        <w:spacing w:line="580" w:lineRule="exact"/>
        <w:ind w:firstLine="640" w:firstLineChars="200"/>
        <w:rPr>
          <w:rFonts w:ascii="黑体" w:hAnsi="黑体" w:eastAsia="黑体"/>
          <w:szCs w:val="32"/>
        </w:rPr>
      </w:pPr>
      <w:r>
        <w:rPr>
          <w:rFonts w:hint="eastAsia" w:ascii="黑体" w:hAnsi="黑体" w:eastAsia="黑体"/>
          <w:szCs w:val="32"/>
        </w:rPr>
        <w:drawing>
          <wp:anchor distT="0" distB="0" distL="114300" distR="114300" simplePos="0" relativeHeight="251660288" behindDoc="0" locked="0" layoutInCell="1" allowOverlap="1">
            <wp:simplePos x="0" y="0"/>
            <wp:positionH relativeFrom="column">
              <wp:posOffset>277495</wp:posOffset>
            </wp:positionH>
            <wp:positionV relativeFrom="paragraph">
              <wp:posOffset>314960</wp:posOffset>
            </wp:positionV>
            <wp:extent cx="4813300" cy="2447290"/>
            <wp:effectExtent l="0" t="0" r="6350" b="10160"/>
            <wp:wrapTopAndBottom/>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pPr>
        <w:spacing w:line="580" w:lineRule="exact"/>
        <w:ind w:firstLine="640" w:firstLineChars="200"/>
        <w:rPr>
          <w:rFonts w:ascii="黑体" w:hAnsi="黑体" w:eastAsia="黑体"/>
          <w:szCs w:val="32"/>
        </w:rPr>
      </w:pPr>
      <w:r>
        <w:rPr>
          <w:rFonts w:hint="eastAsia" w:ascii="黑体" w:hAnsi="黑体" w:eastAsia="黑体"/>
          <w:szCs w:val="32"/>
        </w:rPr>
        <w:t>二、收入决算情况说明</w:t>
      </w:r>
    </w:p>
    <w:p>
      <w:pPr>
        <w:spacing w:line="580" w:lineRule="exact"/>
        <w:ind w:firstLine="640" w:firstLineChars="200"/>
        <w:rPr>
          <w:rFonts w:ascii="楷体_GB2312" w:eastAsia="楷体_GB2312"/>
          <w:szCs w:val="32"/>
        </w:rPr>
      </w:pPr>
      <w:r>
        <w:rPr>
          <w:rFonts w:hint="eastAsia" w:ascii="楷体_GB2312" w:eastAsia="楷体_GB2312"/>
          <w:szCs w:val="32"/>
        </w:rPr>
        <w:t xml:space="preserve">（一）收入决算结构情况 </w:t>
      </w:r>
    </w:p>
    <w:p>
      <w:pPr>
        <w:spacing w:line="580" w:lineRule="exact"/>
        <w:ind w:firstLine="640" w:firstLineChars="200"/>
        <w:rPr>
          <w:rFonts w:ascii="仿宋_GB2312" w:eastAsia="仿宋_GB2312"/>
          <w:szCs w:val="32"/>
        </w:rPr>
      </w:pPr>
      <w:r>
        <w:rPr>
          <w:rFonts w:hint="eastAsia" w:ascii="仿宋_GB2312" w:eastAsia="仿宋_GB2312"/>
          <w:szCs w:val="32"/>
        </w:rPr>
        <w:t>本年收入合计52654.17万元，其中：财政拨款收入52654.17万元，占100%；上级补助收入0万元，占0%；事业收入，占0%；经营收入0万元，占0%；附属单位上缴收入0万元，占0%；其他收入0万元，占0%。</w:t>
      </w:r>
    </w:p>
    <w:p>
      <w:pPr>
        <w:spacing w:line="580" w:lineRule="exact"/>
        <w:ind w:firstLine="640" w:firstLineChars="200"/>
        <w:rPr>
          <w:rFonts w:ascii="楷体_GB2312" w:eastAsia="楷体_GB2312"/>
          <w:szCs w:val="32"/>
        </w:rPr>
      </w:pPr>
      <w:r>
        <w:rPr>
          <w:rFonts w:hint="eastAsia" w:ascii="仿宋_GB2312" w:eastAsia="仿宋_GB2312"/>
          <w:szCs w:val="32"/>
        </w:rPr>
        <w:drawing>
          <wp:anchor distT="0" distB="0" distL="114300" distR="114300" simplePos="0" relativeHeight="251661312" behindDoc="0" locked="0" layoutInCell="1" allowOverlap="1">
            <wp:simplePos x="0" y="0"/>
            <wp:positionH relativeFrom="column">
              <wp:posOffset>306070</wp:posOffset>
            </wp:positionH>
            <wp:positionV relativeFrom="paragraph">
              <wp:posOffset>47625</wp:posOffset>
            </wp:positionV>
            <wp:extent cx="4890135" cy="2501900"/>
            <wp:effectExtent l="4445" t="4445" r="20320" b="8255"/>
            <wp:wrapTopAndBottom/>
            <wp:docPr id="4"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r>
        <w:rPr>
          <w:rFonts w:hint="eastAsia" w:ascii="楷体_GB2312" w:eastAsia="楷体_GB2312"/>
          <w:szCs w:val="32"/>
        </w:rPr>
        <w:t>（二）收入决算具体情况</w:t>
      </w:r>
    </w:p>
    <w:p>
      <w:pPr>
        <w:spacing w:line="580" w:lineRule="exact"/>
        <w:ind w:firstLine="640" w:firstLineChars="200"/>
        <w:rPr>
          <w:rFonts w:ascii="仿宋_GB2312" w:eastAsia="仿宋_GB2312"/>
          <w:szCs w:val="32"/>
        </w:rPr>
      </w:pPr>
      <w:r>
        <w:rPr>
          <w:rFonts w:hint="eastAsia" w:ascii="仿宋_GB2312" w:eastAsia="仿宋_GB2312"/>
          <w:szCs w:val="32"/>
        </w:rPr>
        <w:t>1、财政拨款收入52654.17万元。与2019年度相比，减少48387.68万元，下降47.89%。主要是税收收入与土地出让收益减少，对应的财政拨款收入减少。</w:t>
      </w:r>
    </w:p>
    <w:p>
      <w:pPr>
        <w:spacing w:line="580" w:lineRule="exact"/>
        <w:ind w:firstLine="640" w:firstLineChars="200"/>
        <w:rPr>
          <w:rFonts w:ascii="仿宋_GB2312" w:eastAsia="仿宋_GB2312"/>
          <w:szCs w:val="32"/>
        </w:rPr>
      </w:pPr>
      <w:r>
        <w:rPr>
          <w:rFonts w:hint="eastAsia" w:ascii="仿宋_GB2312" w:eastAsia="仿宋_GB2312"/>
          <w:szCs w:val="32"/>
        </w:rPr>
        <w:t>2、上级补助收入0万元。与上年决算数一致。</w:t>
      </w:r>
    </w:p>
    <w:p>
      <w:pPr>
        <w:spacing w:line="580" w:lineRule="exact"/>
        <w:ind w:firstLine="640" w:firstLineChars="200"/>
        <w:rPr>
          <w:rFonts w:ascii="仿宋_GB2312" w:eastAsia="仿宋_GB2312"/>
          <w:szCs w:val="32"/>
        </w:rPr>
      </w:pPr>
      <w:r>
        <w:rPr>
          <w:rFonts w:hint="eastAsia" w:ascii="仿宋_GB2312" w:eastAsia="仿宋_GB2312"/>
          <w:szCs w:val="32"/>
        </w:rPr>
        <w:t>3、事业收入0万元。与上年决算数一致。</w:t>
      </w:r>
    </w:p>
    <w:p>
      <w:pPr>
        <w:spacing w:line="580" w:lineRule="exact"/>
        <w:ind w:firstLine="640" w:firstLineChars="200"/>
        <w:rPr>
          <w:rFonts w:ascii="仿宋_GB2312" w:eastAsia="仿宋_GB2312"/>
          <w:szCs w:val="32"/>
        </w:rPr>
      </w:pPr>
      <w:r>
        <w:rPr>
          <w:rFonts w:hint="eastAsia" w:ascii="仿宋_GB2312" w:eastAsia="仿宋_GB2312"/>
          <w:szCs w:val="32"/>
        </w:rPr>
        <w:t>4、经营收入0万元。与上年决算数一致。</w:t>
      </w:r>
    </w:p>
    <w:p>
      <w:pPr>
        <w:spacing w:line="580" w:lineRule="exact"/>
        <w:ind w:firstLine="640" w:firstLineChars="200"/>
        <w:rPr>
          <w:rFonts w:ascii="仿宋_GB2312" w:eastAsia="仿宋_GB2312"/>
          <w:szCs w:val="32"/>
        </w:rPr>
      </w:pPr>
      <w:r>
        <w:rPr>
          <w:rFonts w:hint="eastAsia" w:ascii="仿宋_GB2312" w:eastAsia="仿宋_GB2312"/>
          <w:szCs w:val="32"/>
        </w:rPr>
        <w:t>5、附属单位上缴收入0万元。与上年决算数一致。</w:t>
      </w:r>
    </w:p>
    <w:p>
      <w:pPr>
        <w:spacing w:line="580" w:lineRule="exact"/>
        <w:ind w:firstLine="640" w:firstLineChars="200"/>
        <w:rPr>
          <w:rFonts w:ascii="仿宋_GB2312" w:eastAsia="仿宋_GB2312"/>
          <w:b/>
          <w:szCs w:val="32"/>
        </w:rPr>
      </w:pPr>
      <w:r>
        <w:rPr>
          <w:rFonts w:hint="eastAsia" w:ascii="仿宋_GB2312" w:eastAsia="仿宋_GB2312"/>
          <w:szCs w:val="32"/>
        </w:rPr>
        <w:t>6、其他收入0万元。与</w:t>
      </w:r>
      <w:bookmarkStart w:id="0" w:name="_GoBack"/>
      <w:bookmarkEnd w:id="0"/>
      <w:r>
        <w:rPr>
          <w:rFonts w:hint="eastAsia" w:ascii="仿宋_GB2312" w:eastAsia="仿宋_GB2312"/>
          <w:szCs w:val="32"/>
        </w:rPr>
        <w:t>上年决算数一致。</w:t>
      </w:r>
    </w:p>
    <w:p>
      <w:pPr>
        <w:spacing w:line="580" w:lineRule="exact"/>
        <w:ind w:firstLine="640" w:firstLineChars="200"/>
        <w:rPr>
          <w:rFonts w:ascii="黑体" w:hAnsi="黑体" w:eastAsia="黑体"/>
          <w:szCs w:val="32"/>
        </w:rPr>
      </w:pPr>
      <w:r>
        <w:rPr>
          <w:rFonts w:hint="eastAsia" w:ascii="黑体" w:hAnsi="黑体" w:eastAsia="黑体"/>
          <w:szCs w:val="32"/>
        </w:rPr>
        <w:t>三、支出决算情况说明</w:t>
      </w:r>
    </w:p>
    <w:p>
      <w:pPr>
        <w:spacing w:line="580" w:lineRule="exact"/>
        <w:ind w:firstLine="640" w:firstLineChars="200"/>
        <w:rPr>
          <w:rFonts w:ascii="楷体_GB2312" w:eastAsia="楷体_GB2312"/>
          <w:szCs w:val="32"/>
        </w:rPr>
      </w:pPr>
      <w:r>
        <w:rPr>
          <w:rFonts w:hint="eastAsia" w:ascii="楷体_GB2312" w:eastAsia="楷体_GB2312"/>
          <w:szCs w:val="32"/>
        </w:rPr>
        <w:t>（一）支出决算结构情况</w:t>
      </w:r>
    </w:p>
    <w:p>
      <w:pPr>
        <w:spacing w:line="580" w:lineRule="exact"/>
        <w:ind w:firstLine="640" w:firstLineChars="200"/>
        <w:rPr>
          <w:rFonts w:ascii="仿宋_GB2312" w:eastAsia="仿宋_GB2312"/>
          <w:szCs w:val="32"/>
        </w:rPr>
      </w:pPr>
      <w:r>
        <w:rPr>
          <w:rFonts w:hint="eastAsia" w:ascii="仿宋_GB2312" w:eastAsia="仿宋_GB2312"/>
          <w:szCs w:val="32"/>
        </w:rPr>
        <w:t>本年支出合计52654.17万元，其中：基本支出6657.5万元，占12.64%；项目支出45996.67万元，占87.36%；上缴上级支出0万元，占0%；经营支出0万元，占0%；对附属单位补助支出0万元，占0%。</w:t>
      </w:r>
    </w:p>
    <w:p>
      <w:pPr>
        <w:spacing w:line="580" w:lineRule="exact"/>
        <w:ind w:firstLine="640" w:firstLineChars="200"/>
        <w:rPr>
          <w:rFonts w:ascii="楷体_GB2312" w:eastAsia="楷体_GB2312"/>
          <w:szCs w:val="32"/>
        </w:rPr>
      </w:pPr>
      <w:r>
        <w:rPr>
          <w:rFonts w:hint="eastAsia" w:ascii="楷体_GB2312" w:eastAsia="楷体_GB2312"/>
          <w:szCs w:val="32"/>
        </w:rPr>
        <w:drawing>
          <wp:anchor distT="0" distB="0" distL="114300" distR="114300" simplePos="0" relativeHeight="251662336" behindDoc="0" locked="0" layoutInCell="1" allowOverlap="1">
            <wp:simplePos x="0" y="0"/>
            <wp:positionH relativeFrom="column">
              <wp:posOffset>258445</wp:posOffset>
            </wp:positionH>
            <wp:positionV relativeFrom="paragraph">
              <wp:posOffset>249555</wp:posOffset>
            </wp:positionV>
            <wp:extent cx="4975860" cy="2717800"/>
            <wp:effectExtent l="0" t="0" r="15240" b="6350"/>
            <wp:wrapTopAndBottom/>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pPr>
        <w:spacing w:line="580" w:lineRule="exact"/>
        <w:ind w:firstLine="640" w:firstLineChars="200"/>
        <w:rPr>
          <w:rFonts w:ascii="楷体_GB2312" w:eastAsia="楷体_GB2312"/>
          <w:szCs w:val="32"/>
        </w:rPr>
      </w:pPr>
      <w:r>
        <w:rPr>
          <w:rFonts w:hint="eastAsia" w:ascii="楷体_GB2312" w:eastAsia="楷体_GB2312"/>
          <w:szCs w:val="32"/>
        </w:rPr>
        <w:t>（二）支出决算具体情况</w:t>
      </w:r>
    </w:p>
    <w:p>
      <w:pPr>
        <w:spacing w:line="580" w:lineRule="exact"/>
        <w:ind w:firstLine="640" w:firstLineChars="200"/>
        <w:rPr>
          <w:rFonts w:ascii="仿宋_GB2312" w:eastAsia="仿宋_GB2312"/>
          <w:szCs w:val="32"/>
        </w:rPr>
      </w:pPr>
      <w:r>
        <w:rPr>
          <w:rFonts w:hint="eastAsia" w:ascii="仿宋_GB2312" w:eastAsia="仿宋_GB2312"/>
          <w:szCs w:val="32"/>
        </w:rPr>
        <w:t>1、基本支出6657.5万元。与2019年度相比，增加424.06万元，增长6.8%。主要是人员、工资及保险方面的支出增加。</w:t>
      </w:r>
    </w:p>
    <w:p>
      <w:pPr>
        <w:spacing w:line="580" w:lineRule="exact"/>
        <w:ind w:firstLine="640" w:firstLineChars="200"/>
        <w:rPr>
          <w:rFonts w:ascii="仿宋_GB2312" w:eastAsia="仿宋_GB2312"/>
          <w:szCs w:val="32"/>
        </w:rPr>
      </w:pPr>
      <w:r>
        <w:rPr>
          <w:rFonts w:hint="eastAsia" w:ascii="仿宋_GB2312" w:eastAsia="仿宋_GB2312"/>
          <w:szCs w:val="32"/>
        </w:rPr>
        <w:t>2、项目支出45996.67万元。与2019年度相比，减少48811.74 万元，下降51.48%。主要是2020年项目数量减少，对应的项目支出减少。</w:t>
      </w:r>
    </w:p>
    <w:p>
      <w:pPr>
        <w:spacing w:line="580" w:lineRule="exact"/>
        <w:ind w:firstLine="640" w:firstLineChars="200"/>
        <w:rPr>
          <w:rFonts w:ascii="仿宋_GB2312" w:eastAsia="仿宋_GB2312"/>
          <w:szCs w:val="32"/>
        </w:rPr>
      </w:pPr>
      <w:r>
        <w:rPr>
          <w:rFonts w:hint="eastAsia" w:ascii="仿宋_GB2312" w:eastAsia="仿宋_GB2312"/>
          <w:szCs w:val="32"/>
        </w:rPr>
        <w:t>3、上缴上级支出0万元。与上年决算数一致。</w:t>
      </w:r>
    </w:p>
    <w:p>
      <w:pPr>
        <w:spacing w:line="580" w:lineRule="exact"/>
        <w:ind w:firstLine="640" w:firstLineChars="200"/>
        <w:rPr>
          <w:rFonts w:ascii="仿宋_GB2312" w:eastAsia="仿宋_GB2312"/>
          <w:szCs w:val="32"/>
        </w:rPr>
      </w:pPr>
      <w:r>
        <w:rPr>
          <w:rFonts w:hint="eastAsia" w:ascii="仿宋_GB2312" w:eastAsia="仿宋_GB2312"/>
          <w:szCs w:val="32"/>
        </w:rPr>
        <w:t>4、经营支出0万元。与上年决算数一致。</w:t>
      </w:r>
    </w:p>
    <w:p>
      <w:pPr>
        <w:spacing w:line="580" w:lineRule="exact"/>
        <w:ind w:firstLine="640" w:firstLineChars="200"/>
        <w:rPr>
          <w:rFonts w:ascii="仿宋_GB2312" w:eastAsia="仿宋_GB2312"/>
          <w:szCs w:val="32"/>
        </w:rPr>
      </w:pPr>
      <w:r>
        <w:rPr>
          <w:rFonts w:hint="eastAsia" w:ascii="仿宋_GB2312" w:eastAsia="仿宋_GB2312"/>
          <w:szCs w:val="32"/>
        </w:rPr>
        <w:t>5、对附属单位补助支出0万元。与上年决算数一致。</w:t>
      </w:r>
    </w:p>
    <w:p>
      <w:pPr>
        <w:spacing w:line="580" w:lineRule="exact"/>
        <w:ind w:firstLine="640" w:firstLineChars="200"/>
        <w:rPr>
          <w:rFonts w:ascii="黑体" w:hAnsi="黑体" w:eastAsia="黑体"/>
          <w:szCs w:val="32"/>
        </w:rPr>
      </w:pPr>
      <w:r>
        <w:rPr>
          <w:rFonts w:hint="eastAsia" w:ascii="黑体" w:hAnsi="黑体" w:eastAsia="黑体"/>
          <w:szCs w:val="32"/>
        </w:rPr>
        <w:t>四、财政拨款收入支出决算总体情况说明</w:t>
      </w:r>
    </w:p>
    <w:p>
      <w:pPr>
        <w:spacing w:line="580" w:lineRule="exact"/>
        <w:ind w:firstLine="640" w:firstLineChars="200"/>
        <w:rPr>
          <w:rFonts w:ascii="仿宋_GB2312" w:eastAsia="仿宋_GB2312"/>
          <w:szCs w:val="32"/>
        </w:rPr>
      </w:pPr>
      <w:r>
        <w:rPr>
          <w:rFonts w:hint="eastAsia" w:ascii="仿宋_GB2312" w:eastAsia="仿宋_GB2312"/>
          <w:szCs w:val="32"/>
        </w:rPr>
        <w:t>2020年度财政拨款收、支总计52654.17万元。与2019年度相比，财政拨款收、支总计各减少48387.68万元，下降47.89%。主要是税收收入与土地出让收益减少，对应的财政拨款收入、支出减少。</w:t>
      </w:r>
    </w:p>
    <w:p>
      <w:pPr>
        <w:spacing w:line="580" w:lineRule="exact"/>
        <w:ind w:firstLine="640" w:firstLineChars="200"/>
        <w:rPr>
          <w:rFonts w:ascii="黑体" w:hAnsi="黑体" w:eastAsia="黑体"/>
          <w:szCs w:val="32"/>
        </w:rPr>
      </w:pPr>
      <w:r>
        <w:rPr>
          <w:rFonts w:hint="eastAsia" w:ascii="黑体" w:hAnsi="黑体" w:eastAsia="黑体"/>
          <w:szCs w:val="32"/>
        </w:rPr>
        <w:drawing>
          <wp:anchor distT="0" distB="0" distL="114300" distR="114300" simplePos="0" relativeHeight="251663360" behindDoc="0" locked="0" layoutInCell="1" allowOverlap="1">
            <wp:simplePos x="0" y="0"/>
            <wp:positionH relativeFrom="column">
              <wp:posOffset>93345</wp:posOffset>
            </wp:positionH>
            <wp:positionV relativeFrom="paragraph">
              <wp:posOffset>266700</wp:posOffset>
            </wp:positionV>
            <wp:extent cx="5269865" cy="2914650"/>
            <wp:effectExtent l="0" t="0" r="0" b="0"/>
            <wp:wrapTopAndBottom/>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pPr>
        <w:spacing w:line="580" w:lineRule="exact"/>
        <w:ind w:firstLine="640" w:firstLineChars="200"/>
        <w:rPr>
          <w:rFonts w:ascii="黑体" w:hAnsi="黑体" w:eastAsia="黑体"/>
          <w:szCs w:val="32"/>
        </w:rPr>
      </w:pPr>
      <w:r>
        <w:rPr>
          <w:rFonts w:hint="eastAsia" w:ascii="黑体" w:hAnsi="黑体" w:eastAsia="黑体"/>
          <w:szCs w:val="32"/>
        </w:rPr>
        <w:t>五、一般公共预算财政拨款支出决算情况说明</w:t>
      </w:r>
    </w:p>
    <w:p>
      <w:pPr>
        <w:spacing w:line="580" w:lineRule="exact"/>
        <w:ind w:firstLine="640" w:firstLineChars="200"/>
        <w:rPr>
          <w:rFonts w:ascii="楷体_GB2312" w:eastAsia="楷体_GB2312"/>
          <w:szCs w:val="32"/>
        </w:rPr>
      </w:pPr>
      <w:r>
        <w:rPr>
          <w:rFonts w:hint="eastAsia" w:ascii="楷体_GB2312" w:eastAsia="楷体_GB2312"/>
          <w:szCs w:val="32"/>
        </w:rPr>
        <w:t>（一）一般公共预算财政拨款支出决算总体情况</w:t>
      </w:r>
    </w:p>
    <w:p>
      <w:pPr>
        <w:spacing w:line="580" w:lineRule="exact"/>
        <w:ind w:firstLine="640" w:firstLineChars="200"/>
        <w:rPr>
          <w:rFonts w:ascii="仿宋_GB2312" w:eastAsia="仿宋_GB2312"/>
          <w:szCs w:val="32"/>
        </w:rPr>
      </w:pPr>
      <w:r>
        <w:rPr>
          <w:rFonts w:hint="eastAsia" w:ascii="仿宋_GB2312" w:eastAsia="仿宋_GB2312"/>
          <w:szCs w:val="32"/>
        </w:rPr>
        <w:t>2020年度一般公共预算财政拨款支出10508.60 万元，占本年支出合计的19.96%。与2019年度相比，一般公共预算财政拨款支出减少22741.01 万元，下降68.39%。主要是税收收入与土地出让收益减少，对应的财政拨款支出减少。</w:t>
      </w:r>
    </w:p>
    <w:p>
      <w:pPr>
        <w:spacing w:line="580" w:lineRule="exact"/>
        <w:ind w:firstLine="640" w:firstLineChars="200"/>
        <w:rPr>
          <w:rFonts w:ascii="楷体_GB2312" w:eastAsia="楷体_GB2312"/>
          <w:szCs w:val="32"/>
        </w:rPr>
      </w:pPr>
    </w:p>
    <w:p>
      <w:pPr>
        <w:spacing w:line="580" w:lineRule="exact"/>
        <w:ind w:firstLine="640" w:firstLineChars="200"/>
        <w:rPr>
          <w:rFonts w:ascii="楷体_GB2312" w:eastAsia="楷体_GB2312"/>
          <w:szCs w:val="32"/>
        </w:rPr>
      </w:pPr>
    </w:p>
    <w:p>
      <w:pPr>
        <w:spacing w:line="580" w:lineRule="exact"/>
        <w:ind w:firstLine="640" w:firstLineChars="200"/>
        <w:rPr>
          <w:rFonts w:ascii="楷体_GB2312" w:eastAsia="楷体_GB2312"/>
          <w:szCs w:val="32"/>
        </w:rPr>
      </w:pPr>
      <w:r>
        <w:rPr>
          <w:rFonts w:hint="eastAsia" w:ascii="仿宋_GB2312" w:eastAsia="仿宋_GB2312"/>
          <w:szCs w:val="32"/>
        </w:rPr>
        <w:drawing>
          <wp:anchor distT="0" distB="0" distL="114300" distR="114300" simplePos="0" relativeHeight="251664384" behindDoc="0" locked="0" layoutInCell="1" allowOverlap="1">
            <wp:simplePos x="0" y="0"/>
            <wp:positionH relativeFrom="column">
              <wp:posOffset>87630</wp:posOffset>
            </wp:positionH>
            <wp:positionV relativeFrom="paragraph">
              <wp:posOffset>186690</wp:posOffset>
            </wp:positionV>
            <wp:extent cx="5299075" cy="2656205"/>
            <wp:effectExtent l="0" t="0" r="15875" b="10795"/>
            <wp:wrapTopAndBottom/>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spacing w:line="580" w:lineRule="exact"/>
        <w:ind w:firstLine="640" w:firstLineChars="200"/>
        <w:rPr>
          <w:rFonts w:ascii="楷体_GB2312" w:eastAsia="楷体_GB2312"/>
          <w:szCs w:val="32"/>
        </w:rPr>
      </w:pPr>
      <w:r>
        <w:rPr>
          <w:rFonts w:hint="eastAsia" w:ascii="楷体_GB2312" w:eastAsia="楷体_GB2312"/>
          <w:szCs w:val="32"/>
        </w:rPr>
        <w:t>（二）一般公共预算财政拨款支出决算结构情况</w:t>
      </w:r>
    </w:p>
    <w:p>
      <w:pPr>
        <w:spacing w:line="580" w:lineRule="exact"/>
        <w:ind w:firstLine="640" w:firstLineChars="200"/>
        <w:rPr>
          <w:rFonts w:ascii="仿宋_GB2312" w:eastAsia="仿宋_GB2312"/>
          <w:szCs w:val="32"/>
        </w:rPr>
      </w:pPr>
      <w:r>
        <w:rPr>
          <w:rFonts w:hint="eastAsia" w:ascii="仿宋_GB2312" w:eastAsia="仿宋_GB2312"/>
          <w:szCs w:val="32"/>
        </w:rPr>
        <w:t>2020年度一般公共预算财政拨款支出10508.6万元，主要用于以下方面：一般公共服务（类）支出4784.62万元，占45.53%；公共安全（类）支出386.71万元，占3.68%；教育（类）支出414.20 万元，占3.94%；文化体育与传媒（类）支出625.28万元，占5.95%；社会保障和就业（类）支出246.24万元，占2.34%；卫生健康（类）支出420.28万元，占4%；节能环保（类）支出149.95万元，占1.43%；城乡社区（类）支出1,069.79万元，占10.18%；农林水（类）支出940.13万元，占8.95%；交通运输（类）支出14.41万元，占0.14%；自然资源海洋气象等（类）支出965.76万元，占9.19%；住房保障（类）支出338.03万元，占3.22%；灾害防治及应急管理（类）支出153.2万元，占1.46%。</w:t>
      </w:r>
    </w:p>
    <w:p>
      <w:pPr>
        <w:spacing w:line="580" w:lineRule="exact"/>
        <w:ind w:firstLine="640" w:firstLineChars="200"/>
        <w:rPr>
          <w:rFonts w:ascii="仿宋_GB2312" w:eastAsia="仿宋_GB2312"/>
          <w:szCs w:val="32"/>
        </w:rPr>
      </w:pPr>
      <w:r>
        <w:rPr>
          <w:rFonts w:hint="eastAsia" w:ascii="仿宋_GB2312" w:eastAsia="仿宋_GB2312"/>
          <w:szCs w:val="32"/>
        </w:rPr>
        <w:drawing>
          <wp:anchor distT="0" distB="0" distL="114300" distR="114300" simplePos="0" relativeHeight="251665408" behindDoc="0" locked="0" layoutInCell="1" allowOverlap="1">
            <wp:simplePos x="0" y="0"/>
            <wp:positionH relativeFrom="column">
              <wp:posOffset>86995</wp:posOffset>
            </wp:positionH>
            <wp:positionV relativeFrom="paragraph">
              <wp:posOffset>334010</wp:posOffset>
            </wp:positionV>
            <wp:extent cx="5222240" cy="2914650"/>
            <wp:effectExtent l="0" t="0" r="16510" b="0"/>
            <wp:wrapTopAndBottom/>
            <wp:docPr id="6"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pPr>
        <w:spacing w:line="580" w:lineRule="exact"/>
        <w:ind w:firstLine="640" w:firstLineChars="200"/>
        <w:rPr>
          <w:rFonts w:ascii="楷体_GB2312" w:eastAsia="楷体_GB2312"/>
          <w:szCs w:val="32"/>
        </w:rPr>
      </w:pPr>
      <w:r>
        <w:rPr>
          <w:rFonts w:hint="eastAsia" w:ascii="楷体_GB2312" w:eastAsia="楷体_GB2312"/>
          <w:szCs w:val="32"/>
        </w:rPr>
        <w:t>（三）一般公共预算财政拨款支出决算具体情况</w:t>
      </w:r>
    </w:p>
    <w:p>
      <w:pPr>
        <w:spacing w:line="580" w:lineRule="exact"/>
        <w:ind w:firstLine="640" w:firstLineChars="200"/>
        <w:rPr>
          <w:rFonts w:ascii="仿宋_GB2312" w:eastAsia="仿宋_GB2312"/>
          <w:szCs w:val="32"/>
        </w:rPr>
      </w:pPr>
      <w:r>
        <w:rPr>
          <w:rFonts w:hint="eastAsia" w:ascii="仿宋_GB2312" w:eastAsia="仿宋_GB2312"/>
          <w:szCs w:val="32"/>
        </w:rPr>
        <w:t>2020年度一般公共预算财政拨款支出年初预算为10508.6万元，支出决算为10508.6万元，完成年初预算的100%。决算数与年初预算基本持平。其中：</w:t>
      </w:r>
    </w:p>
    <w:p>
      <w:pPr>
        <w:spacing w:line="580" w:lineRule="exact"/>
        <w:ind w:firstLine="640" w:firstLineChars="200"/>
        <w:rPr>
          <w:rFonts w:ascii="仿宋_GB2312" w:eastAsia="仿宋_GB2312"/>
          <w:szCs w:val="32"/>
        </w:rPr>
      </w:pPr>
      <w:r>
        <w:rPr>
          <w:rFonts w:hint="eastAsia" w:ascii="仿宋_GB2312" w:eastAsia="仿宋_GB2312"/>
          <w:szCs w:val="32"/>
        </w:rPr>
        <w:t>1、一般公共服务（类）人大事务（款）行政运行（项）。年初预算为23.55万元，支出决算为23.55万元，完成年初预算的100%。决算数年初预算基本持平。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2、一般公共服务（类）政府办公厅（室）及相关机构事务行政运行（款）行政运行（项）。年初预算为3137.34万元，支出决算为3137.34万元，完成年初预算的100%。决算数与年初预算基本持平。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3、一般公共服务（类）政府办公厅（室）及相关机构事务行政运行（款）机关服务（项）。年初预算为23万元，支出决算为23万元，完成年初预算的100%。决算数与年初预算基本持平。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4、一般公共服务（类）发展与改革事务（款）行政运行（项）。年初预算为235.55万元，支出决算为235.55万元，完成年初预算的100%。决算数与年初预算基本持平。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5、一般公共服务（类）财政事务（款）行政运行（项）。年初预算为447.2万元，支出决算为447.2万元，完成年初预算的100%。决算数与年初预算基本持平。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6、一般公共服务（类）财政事务（款）其他财政事务支出（项）。年初预算为8万元，支出决算为8万元，完成年初预算的100%。决算数与年初预算基本持平。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7、一般公共服务（类）财政事务（款）其他财政事务支出（项）。年初预算为5万元，支出决算为5万元，完成年初预算的100%。决算数与年初预算基本持平。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8、一般公共服务（类）纪检监察事务（款） 行政运行（项）。年初预算为26.8万元，支出决算为26.8万元，完成年初预算的100%。决算数与年初预算基本持平。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9、一般公共服务（类）商贸事务（款）招商引资（项）。年初预算为329.98万元，支出决算为329.98万元，完成年初预算的100%。决算数与年初预算基本持平。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10、一般公共服务（类）群众团体事务（款）行政运行（项）。年初预算为16.41万元，支出决算为16.41万元，完成年初预算的100%。决算数与年初预算基本持平。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11、一般公共服务（类）党委办公厅（室）及相关机构事务（款）行政运行（项）。年初预算为391.77万元，支出决算为391.77万元，完成年初预算的100%。决算数与年初预算基本持平。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12、一般公共服务（类）组织事务（款）行政运行（项）。年初预算为52.37万元，支出决算为52.37万元，完成年初预算的100%。决算数与年初预算基本持平。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13、一般公共服务（类）组织事务（款）其他组织事务支出（项）。年初预算为11.72万元，支出决算为11.72万元，完成年初预算的100%。决算数与年初预算基本持平。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14、一般公共服务（类）宣传事务（款）其他宣传事务支出（项）。年初预算为51万元，支出决算为51万元，完成年初预算的100%。决算数与年初预算基本持平。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15、一般公共服务（类）其他一般公共服务支出（款）其他一般公共服务支出（项）。年初预算为24.94万元，支出决算为24.94万元，完成年初预算的100%。决算数与年初预算基本持平。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16、公共安全支出（类）公安（款）行政运行（项）。年初预算为281.24万元，支出决算为281.24万元，完成年初预算的100%。决算数与年初预算基本持平。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17、公共安全支出（类）公安（款）执法办案（项）。年初预算为20万元，支出决算为20万元，完成年初预算的100%。决算数与年初预算基本持平。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18、公共安全支出（类）公安（款）其他公安支出（项）。年初预算为57.63万元，支出决算为57.63万元，完成年初预算的100%。决算数与年初预算基本持平。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19、公共安全支出（类）其他公共安全支出（款）其他公共安全支出（项）。年初预算为27.83万元，支出决算为27.83万元，完成年初预算的100%。决算数与年初预算基本持平。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20、教育支出（类）普通教育（款）小学教育（项）。年初预算为47.5万元，支出决算为47.5万元，完成年初预算的100%。决算数与年初预算基本持平。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21、教育支出（类）普通教育（款）初中教育（项）。年初预算为180万元，支出决算为180万元，完成年初预算的100%。决算数与年初预算基本持平。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22、教育支出（类）普通教育（款）高中教育（项）。年初预算为186.7万元，支出决算为186.7万元，完成年初预算的100%。决算数与年初预算基本持平。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23、文化旅游体育与传媒支出（类）文化和旅游（款）行政运行（项）。年初预算为126.12万元，支出决算为126.12万元，完成年初预算的100%。决算数与年初预算基本持平。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24、文化旅游体育与传媒支出（类）文化和旅游（款）旅游宣传（项）。年初预算为66.67万元，支出决算为66.67万元，完成年初预算的100%。决算数与年初预算基本持平。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25、文化旅游体育与传媒支出（类）文化和旅游（款）其他文化和旅游支出（项）。年初预算为432.49万元，支出决算为432.49万元，完成年初预算的100%。决算数与年初预算基本持平。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26、社会保障和就业支出（类）人力资源和社会保障管理事务（款）行政运行（项）。年初预算为194.07万元，支出决算为194.07万元，完成年初预算的100%。决算数与年初预算基本持平。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27、社会保障和就业支出（类）抚恤（款）其他优抚支出（项）。年初预算为28.43万元，支出决算为28.43万元，完成年初预算的100%。决算数与年初预算基本持平。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28、社会保障和就业支出（类）其他社会保障和就业支出（款）其他社会保障和就业支出（项）。年初预算为23.74万元，支出决算为23.74万元，完成年初预算的100%。决算数与年初预算基本持平。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29、卫生健康支出（类）基层医疗卫生机构（款）乡镇卫生院（项）。年初预算为109.5万元，支出决算为109.5万元，完成年初预算的100%。决算数与年初预算基本持平。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30、卫生健康支出（类）计划生育事务（款）计划生育机构（项）。年初预算为144.3万元，支出决算为144.3万元，完成年初预算的100%。决算数与年初预算基本持平。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31、卫生健康支出（类）行政事业单位医疗（款）行政单位医疗（项）。年初预算为91.44万元，支出决算为91.44万元，完成年初预算的100%。决算数与年初预算基本持平。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32、卫生健康支出（类）行政事业单位医疗（款）事业单位医疗（项）。年初预算为70.66万元，支出决算为70.66万元，完成年初预算的100%。决算数与年初预算基本持平。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33、卫生健康支出（类）行政事业单位医疗（款）其他行政事业单位医疗支出（项）。年初预算为4.38万元，支出决算为4.38万元，完成年初预算的100%。决算数与年初预算基本持平。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34、节能环保支出（类）环境保护管理事务（款）行政运行（项）。年初预算为2.74万元，支出决算为2.74万元，完成年初预算的100%。决算数与年初预算基本持平。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35、节能环保支出（类）污染防治（款）水体（项）。年初预算为88.74万元，支出决算为88.74万元，完成年初预算的100%。决算数与年初预算基本持平。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36、节能环保支出（类）污染防治（款）其他污染防治支出（项）。年初预算为25.98万元，支出决算为25.98万元，完成年初预算的100%。决算数与年初预算基本持平。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37、节能环保支出（类）自然生态保护（款）生物及物种资源保护（项）。年初预算为32.49万元，支出决算为32.49万元，完成年初预算的100%。决算数与年初预算基本持平。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38、城乡社区支出（类）城乡社区管理事务（款）行政运行（项）。年初预算为171.61万元，支出决算为171.61万元，完成年初预算的100%。决算数与年初预算基本持平。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39、城乡社区支出（类）城乡社区管理事务（款）城管执法（项）。年初预算为233.61万元，支出决算为233.61万元，完成年初预算的100%。决算数与年初预算基本持平。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40、城乡社区支出（类）城乡社区公共设施（款）其他城乡社区公共设施支出法（项）。年初预算为100万元，支出决算为100万元，完成年初预算的100%。决算数与年初预算基本持平。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41、城乡社区支出（类）城乡社区环境卫生（款）城乡社区环境卫生（项）。年初预算为564.57万元，支出决算为564.57万元，完成年初预算的100%。决算数与年初预算基本持平。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42、农林水支出（类）农业农村（款）行政运行（项）。年初预算为451.36万元，支出决算为451.36万元，完成年初预算的100%。决算数与年初预算基本持平。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43、农林水支出（类）林业和草原（款）行政运行（项）。年初预算为10.34万元，支出决算为10.34万元，完成年初预算的100%。决算数与年初预算基本持平。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44、农林水支出（类）水利（款）行政运行（项）。年初预算为16.75万元，支出决算为16.75万元，完成年初预算的100%。决算数与年初预算基本持平。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45、农林水支出（类）扶贫（款）其他扶贫支出（项）。年初预算为418.5万元，支出决算为418.5万元，完成年初预算的100%。决算数与年初预算基本持平。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46、农林水支出（类）农村综合改革（款）对村民委员会和村党支部的补助（项）。年初预算为43.18万元，支出决算为43.18万元，完成年初预算的100%。决算数与年初预算基本持平。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47、交通运输支出（类）公路水路运输（款）公路养护（项）。年初预算为14.41万元，支出决算为14.41万元，完成年初预算的100%。决算数与年初预算基本持平。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48、自然资源海洋气象等支出（类）自然资源事务（款）海域与海岛管理（项）。年初预算为925.72万元，支出决算为925.72万元，完成年初预算的100%。决算数与年初预算基本持平。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49、自然资源海洋气象等支出（类）其他自然资源海洋气象等支出（款）其他自然资源海洋气象等支出（项）。年初预算为40.04万元，支出决算为40.04万元，完成年初预算的100%。决算数与年初预算基本持平。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50、住房保障支出（类）住房改革支出（款）住房公积金（项）。年初预算为338.03万元，支出决算为338.03万元，完成年初预算的100%。决算数与年初预算基本持平。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51、灾害防治及应急管理支出（类）应急管理事务（款）安全生产基础（项）。年初预算为0.96万元，支出决算为0.96万元，完成年初预算的100%。决算数与年初预算基本持平。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52、灾害防治及应急管理支出（类）应急管理事务（款）其他应急管理支出（项）。年初预算为79.8万元，支出决算为79.8万元，完成年初预算的100%。决算数与年初预算基本持平。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53、灾害防治及应急管理支出（类）消防事务（款）行政运行（项）。年初预算为62.15万元，支出决算为62.15万元，完成年初预算的100%。决算数与年初预算基本持平。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54、灾害防治及应急管理支出（类）消防事务（款）其他消防事务支出（项）。年初预算为10.29万元，支出决算为10.29万元，完成年初预算的100%。决算数与年初预算基本持平。</w:t>
      </w:r>
    </w:p>
    <w:p>
      <w:pPr>
        <w:spacing w:line="580" w:lineRule="exact"/>
        <w:ind w:firstLine="640" w:firstLineChars="200"/>
        <w:rPr>
          <w:rFonts w:ascii="黑体" w:hAnsi="黑体" w:eastAsia="黑体"/>
          <w:szCs w:val="32"/>
        </w:rPr>
      </w:pPr>
      <w:r>
        <w:rPr>
          <w:rFonts w:hint="eastAsia" w:ascii="黑体" w:hAnsi="黑体" w:eastAsia="黑体"/>
          <w:szCs w:val="32"/>
        </w:rPr>
        <w:t>六、一般公共预算财政拨款基本支出决算情况说明</w:t>
      </w:r>
    </w:p>
    <w:p>
      <w:pPr>
        <w:spacing w:line="580" w:lineRule="exact"/>
        <w:ind w:firstLine="640" w:firstLineChars="200"/>
        <w:rPr>
          <w:rFonts w:ascii="仿宋_GB2312" w:eastAsia="仿宋_GB2312"/>
          <w:szCs w:val="32"/>
        </w:rPr>
      </w:pPr>
      <w:r>
        <w:rPr>
          <w:rFonts w:hint="eastAsia" w:ascii="仿宋_GB2312" w:eastAsia="仿宋_GB2312"/>
          <w:szCs w:val="32"/>
        </w:rPr>
        <w:t>2020年度一般公共预算财政拨款基本支出决算6657.5万元，包括人员经费和公用经费，支出具体情况如下：</w:t>
      </w:r>
    </w:p>
    <w:p>
      <w:pPr>
        <w:spacing w:line="580" w:lineRule="exact"/>
        <w:ind w:firstLine="640" w:firstLineChars="200"/>
        <w:rPr>
          <w:rFonts w:ascii="仿宋_GB2312" w:eastAsia="仿宋_GB2312"/>
          <w:szCs w:val="32"/>
        </w:rPr>
      </w:pPr>
      <w:r>
        <w:rPr>
          <w:rFonts w:hint="eastAsia" w:ascii="仿宋_GB2312" w:eastAsia="仿宋_GB2312"/>
          <w:szCs w:val="32"/>
        </w:rPr>
        <w:t>人员经费4906.49万元，主要包括：基本工资、津贴补贴、奖金、绩效工资、机关事业单位基本养老保险缴费、职工基本医疗保险缴费、公务员医疗补助缴费、其他社会保障缴费、住房公积金、医疗费、其他工资福利支出、对个人和家庭的补助等。</w:t>
      </w:r>
    </w:p>
    <w:p>
      <w:pPr>
        <w:spacing w:line="580" w:lineRule="exact"/>
        <w:ind w:firstLine="640" w:firstLineChars="200"/>
        <w:rPr>
          <w:rFonts w:ascii="仿宋_GB2312" w:eastAsia="仿宋_GB2312"/>
          <w:szCs w:val="32"/>
        </w:rPr>
      </w:pPr>
      <w:r>
        <w:rPr>
          <w:rFonts w:hint="eastAsia" w:ascii="仿宋_GB2312" w:eastAsia="仿宋_GB2312"/>
          <w:szCs w:val="32"/>
        </w:rPr>
        <w:t>公用经费1751.01万元，主要包括：办公费、印刷费、咨询费、手续费、水费、电费、邮电费、取暖费、物业管理费、  差旅费、维修（护）费、租赁费、会议费、培训费、公务接待费、专用材料费、劳务费、委托业务费、工会经费、福利费、  公务用车运行维护费、税金及附加费用、办公设备购置、专用设备购置、公务用车购置等。</w:t>
      </w:r>
    </w:p>
    <w:p>
      <w:pPr>
        <w:spacing w:line="580" w:lineRule="exact"/>
        <w:ind w:firstLine="640" w:firstLineChars="200"/>
        <w:rPr>
          <w:rFonts w:ascii="黑体" w:hAnsi="黑体" w:eastAsia="黑体"/>
          <w:szCs w:val="32"/>
        </w:rPr>
      </w:pPr>
      <w:r>
        <w:rPr>
          <w:rFonts w:hint="eastAsia" w:ascii="黑体" w:hAnsi="黑体" w:eastAsia="黑体"/>
          <w:szCs w:val="32"/>
        </w:rPr>
        <w:t>七、一般公共预算财政拨款“三公”经费支出决算情况说明</w:t>
      </w:r>
    </w:p>
    <w:p>
      <w:pPr>
        <w:spacing w:line="580" w:lineRule="exact"/>
        <w:ind w:firstLine="640" w:firstLineChars="200"/>
        <w:rPr>
          <w:rFonts w:ascii="楷体_GB2312" w:eastAsia="楷体_GB2312"/>
          <w:szCs w:val="32"/>
        </w:rPr>
      </w:pPr>
      <w:r>
        <w:rPr>
          <w:rFonts w:hint="eastAsia" w:ascii="楷体_GB2312" w:eastAsia="楷体_GB2312"/>
          <w:szCs w:val="32"/>
        </w:rPr>
        <w:t>（一）“三公”经费支出决算总体情况说明</w:t>
      </w:r>
    </w:p>
    <w:p>
      <w:pPr>
        <w:spacing w:line="580" w:lineRule="exact"/>
        <w:ind w:firstLine="640" w:firstLineChars="200"/>
        <w:rPr>
          <w:rFonts w:ascii="仿宋_GB2312" w:eastAsia="仿宋_GB2312"/>
          <w:szCs w:val="32"/>
        </w:rPr>
      </w:pPr>
      <w:r>
        <w:rPr>
          <w:rFonts w:hint="eastAsia" w:ascii="仿宋_GB2312" w:eastAsia="仿宋_GB2312"/>
          <w:szCs w:val="32"/>
        </w:rPr>
        <w:t>2020年度一般公共预算财政拨款“三公”经费支出年初预算为100.05万元，支出决算为89.26万元，与2020年预算基本持平，完成年初预算的89.22%。</w:t>
      </w:r>
    </w:p>
    <w:p>
      <w:pPr>
        <w:spacing w:line="580" w:lineRule="exact"/>
        <w:ind w:firstLine="640" w:firstLineChars="200"/>
        <w:rPr>
          <w:rFonts w:ascii="楷体_GB2312" w:eastAsia="楷体_GB2312"/>
          <w:szCs w:val="32"/>
        </w:rPr>
      </w:pPr>
      <w:r>
        <w:rPr>
          <w:rFonts w:hint="eastAsia" w:ascii="楷体_GB2312" w:eastAsia="楷体_GB2312"/>
          <w:szCs w:val="32"/>
        </w:rPr>
        <w:t>（二）“三公”经费支出决算具体情况</w:t>
      </w:r>
    </w:p>
    <w:p>
      <w:pPr>
        <w:spacing w:line="580" w:lineRule="exact"/>
        <w:ind w:firstLine="640" w:firstLineChars="200"/>
        <w:rPr>
          <w:rFonts w:ascii="仿宋_GB2312" w:eastAsia="仿宋_GB2312"/>
          <w:szCs w:val="32"/>
        </w:rPr>
      </w:pPr>
      <w:r>
        <w:rPr>
          <w:rFonts w:hint="eastAsia" w:ascii="仿宋_GB2312" w:eastAsia="仿宋_GB2312"/>
          <w:szCs w:val="32"/>
        </w:rPr>
        <w:t>1、因公出国（境）费年初预算为8万元，支出决算为0万元，与2020年预算基本持平，完成年初预算的0%。全年支出涉及因公出国（境）团组0个,累计0人次。</w:t>
      </w:r>
    </w:p>
    <w:p>
      <w:pPr>
        <w:spacing w:line="580" w:lineRule="exact"/>
        <w:ind w:firstLine="640" w:firstLineChars="200"/>
        <w:rPr>
          <w:rFonts w:ascii="仿宋_GB2312" w:eastAsia="仿宋_GB2312"/>
          <w:szCs w:val="32"/>
        </w:rPr>
      </w:pPr>
      <w:r>
        <w:rPr>
          <w:rFonts w:hint="eastAsia" w:ascii="仿宋_GB2312" w:eastAsia="仿宋_GB2312"/>
          <w:szCs w:val="32"/>
        </w:rPr>
        <w:t>2、公务用车购置及运行维护费年初预算为90万元，支出决算为87.15万元，与2020年预算减少76万元，完成年初预算的96.83%。其中：</w:t>
      </w:r>
    </w:p>
    <w:p>
      <w:pPr>
        <w:ind w:firstLine="640" w:firstLineChars="200"/>
        <w:rPr>
          <w:rFonts w:ascii="仿宋_GB2312" w:eastAsia="仿宋_GB2312"/>
          <w:szCs w:val="32"/>
        </w:rPr>
      </w:pPr>
      <w:r>
        <w:rPr>
          <w:rFonts w:hint="eastAsia" w:ascii="仿宋_GB2312" w:eastAsia="仿宋_GB2312"/>
          <w:szCs w:val="32"/>
        </w:rPr>
        <w:t>公务用车购置费支出22.49万元，2020年</w:t>
      </w:r>
      <w:r>
        <w:rPr>
          <w:rFonts w:hint="eastAsia" w:ascii="仿宋_GB2312" w:eastAsia="仿宋_GB2312"/>
        </w:rPr>
        <w:t>荣成市成山镇人民政府</w:t>
      </w:r>
      <w:r>
        <w:rPr>
          <w:rFonts w:hint="eastAsia" w:ascii="仿宋_GB2312" w:eastAsia="仿宋_GB2312"/>
          <w:szCs w:val="32"/>
        </w:rPr>
        <w:t>使用财政拨款购置公务用车1辆。</w:t>
      </w:r>
    </w:p>
    <w:p>
      <w:pPr>
        <w:spacing w:line="580" w:lineRule="exact"/>
        <w:ind w:firstLine="640" w:firstLineChars="200"/>
        <w:rPr>
          <w:rFonts w:ascii="仿宋_GB2312" w:eastAsia="仿宋_GB2312"/>
          <w:szCs w:val="32"/>
        </w:rPr>
      </w:pPr>
      <w:r>
        <w:rPr>
          <w:rFonts w:hint="eastAsia" w:ascii="仿宋_GB2312" w:eastAsia="仿宋_GB2312"/>
          <w:szCs w:val="32"/>
        </w:rPr>
        <w:t>公务用车运行维护费64.66万元，主要是按规定保留的公务用车的燃料费、维修费等支出。截至2020年12月31日，成山镇、港西镇、埠柳镇、产业发展局、综合行政执法中心、纪工委等单位财政拨款开支运行维护费的公务用车保有量为25辆。</w:t>
      </w:r>
    </w:p>
    <w:p>
      <w:pPr>
        <w:spacing w:line="580" w:lineRule="exact"/>
        <w:ind w:firstLine="640" w:firstLineChars="200"/>
        <w:rPr>
          <w:rFonts w:ascii="仿宋_GB2312" w:eastAsia="仿宋_GB2312"/>
          <w:szCs w:val="32"/>
        </w:rPr>
      </w:pPr>
      <w:r>
        <w:rPr>
          <w:rFonts w:hint="eastAsia" w:ascii="仿宋_GB2312" w:eastAsia="仿宋_GB2312"/>
          <w:szCs w:val="32"/>
        </w:rPr>
        <w:t>3、公务接待费年初预算为2.5万元，支出决算为2.11万元，与2020年预算基本持平，完成年初预算的84.4%。其中：</w:t>
      </w:r>
    </w:p>
    <w:p>
      <w:pPr>
        <w:spacing w:line="580" w:lineRule="exact"/>
        <w:ind w:firstLine="640" w:firstLineChars="200"/>
        <w:rPr>
          <w:rFonts w:ascii="仿宋_GB2312" w:eastAsia="仿宋_GB2312"/>
          <w:szCs w:val="32"/>
        </w:rPr>
      </w:pPr>
      <w:r>
        <w:rPr>
          <w:rFonts w:hint="eastAsia" w:ascii="仿宋_GB2312" w:eastAsia="仿宋_GB2312"/>
          <w:szCs w:val="32"/>
        </w:rPr>
        <w:t>国内接待费2.11万元，主要用于接待大天鹅保护学术交流会专家，共计接待1批次、64人次（含外事接待0批次、0人次）；</w:t>
      </w:r>
    </w:p>
    <w:p>
      <w:pPr>
        <w:spacing w:line="580" w:lineRule="exact"/>
        <w:ind w:firstLine="640" w:firstLineChars="200"/>
        <w:rPr>
          <w:rFonts w:ascii="仿宋_GB2312" w:eastAsia="仿宋_GB2312"/>
          <w:szCs w:val="32"/>
        </w:rPr>
      </w:pPr>
      <w:r>
        <w:rPr>
          <w:rFonts w:hint="eastAsia" w:ascii="仿宋_GB2312" w:eastAsia="仿宋_GB2312"/>
          <w:szCs w:val="32"/>
        </w:rPr>
        <w:t>国（境）外接待费0万元，共计接待0批次、0人次。</w:t>
      </w:r>
    </w:p>
    <w:p>
      <w:pPr>
        <w:spacing w:line="580" w:lineRule="exact"/>
        <w:ind w:firstLine="640" w:firstLineChars="200"/>
        <w:rPr>
          <w:rFonts w:ascii="黑体" w:hAnsi="黑体" w:eastAsia="黑体"/>
          <w:szCs w:val="32"/>
        </w:rPr>
      </w:pPr>
      <w:r>
        <w:rPr>
          <w:rFonts w:hint="eastAsia" w:ascii="黑体" w:hAnsi="黑体" w:eastAsia="黑体"/>
          <w:szCs w:val="32"/>
        </w:rPr>
        <w:t>八、政府性基金预算财政拨款收入支出决算情况说明</w:t>
      </w:r>
    </w:p>
    <w:p>
      <w:pPr>
        <w:spacing w:line="580" w:lineRule="exact"/>
        <w:ind w:firstLine="640" w:firstLineChars="200"/>
        <w:rPr>
          <w:rFonts w:ascii="仿宋_GB2312" w:eastAsia="仿宋_GB2312"/>
          <w:szCs w:val="32"/>
        </w:rPr>
      </w:pPr>
      <w:r>
        <w:rPr>
          <w:rFonts w:hint="eastAsia" w:ascii="仿宋_GB2312" w:eastAsia="仿宋_GB2312"/>
          <w:szCs w:val="32"/>
        </w:rPr>
        <w:t>2020年度政府性基金预算财政拨款年初结转和结余0万元，本年收入42145.57万元，本年支出42145.57万元，年末结转和结余0万元。支出具体情况如下：</w:t>
      </w:r>
    </w:p>
    <w:p>
      <w:pPr>
        <w:spacing w:line="580" w:lineRule="exact"/>
        <w:ind w:firstLine="640" w:firstLineChars="200"/>
        <w:rPr>
          <w:rFonts w:ascii="仿宋_GB2312" w:eastAsia="仿宋_GB2312"/>
          <w:szCs w:val="32"/>
        </w:rPr>
      </w:pPr>
      <w:r>
        <w:rPr>
          <w:rFonts w:hint="eastAsia" w:ascii="仿宋_GB2312" w:eastAsia="仿宋_GB2312"/>
          <w:szCs w:val="32"/>
        </w:rPr>
        <w:t>（一）</w:t>
      </w:r>
      <w:r>
        <w:rPr>
          <w:rFonts w:hint="eastAsia" w:ascii="仿宋_GB2312" w:hAnsi="宋体" w:eastAsia="仿宋_GB2312" w:cs="Courier New"/>
          <w:szCs w:val="32"/>
        </w:rPr>
        <w:t>城乡社区支出（类）国有土地使用权出让收入安排的支出（款）土地开发支出（项）。</w:t>
      </w:r>
      <w:r>
        <w:rPr>
          <w:rFonts w:hint="eastAsia" w:ascii="仿宋_GB2312" w:eastAsia="仿宋_GB2312"/>
          <w:szCs w:val="32"/>
        </w:rPr>
        <w:t>年初预算为36760.66万元，支出决算为36760.66万元，完成年初预算的100%。决算数与年初预算基本持平。</w:t>
      </w:r>
    </w:p>
    <w:p>
      <w:pPr>
        <w:spacing w:line="580" w:lineRule="exact"/>
        <w:ind w:firstLine="640" w:firstLineChars="200"/>
        <w:rPr>
          <w:rFonts w:ascii="仿宋_GB2312" w:eastAsia="仿宋_GB2312"/>
          <w:szCs w:val="32"/>
        </w:rPr>
      </w:pPr>
      <w:r>
        <w:rPr>
          <w:rFonts w:hint="eastAsia" w:ascii="仿宋_GB2312" w:eastAsia="仿宋_GB2312"/>
          <w:szCs w:val="32"/>
        </w:rPr>
        <w:t>（二）</w:t>
      </w:r>
      <w:r>
        <w:rPr>
          <w:rFonts w:hint="eastAsia" w:ascii="仿宋_GB2312" w:hAnsi="宋体" w:eastAsia="仿宋_GB2312" w:cs="Courier New"/>
          <w:szCs w:val="32"/>
        </w:rPr>
        <w:t>城乡社区支出（类）城市基础设施配套费安排的支出（款）城市公共设施（项）。</w:t>
      </w:r>
      <w:r>
        <w:rPr>
          <w:rFonts w:hint="eastAsia" w:ascii="仿宋_GB2312" w:eastAsia="仿宋_GB2312"/>
          <w:szCs w:val="32"/>
        </w:rPr>
        <w:t>年初预算为5384.91万元，支出决算为5384.91万元，完成年初预算的100%。决算数与年初预算基本持平。</w:t>
      </w:r>
    </w:p>
    <w:p>
      <w:pPr>
        <w:spacing w:line="580" w:lineRule="exact"/>
        <w:ind w:firstLine="640" w:firstLineChars="200"/>
        <w:rPr>
          <w:rFonts w:ascii="黑体" w:hAnsi="黑体" w:eastAsia="黑体"/>
          <w:szCs w:val="32"/>
        </w:rPr>
      </w:pPr>
      <w:r>
        <w:rPr>
          <w:rFonts w:hint="eastAsia" w:ascii="黑体" w:hAnsi="黑体" w:eastAsia="黑体"/>
          <w:szCs w:val="32"/>
        </w:rPr>
        <w:t>九、国有资本经营预算财政拨款支出决算情况说明</w:t>
      </w:r>
    </w:p>
    <w:p>
      <w:pPr>
        <w:spacing w:line="580" w:lineRule="exact"/>
        <w:ind w:firstLine="640" w:firstLineChars="200"/>
        <w:rPr>
          <w:rFonts w:ascii="仿宋_GB2312" w:eastAsia="仿宋_GB2312"/>
          <w:szCs w:val="32"/>
        </w:rPr>
      </w:pPr>
      <w:r>
        <w:rPr>
          <w:rFonts w:hint="eastAsia" w:ascii="仿宋_GB2312" w:eastAsia="仿宋_GB2312"/>
          <w:szCs w:val="32"/>
        </w:rPr>
        <w:t>本部门没有使用国有资本经营预算安排的支出。</w:t>
      </w:r>
    </w:p>
    <w:p>
      <w:pPr>
        <w:spacing w:line="580" w:lineRule="exact"/>
        <w:ind w:firstLine="640" w:firstLineChars="200"/>
        <w:rPr>
          <w:rFonts w:ascii="黑体" w:hAnsi="黑体" w:eastAsia="黑体"/>
          <w:szCs w:val="32"/>
        </w:rPr>
      </w:pPr>
      <w:r>
        <w:rPr>
          <w:rFonts w:hint="eastAsia" w:ascii="黑体" w:hAnsi="黑体" w:eastAsia="黑体"/>
          <w:szCs w:val="32"/>
        </w:rPr>
        <w:t xml:space="preserve">十、其他重要事项情况说明 </w:t>
      </w:r>
    </w:p>
    <w:p>
      <w:pPr>
        <w:spacing w:line="580" w:lineRule="exact"/>
        <w:ind w:firstLine="640" w:firstLineChars="200"/>
        <w:rPr>
          <w:rFonts w:ascii="楷体_GB2312" w:eastAsia="楷体_GB2312"/>
          <w:szCs w:val="32"/>
        </w:rPr>
      </w:pPr>
      <w:r>
        <w:rPr>
          <w:rFonts w:hint="eastAsia" w:ascii="楷体_GB2312" w:eastAsia="楷体_GB2312"/>
          <w:szCs w:val="32"/>
        </w:rPr>
        <w:t>（一）机关运行经费支出情况</w:t>
      </w:r>
    </w:p>
    <w:p>
      <w:pPr>
        <w:autoSpaceDE w:val="0"/>
        <w:autoSpaceDN w:val="0"/>
        <w:adjustRightInd w:val="0"/>
        <w:spacing w:line="580" w:lineRule="exact"/>
        <w:ind w:firstLine="640" w:firstLineChars="200"/>
        <w:jc w:val="left"/>
        <w:rPr>
          <w:rFonts w:ascii="仿宋_GB2312" w:hAnsi="宋体" w:eastAsia="仿宋_GB2312" w:cs="Courier New"/>
          <w:szCs w:val="32"/>
        </w:rPr>
      </w:pPr>
      <w:r>
        <w:rPr>
          <w:rFonts w:hint="eastAsia" w:ascii="仿宋_GB2312" w:hAnsi="宋体" w:eastAsia="仿宋_GB2312" w:cs="Courier New"/>
          <w:szCs w:val="32"/>
        </w:rPr>
        <w:t>2020年度机关运行经费支出517.16万元，（2020年年初机关运行经费预算数517.16万元）</w:t>
      </w:r>
    </w:p>
    <w:p>
      <w:pPr>
        <w:spacing w:line="580" w:lineRule="exact"/>
        <w:ind w:firstLine="640" w:firstLineChars="200"/>
        <w:rPr>
          <w:rFonts w:ascii="楷体_GB2312" w:eastAsia="楷体_GB2312"/>
          <w:szCs w:val="32"/>
        </w:rPr>
      </w:pPr>
      <w:r>
        <w:rPr>
          <w:rFonts w:hint="eastAsia" w:ascii="楷体_GB2312" w:eastAsia="楷体_GB2312"/>
          <w:szCs w:val="32"/>
        </w:rPr>
        <w:t>（二）政府采购支出情况</w:t>
      </w:r>
    </w:p>
    <w:p>
      <w:pPr>
        <w:autoSpaceDE w:val="0"/>
        <w:autoSpaceDN w:val="0"/>
        <w:adjustRightInd w:val="0"/>
        <w:spacing w:line="580" w:lineRule="exact"/>
        <w:ind w:firstLine="640" w:firstLineChars="200"/>
        <w:jc w:val="left"/>
        <w:rPr>
          <w:rFonts w:ascii="仿宋_GB2312" w:eastAsia="仿宋_GB2312"/>
          <w:b/>
          <w:szCs w:val="32"/>
        </w:rPr>
      </w:pPr>
      <w:r>
        <w:rPr>
          <w:rFonts w:hint="eastAsia" w:ascii="仿宋_GB2312" w:hAnsi="宋体" w:eastAsia="仿宋_GB2312" w:cs="Courier New"/>
          <w:szCs w:val="32"/>
        </w:rPr>
        <w:t>2020年度政府采购支出总额265.59万元，其中：政府采购货物支出265.59万元、政府采购工程支出0万元、政府采购服务支出0万元。授予中小企业合同金额0万元，占政府采购支出总额的0%，其中：授予小微企业合同金额0万元，占政府采购支出总额的0%。</w:t>
      </w:r>
    </w:p>
    <w:p>
      <w:pPr>
        <w:spacing w:line="580" w:lineRule="exact"/>
        <w:ind w:firstLine="640" w:firstLineChars="200"/>
        <w:rPr>
          <w:rFonts w:ascii="楷体_GB2312" w:eastAsia="楷体_GB2312"/>
          <w:szCs w:val="32"/>
          <w:highlight w:val="yellow"/>
        </w:rPr>
      </w:pPr>
      <w:r>
        <w:rPr>
          <w:rFonts w:hint="eastAsia" w:ascii="楷体_GB2312" w:eastAsia="楷体_GB2312"/>
          <w:szCs w:val="32"/>
        </w:rPr>
        <w:t>（三）国有资产占用情况</w:t>
      </w:r>
    </w:p>
    <w:p>
      <w:pPr>
        <w:spacing w:line="580" w:lineRule="exact"/>
        <w:ind w:firstLine="640" w:firstLineChars="200"/>
        <w:rPr>
          <w:rFonts w:ascii="仿宋_GB2312" w:eastAsia="仿宋_GB2312"/>
          <w:szCs w:val="32"/>
        </w:rPr>
      </w:pPr>
      <w:r>
        <w:rPr>
          <w:rFonts w:hint="eastAsia" w:ascii="仿宋_GB2312" w:eastAsia="仿宋_GB2312"/>
          <w:szCs w:val="32"/>
        </w:rPr>
        <w:t>截至 2020 年 12 月 31 日，本部门共有车辆 25 辆，其中，符合规定领导干部用车5 辆、机要通信用车 0 辆、应急保障用车 5 辆、执法执勤用车 15 辆、特种专业技术用车 0辆、离退休干部用车 0辆、其他用车 0 辆；单位价值 50 万元以上通用设备 0 台（套）；单位价值 100 万元以上专用设备 0 台（套）。</w:t>
      </w:r>
    </w:p>
    <w:p>
      <w:pPr>
        <w:spacing w:line="580" w:lineRule="exact"/>
        <w:ind w:firstLine="640" w:firstLineChars="200"/>
        <w:rPr>
          <w:rFonts w:ascii="黑体" w:hAnsi="黑体" w:eastAsia="黑体"/>
          <w:szCs w:val="32"/>
        </w:rPr>
      </w:pPr>
      <w:r>
        <w:rPr>
          <w:rFonts w:hint="eastAsia" w:ascii="黑体" w:hAnsi="黑体" w:eastAsia="黑体"/>
          <w:szCs w:val="32"/>
        </w:rPr>
        <w:t>十一、预算绩效情况说明</w:t>
      </w:r>
    </w:p>
    <w:p>
      <w:pPr>
        <w:spacing w:line="580" w:lineRule="exact"/>
        <w:ind w:firstLine="640" w:firstLineChars="200"/>
        <w:rPr>
          <w:rFonts w:ascii="仿宋_GB2312" w:eastAsia="仿宋_GB2312"/>
          <w:szCs w:val="32"/>
        </w:rPr>
      </w:pPr>
      <w:r>
        <w:rPr>
          <w:rFonts w:hint="eastAsia" w:ascii="仿宋_GB2312" w:eastAsia="仿宋_GB2312"/>
          <w:szCs w:val="32"/>
        </w:rPr>
        <w:t>我单位根据《荣成市基层政府财政运行综合绩效管理考核办法》(荣财字[2021]13号 )规定，2021年2月份启动预算绩效管理工作。</w:t>
      </w:r>
    </w:p>
    <w:p>
      <w:pPr>
        <w:ind w:firstLine="540" w:firstLineChars="100"/>
        <w:rPr>
          <w:rFonts w:ascii="方正小标宋简体" w:eastAsia="方正小标宋简体"/>
          <w:spacing w:val="60"/>
          <w:sz w:val="42"/>
        </w:rPr>
      </w:pPr>
    </w:p>
    <w:p>
      <w:pPr>
        <w:rPr>
          <w:rFonts w:ascii="方正小标宋简体" w:eastAsia="方正小标宋简体"/>
          <w:spacing w:val="60"/>
          <w:sz w:val="42"/>
        </w:rPr>
      </w:pPr>
    </w:p>
    <w:p>
      <w:pPr>
        <w:rPr>
          <w:rFonts w:ascii="方正小标宋简体" w:eastAsia="方正小标宋简体"/>
          <w:spacing w:val="60"/>
          <w:sz w:val="42"/>
        </w:rPr>
      </w:pPr>
    </w:p>
    <w:p>
      <w:pPr>
        <w:rPr>
          <w:rFonts w:ascii="方正小标宋简体" w:eastAsia="方正小标宋简体"/>
          <w:spacing w:val="60"/>
          <w:sz w:val="42"/>
        </w:rPr>
      </w:pPr>
    </w:p>
    <w:p>
      <w:pPr>
        <w:rPr>
          <w:rFonts w:ascii="方正小标宋简体" w:eastAsia="方正小标宋简体"/>
          <w:spacing w:val="60"/>
          <w:sz w:val="42"/>
        </w:rPr>
      </w:pPr>
    </w:p>
    <w:p>
      <w:pPr>
        <w:rPr>
          <w:rFonts w:ascii="方正小标宋简体" w:eastAsia="方正小标宋简体"/>
          <w:spacing w:val="60"/>
          <w:sz w:val="42"/>
        </w:rPr>
      </w:pPr>
    </w:p>
    <w:p>
      <w:pPr>
        <w:ind w:firstLine="540" w:firstLineChars="100"/>
        <w:rPr>
          <w:rFonts w:ascii="方正小标宋简体" w:eastAsia="方正小标宋简体"/>
          <w:spacing w:val="60"/>
          <w:sz w:val="42"/>
        </w:rPr>
      </w:pPr>
      <w:r>
        <w:rPr>
          <w:rFonts w:hint="eastAsia" w:ascii="方正小标宋简体" w:eastAsia="方正小标宋简体"/>
          <w:spacing w:val="60"/>
          <w:sz w:val="42"/>
        </w:rPr>
        <w:t>第四部分</w:t>
      </w:r>
    </w:p>
    <w:p>
      <w:pPr>
        <w:jc w:val="center"/>
        <w:rPr>
          <w:rFonts w:ascii="方正小标宋简体" w:eastAsia="方正小标宋简体"/>
          <w:spacing w:val="60"/>
          <w:sz w:val="42"/>
        </w:rPr>
      </w:pPr>
    </w:p>
    <w:p>
      <w:pPr>
        <w:jc w:val="center"/>
        <w:rPr>
          <w:rFonts w:ascii="方正小标宋简体" w:eastAsia="方正小标宋简体"/>
          <w:spacing w:val="60"/>
          <w:sz w:val="42"/>
        </w:rPr>
      </w:pPr>
    </w:p>
    <w:p>
      <w:pPr>
        <w:jc w:val="center"/>
        <w:rPr>
          <w:rFonts w:ascii="方正小标宋简体" w:eastAsia="方正小标宋简体"/>
          <w:spacing w:val="60"/>
          <w:sz w:val="48"/>
        </w:rPr>
      </w:pPr>
      <w:r>
        <w:rPr>
          <w:rFonts w:hint="eastAsia" w:ascii="方正小标宋简体" w:eastAsia="方正小标宋简体"/>
          <w:spacing w:val="60"/>
          <w:sz w:val="48"/>
        </w:rPr>
        <w:t>名词解释</w:t>
      </w:r>
    </w:p>
    <w:p>
      <w:pPr>
        <w:jc w:val="center"/>
        <w:rPr>
          <w:rFonts w:ascii="方正小标宋简体" w:eastAsia="方正小标宋简体"/>
          <w:spacing w:val="60"/>
          <w:sz w:val="48"/>
        </w:rPr>
      </w:pPr>
    </w:p>
    <w:p>
      <w:pPr>
        <w:jc w:val="center"/>
        <w:rPr>
          <w:rFonts w:ascii="方正小标宋简体" w:eastAsia="方正小标宋简体"/>
          <w:spacing w:val="60"/>
          <w:sz w:val="48"/>
        </w:rPr>
      </w:pPr>
    </w:p>
    <w:p>
      <w:pPr>
        <w:jc w:val="center"/>
        <w:rPr>
          <w:rFonts w:ascii="方正小标宋简体" w:eastAsia="方正小标宋简体"/>
          <w:spacing w:val="60"/>
          <w:sz w:val="48"/>
        </w:rPr>
      </w:pPr>
    </w:p>
    <w:p>
      <w:pPr>
        <w:jc w:val="center"/>
        <w:rPr>
          <w:rFonts w:ascii="方正小标宋简体" w:eastAsia="方正小标宋简体"/>
          <w:spacing w:val="60"/>
          <w:sz w:val="48"/>
        </w:rPr>
      </w:pPr>
    </w:p>
    <w:p>
      <w:pPr>
        <w:rPr>
          <w:rFonts w:ascii="方正小标宋简体" w:eastAsia="方正小标宋简体"/>
          <w:spacing w:val="60"/>
          <w:sz w:val="48"/>
        </w:rPr>
      </w:pPr>
    </w:p>
    <w:p>
      <w:pPr>
        <w:spacing w:line="580" w:lineRule="exact"/>
        <w:ind w:firstLine="640" w:firstLineChars="200"/>
        <w:rPr>
          <w:rFonts w:ascii="黑体" w:hAnsi="黑体" w:eastAsia="黑体"/>
          <w:color w:val="000000"/>
          <w:szCs w:val="32"/>
        </w:rPr>
        <w:sectPr>
          <w:pgSz w:w="11906" w:h="16838"/>
          <w:pgMar w:top="2041" w:right="1701" w:bottom="2041" w:left="1701" w:header="851" w:footer="992" w:gutter="0"/>
          <w:cols w:space="720" w:num="1"/>
          <w:docGrid w:type="lines" w:linePitch="312" w:charSpace="0"/>
        </w:sectPr>
      </w:pPr>
    </w:p>
    <w:p>
      <w:pPr>
        <w:spacing w:line="580" w:lineRule="exact"/>
        <w:ind w:firstLine="640" w:firstLineChars="200"/>
        <w:rPr>
          <w:rFonts w:ascii="仿宋_GB2312" w:eastAsia="仿宋_GB2312"/>
          <w:szCs w:val="32"/>
        </w:rPr>
      </w:pPr>
      <w:r>
        <w:rPr>
          <w:rFonts w:hint="eastAsia" w:ascii="黑体" w:hAnsi="黑体" w:eastAsia="黑体"/>
          <w:color w:val="000000"/>
          <w:szCs w:val="32"/>
        </w:rPr>
        <w:t>一、财政拨款收入：</w:t>
      </w:r>
      <w:r>
        <w:rPr>
          <w:rFonts w:hint="eastAsia" w:ascii="仿宋_GB2312" w:eastAsia="仿宋_GB2312"/>
          <w:szCs w:val="32"/>
        </w:rPr>
        <w:t>指单位本年度从本级财政部门取得的财政拨款，包括一般公共预算财政拨款、政府性基金预算财政拨款和国有资本经营预算财政拨款。</w:t>
      </w:r>
    </w:p>
    <w:p>
      <w:pPr>
        <w:spacing w:line="580" w:lineRule="exact"/>
        <w:ind w:firstLine="640" w:firstLineChars="200"/>
        <w:rPr>
          <w:rFonts w:ascii="仿宋_GB2312" w:hAnsi="仿宋" w:eastAsia="仿宋_GB2312"/>
          <w:szCs w:val="32"/>
        </w:rPr>
      </w:pPr>
      <w:r>
        <w:rPr>
          <w:rFonts w:hint="eastAsia" w:ascii="黑体" w:hAnsi="黑体" w:eastAsia="黑体"/>
          <w:szCs w:val="32"/>
        </w:rPr>
        <w:t>二、上级补助收入：</w:t>
      </w:r>
      <w:r>
        <w:rPr>
          <w:rFonts w:hint="eastAsia" w:ascii="仿宋_GB2312" w:hAnsi="仿宋" w:eastAsia="仿宋_GB2312"/>
          <w:szCs w:val="32"/>
        </w:rPr>
        <w:t>指事业单位从主管部门和上级单位取得的非财政补助收入。</w:t>
      </w:r>
    </w:p>
    <w:p>
      <w:pPr>
        <w:spacing w:line="580" w:lineRule="exact"/>
        <w:ind w:firstLine="640" w:firstLineChars="200"/>
        <w:rPr>
          <w:rFonts w:ascii="仿宋_GB2312" w:hAnsi="仿宋" w:eastAsia="仿宋_GB2312"/>
          <w:szCs w:val="32"/>
        </w:rPr>
      </w:pPr>
      <w:r>
        <w:rPr>
          <w:rFonts w:hint="eastAsia" w:ascii="黑体" w:hAnsi="黑体" w:eastAsia="黑体"/>
          <w:szCs w:val="32"/>
        </w:rPr>
        <w:t>三、事业收入：</w:t>
      </w:r>
      <w:r>
        <w:rPr>
          <w:rFonts w:hint="eastAsia" w:ascii="仿宋_GB2312" w:hAnsi="仿宋" w:eastAsia="仿宋_GB2312"/>
          <w:szCs w:val="32"/>
        </w:rPr>
        <w:t>指事业单位开展专业业务活动及其辅助活动取得的收入；包括事业单位收到的财政专户实际核拨的教育收费等。</w:t>
      </w:r>
    </w:p>
    <w:p>
      <w:pPr>
        <w:spacing w:line="580" w:lineRule="exact"/>
        <w:ind w:firstLine="640" w:firstLineChars="200"/>
        <w:rPr>
          <w:rFonts w:ascii="仿宋_GB2312" w:hAnsi="仿宋" w:eastAsia="仿宋_GB2312"/>
          <w:szCs w:val="32"/>
        </w:rPr>
      </w:pPr>
      <w:r>
        <w:rPr>
          <w:rFonts w:hint="eastAsia" w:ascii="黑体" w:hAnsi="黑体" w:eastAsia="黑体"/>
          <w:szCs w:val="32"/>
        </w:rPr>
        <w:t>四、经营收入：</w:t>
      </w:r>
      <w:r>
        <w:rPr>
          <w:rFonts w:hint="eastAsia" w:ascii="仿宋_GB2312" w:hAnsi="仿宋" w:eastAsia="仿宋_GB2312"/>
          <w:szCs w:val="32"/>
        </w:rPr>
        <w:t>指事业单位在专业业务活动及其辅助活动之外开展非独立核算经营活动取得的收入。</w:t>
      </w:r>
    </w:p>
    <w:p>
      <w:pPr>
        <w:spacing w:line="580" w:lineRule="exact"/>
        <w:ind w:firstLine="640" w:firstLineChars="200"/>
        <w:rPr>
          <w:rFonts w:ascii="仿宋_GB2312" w:hAnsi="仿宋" w:eastAsia="仿宋_GB2312"/>
          <w:szCs w:val="32"/>
        </w:rPr>
      </w:pPr>
      <w:r>
        <w:rPr>
          <w:rFonts w:hint="eastAsia" w:ascii="黑体" w:hAnsi="黑体" w:eastAsia="黑体"/>
          <w:szCs w:val="32"/>
        </w:rPr>
        <w:t>五、附属单位上缴收入：</w:t>
      </w:r>
      <w:r>
        <w:rPr>
          <w:rFonts w:hint="eastAsia" w:ascii="仿宋_GB2312" w:hAnsi="仿宋" w:eastAsia="仿宋_GB2312"/>
          <w:szCs w:val="32"/>
        </w:rPr>
        <w:t>指事业单位附属独立核算单位按照有关规定上缴的收入。</w:t>
      </w:r>
    </w:p>
    <w:p>
      <w:pPr>
        <w:spacing w:line="580" w:lineRule="exact"/>
        <w:ind w:firstLine="640" w:firstLineChars="200"/>
        <w:rPr>
          <w:rFonts w:ascii="仿宋_GB2312" w:hAnsi="仿宋" w:eastAsia="仿宋_GB2312"/>
          <w:szCs w:val="32"/>
        </w:rPr>
      </w:pPr>
      <w:r>
        <w:rPr>
          <w:rFonts w:hint="eastAsia" w:ascii="黑体" w:hAnsi="黑体" w:eastAsia="黑体"/>
          <w:szCs w:val="32"/>
        </w:rPr>
        <w:t>六、其他收入：</w:t>
      </w:r>
      <w:r>
        <w:rPr>
          <w:rFonts w:hint="eastAsia" w:ascii="仿宋_GB2312" w:hAnsi="仿宋" w:eastAsia="仿宋_GB2312"/>
          <w:szCs w:val="32"/>
        </w:rPr>
        <w:t>指单位取得的除上述“</w:t>
      </w:r>
      <w:r>
        <w:rPr>
          <w:rFonts w:hint="eastAsia" w:ascii="仿宋_GB2312" w:eastAsia="仿宋_GB2312"/>
          <w:szCs w:val="32"/>
        </w:rPr>
        <w:t>财政拨款收入</w:t>
      </w:r>
      <w:r>
        <w:rPr>
          <w:rFonts w:hint="eastAsia" w:ascii="仿宋_GB2312" w:hAnsi="仿宋" w:eastAsia="仿宋_GB2312"/>
          <w:szCs w:val="32"/>
        </w:rPr>
        <w:t>”“上级补助收入”“事业收入”“经营收入”“附属单位上缴收入”等以外的各项收入。</w:t>
      </w:r>
    </w:p>
    <w:p>
      <w:pPr>
        <w:spacing w:line="580" w:lineRule="exact"/>
        <w:ind w:firstLine="640" w:firstLineChars="200"/>
        <w:rPr>
          <w:rFonts w:ascii="仿宋_GB2312" w:hAnsi="仿宋" w:eastAsia="仿宋_GB2312"/>
          <w:szCs w:val="32"/>
        </w:rPr>
      </w:pPr>
      <w:r>
        <w:rPr>
          <w:rFonts w:hint="eastAsia" w:ascii="黑体" w:hAnsi="黑体" w:eastAsia="黑体"/>
          <w:szCs w:val="32"/>
        </w:rPr>
        <w:t>七、使用非财政拨款结余：</w:t>
      </w:r>
      <w:r>
        <w:rPr>
          <w:rFonts w:hint="eastAsia" w:ascii="仿宋_GB2312" w:hAnsi="仿宋" w:eastAsia="仿宋_GB2312"/>
          <w:szCs w:val="32"/>
        </w:rPr>
        <w:t>指事业单位按照预算管理要求使用非财政拨款结余弥补收支差额的金额。</w:t>
      </w:r>
    </w:p>
    <w:p>
      <w:pPr>
        <w:spacing w:line="580" w:lineRule="exact"/>
        <w:ind w:firstLine="640" w:firstLineChars="200"/>
        <w:rPr>
          <w:rFonts w:ascii="仿宋_GB2312" w:eastAsia="仿宋_GB2312"/>
          <w:szCs w:val="32"/>
        </w:rPr>
      </w:pPr>
      <w:r>
        <w:rPr>
          <w:rFonts w:hint="eastAsia" w:ascii="黑体" w:hAnsi="黑体" w:eastAsia="黑体"/>
          <w:szCs w:val="32"/>
        </w:rPr>
        <w:t>八、年初结转和结余：</w:t>
      </w:r>
      <w:r>
        <w:rPr>
          <w:rFonts w:hint="eastAsia" w:ascii="仿宋_GB2312" w:eastAsia="仿宋_GB2312"/>
          <w:szCs w:val="32"/>
        </w:rPr>
        <w:t>指单位以前年度尚未完成、结转到本年仍按原规定用途继续使用的资金，或项目已完成等产生的结余资金。</w:t>
      </w:r>
    </w:p>
    <w:p>
      <w:pPr>
        <w:spacing w:line="580" w:lineRule="exact"/>
        <w:ind w:firstLine="640" w:firstLineChars="200"/>
        <w:rPr>
          <w:rFonts w:ascii="仿宋_GB2312" w:eastAsia="仿宋_GB2312"/>
          <w:szCs w:val="32"/>
        </w:rPr>
      </w:pPr>
      <w:r>
        <w:rPr>
          <w:rFonts w:hint="eastAsia" w:ascii="黑体" w:hAnsi="黑体" w:eastAsia="黑体"/>
          <w:szCs w:val="32"/>
        </w:rPr>
        <w:t>九、结余分配：</w:t>
      </w:r>
      <w:r>
        <w:rPr>
          <w:rFonts w:hint="eastAsia" w:ascii="仿宋_GB2312" w:eastAsia="仿宋_GB2312"/>
          <w:szCs w:val="32"/>
        </w:rPr>
        <w:t>指事业单位缴纳的所得税以及从非财政拨款结余或经营结余中提取的各类结余。</w:t>
      </w:r>
    </w:p>
    <w:p>
      <w:pPr>
        <w:spacing w:line="580" w:lineRule="exact"/>
        <w:ind w:firstLine="640" w:firstLineChars="200"/>
        <w:rPr>
          <w:rFonts w:ascii="仿宋_GB2312" w:hAnsi="仿宋" w:eastAsia="仿宋_GB2312"/>
          <w:szCs w:val="32"/>
        </w:rPr>
      </w:pPr>
      <w:r>
        <w:rPr>
          <w:rFonts w:hint="eastAsia" w:ascii="黑体" w:hAnsi="黑体" w:eastAsia="黑体"/>
          <w:szCs w:val="32"/>
        </w:rPr>
        <w:t>十、年末结转和结余：</w:t>
      </w:r>
      <w:r>
        <w:rPr>
          <w:rFonts w:hint="eastAsia" w:ascii="仿宋_GB2312" w:hAnsi="仿宋" w:eastAsia="仿宋_GB2312"/>
          <w:szCs w:val="32"/>
        </w:rPr>
        <w:t>指单位本年度或以前年度预算安排、因客观条件发生变化未全部执行或未执行，结转到以后年度继续使用的资金，或项目已完成等产生的结余资金。</w:t>
      </w:r>
    </w:p>
    <w:p>
      <w:pPr>
        <w:spacing w:line="580" w:lineRule="exact"/>
        <w:ind w:firstLine="640" w:firstLineChars="200"/>
        <w:rPr>
          <w:rFonts w:ascii="仿宋_GB2312" w:eastAsia="仿宋_GB2312"/>
          <w:szCs w:val="32"/>
        </w:rPr>
      </w:pPr>
      <w:r>
        <w:rPr>
          <w:rFonts w:hint="eastAsia" w:ascii="黑体" w:hAnsi="黑体" w:eastAsia="黑体"/>
          <w:szCs w:val="32"/>
        </w:rPr>
        <w:t>十一、基本支出：</w:t>
      </w:r>
      <w:r>
        <w:rPr>
          <w:rFonts w:hint="eastAsia" w:ascii="仿宋_GB2312" w:eastAsia="仿宋_GB2312"/>
          <w:szCs w:val="32"/>
        </w:rPr>
        <w:t>指单位为保障机构正常运转、完成日常工作任务而发生的各项支出。</w:t>
      </w:r>
    </w:p>
    <w:p>
      <w:pPr>
        <w:spacing w:line="580" w:lineRule="exact"/>
        <w:ind w:firstLine="640" w:firstLineChars="200"/>
        <w:rPr>
          <w:rFonts w:ascii="仿宋_GB2312" w:eastAsia="仿宋_GB2312"/>
          <w:szCs w:val="32"/>
        </w:rPr>
      </w:pPr>
      <w:r>
        <w:rPr>
          <w:rFonts w:hint="eastAsia" w:ascii="黑体" w:hAnsi="黑体" w:eastAsia="黑体"/>
          <w:szCs w:val="32"/>
        </w:rPr>
        <w:t>十二、项目支出：</w:t>
      </w:r>
      <w:r>
        <w:rPr>
          <w:rFonts w:hint="eastAsia" w:ascii="仿宋_GB2312" w:eastAsia="仿宋_GB2312"/>
          <w:szCs w:val="32"/>
        </w:rPr>
        <w:t>指单位为完成特定的行政工作任务或事业发展目标，在基本支出之外发生的各项支出。</w:t>
      </w:r>
    </w:p>
    <w:p>
      <w:pPr>
        <w:spacing w:line="580" w:lineRule="exact"/>
        <w:ind w:firstLine="640" w:firstLineChars="200"/>
        <w:rPr>
          <w:rFonts w:ascii="仿宋_GB2312" w:eastAsia="仿宋_GB2312"/>
          <w:szCs w:val="32"/>
        </w:rPr>
      </w:pPr>
      <w:r>
        <w:rPr>
          <w:rFonts w:hint="eastAsia" w:ascii="黑体" w:hAnsi="黑体" w:eastAsia="黑体"/>
          <w:szCs w:val="32"/>
        </w:rPr>
        <w:t>十三、经营支出：</w:t>
      </w:r>
      <w:r>
        <w:rPr>
          <w:rFonts w:hint="eastAsia" w:ascii="仿宋_GB2312" w:eastAsia="仿宋_GB2312"/>
          <w:szCs w:val="32"/>
        </w:rPr>
        <w:t>指事业单位在专业业务活动及其辅助活动之外开展非独立核算经营活动发生的支出。</w:t>
      </w:r>
    </w:p>
    <w:p>
      <w:pPr>
        <w:spacing w:line="580" w:lineRule="exact"/>
        <w:ind w:firstLine="640" w:firstLineChars="200"/>
        <w:rPr>
          <w:rFonts w:ascii="仿宋_GB2312" w:eastAsia="仿宋_GB2312"/>
          <w:szCs w:val="32"/>
        </w:rPr>
      </w:pPr>
      <w:r>
        <w:rPr>
          <w:rFonts w:hint="eastAsia" w:ascii="黑体" w:hAnsi="黑体" w:eastAsia="黑体"/>
          <w:szCs w:val="32"/>
        </w:rPr>
        <w:t>十四、“三公”经费：</w:t>
      </w:r>
      <w:r>
        <w:rPr>
          <w:rFonts w:hint="eastAsia" w:ascii="仿宋_GB2312" w:eastAsia="仿宋_GB2312"/>
          <w:szCs w:val="32"/>
        </w:rPr>
        <w:t>指单位用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及按规定保留的公务用车燃料费、维修费、过桥过路费、保险费、安全奖励费用等支出；公务接待费反映单位按规定开支的各类公务接待（含外宾接待）支出。</w:t>
      </w:r>
    </w:p>
    <w:p>
      <w:pPr>
        <w:spacing w:line="580" w:lineRule="exact"/>
        <w:ind w:firstLine="640" w:firstLineChars="200"/>
        <w:rPr>
          <w:rFonts w:ascii="仿宋_GB2312" w:eastAsia="仿宋_GB2312"/>
          <w:szCs w:val="32"/>
        </w:rPr>
      </w:pPr>
      <w:r>
        <w:rPr>
          <w:rFonts w:hint="eastAsia" w:ascii="黑体" w:hAnsi="黑体" w:eastAsia="黑体"/>
          <w:szCs w:val="32"/>
        </w:rPr>
        <w:t>十五、机关运行经费：</w:t>
      </w:r>
      <w:r>
        <w:rPr>
          <w:rFonts w:hint="eastAsia" w:ascii="仿宋_GB2312" w:eastAsia="仿宋_GB2312"/>
          <w:szCs w:val="32"/>
        </w:rPr>
        <w:t>指为保障行政单位（包括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黑体" w:hAnsi="黑体" w:eastAsia="黑体"/>
          <w:szCs w:val="32"/>
        </w:rPr>
      </w:pPr>
      <w:r>
        <w:rPr>
          <w:rFonts w:hint="eastAsia" w:ascii="黑体" w:hAnsi="黑体" w:eastAsia="黑体"/>
          <w:szCs w:val="32"/>
        </w:rPr>
        <w:t>十六、一般公共服务（类）人大事务（款）行政运行（项）：</w:t>
      </w:r>
      <w:r>
        <w:rPr>
          <w:rFonts w:hint="eastAsia" w:ascii="仿宋_GB2312" w:hAnsi="仿宋_GB2312" w:eastAsia="仿宋_GB2312" w:cs="仿宋_GB2312"/>
          <w:szCs w:val="32"/>
        </w:rPr>
        <w:t>反映行政单位（包括实行公务员管理的事业单位）的基本支出。</w:t>
      </w:r>
    </w:p>
    <w:p>
      <w:pPr>
        <w:ind w:firstLine="640" w:firstLineChars="200"/>
        <w:rPr>
          <w:rFonts w:ascii="仿宋_GB2312" w:hAnsi="仿宋_GB2312" w:eastAsia="仿宋_GB2312" w:cs="仿宋_GB2312"/>
          <w:szCs w:val="32"/>
        </w:rPr>
      </w:pPr>
      <w:r>
        <w:rPr>
          <w:rFonts w:hint="eastAsia" w:ascii="黑体" w:hAnsi="黑体" w:eastAsia="黑体"/>
          <w:szCs w:val="32"/>
        </w:rPr>
        <w:t>十七、一般公共服务（类）政府办公厅（室）及相关机构事务（款）行政运行（项）：</w:t>
      </w:r>
      <w:r>
        <w:rPr>
          <w:rFonts w:hint="eastAsia" w:ascii="仿宋_GB2312" w:hAnsi="仿宋_GB2312" w:eastAsia="仿宋_GB2312" w:cs="仿宋_GB2312"/>
          <w:szCs w:val="32"/>
        </w:rPr>
        <w:t>反映行政单位（包括实行公务员管理的事业单位）的基本支出。</w:t>
      </w:r>
    </w:p>
    <w:p>
      <w:pPr>
        <w:ind w:firstLine="640" w:firstLineChars="200"/>
        <w:rPr>
          <w:rFonts w:ascii="仿宋_GB2312" w:hAnsi="仿宋_GB2312" w:eastAsia="仿宋_GB2312" w:cs="仿宋_GB2312"/>
          <w:szCs w:val="32"/>
        </w:rPr>
      </w:pPr>
      <w:r>
        <w:rPr>
          <w:rFonts w:hint="eastAsia" w:ascii="黑体" w:hAnsi="黑体" w:eastAsia="黑体"/>
          <w:szCs w:val="32"/>
        </w:rPr>
        <w:t>十八、一般公共服务（类）政府办公厅（室）及相关机构事务（款）机关服务（项）：</w:t>
      </w:r>
      <w:r>
        <w:rPr>
          <w:rFonts w:hint="eastAsia" w:ascii="仿宋_GB2312" w:hAnsi="仿宋_GB2312" w:eastAsia="仿宋_GB2312" w:cs="仿宋_GB2312"/>
          <w:szCs w:val="32"/>
        </w:rPr>
        <w:t>反映行政单位（包括实行公务员管理的事业单位）提供后勤服务的各类后勤服务中心、医疗室等附属事业单位的支出。</w:t>
      </w:r>
    </w:p>
    <w:p>
      <w:pPr>
        <w:ind w:firstLine="640" w:firstLineChars="200"/>
        <w:rPr>
          <w:rFonts w:ascii="仿宋_GB2312" w:hAnsi="仿宋_GB2312" w:eastAsia="仿宋_GB2312" w:cs="仿宋_GB2312"/>
          <w:szCs w:val="32"/>
        </w:rPr>
      </w:pPr>
      <w:r>
        <w:rPr>
          <w:rFonts w:hint="eastAsia" w:ascii="黑体" w:hAnsi="黑体" w:eastAsia="黑体"/>
          <w:szCs w:val="32"/>
        </w:rPr>
        <w:t>十九、一般公共服务（类）发展与改革事务（款）行政运行（项）：</w:t>
      </w:r>
      <w:r>
        <w:rPr>
          <w:rFonts w:hint="eastAsia" w:ascii="仿宋_GB2312" w:hAnsi="仿宋_GB2312" w:eastAsia="仿宋_GB2312" w:cs="仿宋_GB2312"/>
          <w:szCs w:val="32"/>
        </w:rPr>
        <w:t>反映行政单位（包括实行公务员管理的事业单位）的基本支出。</w:t>
      </w:r>
    </w:p>
    <w:p>
      <w:pPr>
        <w:ind w:firstLine="640" w:firstLineChars="200"/>
        <w:rPr>
          <w:rFonts w:ascii="仿宋_GB2312" w:hAnsi="仿宋_GB2312" w:eastAsia="仿宋_GB2312" w:cs="仿宋_GB2312"/>
          <w:szCs w:val="32"/>
        </w:rPr>
      </w:pPr>
      <w:r>
        <w:rPr>
          <w:rFonts w:hint="eastAsia" w:ascii="黑体" w:hAnsi="黑体" w:eastAsia="黑体"/>
          <w:szCs w:val="32"/>
        </w:rPr>
        <w:t>二十、一般公共服务（类）财政事务（款）行政运行（项）：</w:t>
      </w:r>
      <w:r>
        <w:rPr>
          <w:rFonts w:hint="eastAsia" w:ascii="仿宋_GB2312" w:hAnsi="仿宋_GB2312" w:eastAsia="仿宋_GB2312" w:cs="仿宋_GB2312"/>
          <w:szCs w:val="32"/>
        </w:rPr>
        <w:t>反映行政单位（包括实行公务员管理的事业单位）的基本支出。</w:t>
      </w:r>
    </w:p>
    <w:p>
      <w:pPr>
        <w:ind w:firstLine="640" w:firstLineChars="200"/>
        <w:rPr>
          <w:rFonts w:ascii="黑体" w:hAnsi="黑体" w:eastAsia="黑体"/>
          <w:szCs w:val="32"/>
        </w:rPr>
      </w:pPr>
      <w:r>
        <w:rPr>
          <w:rFonts w:hint="eastAsia" w:ascii="黑体" w:hAnsi="黑体" w:eastAsia="黑体"/>
          <w:szCs w:val="32"/>
        </w:rPr>
        <w:t>二十一、一般公共服务（类）财政事务（款）其他财政事务支出（项）：</w:t>
      </w:r>
      <w:r>
        <w:rPr>
          <w:rFonts w:hint="eastAsia" w:ascii="仿宋_GB2312" w:hAnsi="仿宋_GB2312" w:eastAsia="仿宋_GB2312" w:cs="仿宋_GB2312"/>
          <w:szCs w:val="32"/>
        </w:rPr>
        <w:t>反映其他财政事务方面的支出。</w:t>
      </w:r>
    </w:p>
    <w:p>
      <w:pPr>
        <w:ind w:firstLine="640" w:firstLineChars="200"/>
        <w:rPr>
          <w:rFonts w:ascii="仿宋_GB2312" w:hAnsi="仿宋_GB2312" w:eastAsia="仿宋_GB2312" w:cs="仿宋_GB2312"/>
          <w:szCs w:val="32"/>
        </w:rPr>
      </w:pPr>
      <w:r>
        <w:rPr>
          <w:rFonts w:hint="eastAsia" w:ascii="黑体" w:hAnsi="黑体" w:eastAsia="黑体"/>
          <w:szCs w:val="32"/>
        </w:rPr>
        <w:t>二十二、一般公共服务（类）税收事务（款）其他税收事务支出（项）：</w:t>
      </w:r>
      <w:r>
        <w:rPr>
          <w:rFonts w:hint="eastAsia" w:ascii="仿宋_GB2312" w:hAnsi="仿宋_GB2312" w:eastAsia="仿宋_GB2312" w:cs="仿宋_GB2312"/>
          <w:szCs w:val="32"/>
        </w:rPr>
        <w:t>反映其他税收事务方面的支出。</w:t>
      </w:r>
    </w:p>
    <w:p>
      <w:pPr>
        <w:ind w:firstLine="640" w:firstLineChars="200"/>
        <w:rPr>
          <w:rFonts w:ascii="仿宋_GB2312" w:hAnsi="仿宋_GB2312" w:eastAsia="仿宋_GB2312" w:cs="仿宋_GB2312"/>
          <w:szCs w:val="32"/>
        </w:rPr>
      </w:pPr>
      <w:r>
        <w:rPr>
          <w:rFonts w:hint="eastAsia" w:ascii="黑体" w:hAnsi="黑体" w:eastAsia="黑体"/>
          <w:szCs w:val="32"/>
        </w:rPr>
        <w:t>二十三、一般公共服务（类）纪检监察事务（款）行政运行（项）：</w:t>
      </w:r>
      <w:r>
        <w:rPr>
          <w:rFonts w:hint="eastAsia" w:ascii="仿宋_GB2312" w:hAnsi="仿宋_GB2312" w:eastAsia="仿宋_GB2312" w:cs="仿宋_GB2312"/>
          <w:szCs w:val="32"/>
        </w:rPr>
        <w:t>反映行政单位（包括实行公务员管理的事业单位）的基本支出。</w:t>
      </w:r>
    </w:p>
    <w:p>
      <w:pPr>
        <w:ind w:firstLine="640" w:firstLineChars="200"/>
        <w:rPr>
          <w:rFonts w:ascii="仿宋_GB2312" w:hAnsi="仿宋_GB2312" w:eastAsia="仿宋_GB2312" w:cs="仿宋_GB2312"/>
          <w:szCs w:val="32"/>
        </w:rPr>
      </w:pPr>
      <w:r>
        <w:rPr>
          <w:rFonts w:hint="eastAsia" w:ascii="黑体" w:hAnsi="黑体" w:eastAsia="黑体"/>
          <w:szCs w:val="32"/>
        </w:rPr>
        <w:t>二十四、一般公共服务（类）商贸事务（款）招商引资（项）：</w:t>
      </w:r>
      <w:r>
        <w:rPr>
          <w:rFonts w:hint="eastAsia" w:ascii="仿宋_GB2312" w:hAnsi="仿宋_GB2312" w:eastAsia="仿宋_GB2312" w:cs="仿宋_GB2312"/>
          <w:szCs w:val="32"/>
        </w:rPr>
        <w:t>反映用于招商引资、优化经济环境等方面的支出。</w:t>
      </w:r>
    </w:p>
    <w:p>
      <w:pPr>
        <w:ind w:firstLine="640" w:firstLineChars="200"/>
        <w:rPr>
          <w:rFonts w:ascii="仿宋_GB2312" w:hAnsi="仿宋_GB2312" w:eastAsia="仿宋_GB2312" w:cs="仿宋_GB2312"/>
          <w:szCs w:val="32"/>
        </w:rPr>
      </w:pPr>
      <w:r>
        <w:rPr>
          <w:rFonts w:hint="eastAsia" w:ascii="黑体" w:hAnsi="黑体" w:eastAsia="黑体"/>
          <w:szCs w:val="32"/>
        </w:rPr>
        <w:t>二十五、一般公共服务（类）党委办公厅（室）及相关机构事务（款）行政运行（项）：</w:t>
      </w:r>
      <w:r>
        <w:rPr>
          <w:rFonts w:hint="eastAsia" w:ascii="仿宋_GB2312" w:hAnsi="仿宋_GB2312" w:eastAsia="仿宋_GB2312" w:cs="仿宋_GB2312"/>
          <w:szCs w:val="32"/>
        </w:rPr>
        <w:t>反映行政单位（包括实行公务员管理的事业单位）的基本支出。</w:t>
      </w:r>
    </w:p>
    <w:p>
      <w:pPr>
        <w:ind w:firstLine="640" w:firstLineChars="200"/>
        <w:rPr>
          <w:rFonts w:ascii="仿宋_GB2312" w:hAnsi="仿宋_GB2312" w:eastAsia="仿宋_GB2312" w:cs="仿宋_GB2312"/>
          <w:szCs w:val="32"/>
        </w:rPr>
      </w:pPr>
      <w:r>
        <w:rPr>
          <w:rFonts w:hint="eastAsia" w:ascii="黑体" w:hAnsi="黑体" w:eastAsia="黑体"/>
          <w:szCs w:val="32"/>
        </w:rPr>
        <w:t xml:space="preserve">二十六、一般公共服务（类）群众团体事务（款）行政运行（项）: </w:t>
      </w:r>
      <w:r>
        <w:rPr>
          <w:rFonts w:hint="eastAsia" w:ascii="仿宋_GB2312" w:hAnsi="仿宋_GB2312" w:eastAsia="仿宋_GB2312" w:cs="仿宋_GB2312"/>
          <w:szCs w:val="32"/>
        </w:rPr>
        <w:t>反映行政单位（包括实行公务员管理的事业单位）的基本支出。</w:t>
      </w:r>
    </w:p>
    <w:p>
      <w:pPr>
        <w:ind w:firstLine="640" w:firstLineChars="200"/>
        <w:rPr>
          <w:rFonts w:ascii="仿宋_GB2312" w:hAnsi="仿宋_GB2312" w:eastAsia="仿宋_GB2312" w:cs="仿宋_GB2312"/>
          <w:szCs w:val="32"/>
        </w:rPr>
      </w:pPr>
      <w:r>
        <w:rPr>
          <w:rFonts w:hint="eastAsia" w:ascii="黑体" w:hAnsi="黑体" w:eastAsia="黑体"/>
          <w:szCs w:val="32"/>
        </w:rPr>
        <w:t>二十七、一般公共服务（类）党委办公厅（室）及相关机构事务（款）行政运行（项）：</w:t>
      </w:r>
      <w:r>
        <w:rPr>
          <w:rFonts w:hint="eastAsia" w:ascii="仿宋_GB2312" w:hAnsi="仿宋_GB2312" w:eastAsia="仿宋_GB2312" w:cs="仿宋_GB2312"/>
          <w:szCs w:val="32"/>
        </w:rPr>
        <w:t>反映行政单位（包括实行公务员管理的事业单位）的基本支出。</w:t>
      </w:r>
    </w:p>
    <w:p>
      <w:pPr>
        <w:ind w:firstLine="640" w:firstLineChars="200"/>
        <w:rPr>
          <w:rFonts w:ascii="黑体" w:hAnsi="黑体" w:eastAsia="黑体"/>
          <w:szCs w:val="32"/>
        </w:rPr>
      </w:pPr>
      <w:r>
        <w:rPr>
          <w:rFonts w:hint="eastAsia" w:ascii="黑体" w:hAnsi="黑体" w:eastAsia="黑体"/>
          <w:szCs w:val="32"/>
        </w:rPr>
        <w:t>二十八：一般公共服务（类）组织事务（款）行政运行（项）：</w:t>
      </w:r>
      <w:r>
        <w:rPr>
          <w:rFonts w:hint="eastAsia" w:ascii="仿宋_GB2312" w:hAnsi="仿宋_GB2312" w:eastAsia="仿宋_GB2312" w:cs="仿宋_GB2312"/>
          <w:szCs w:val="32"/>
        </w:rPr>
        <w:t>反映行政单位（包括实行公务员管理的事业单位）的基本支出。</w:t>
      </w:r>
    </w:p>
    <w:p>
      <w:pPr>
        <w:ind w:firstLine="640" w:firstLineChars="200"/>
        <w:rPr>
          <w:rFonts w:ascii="仿宋_GB2312" w:hAnsi="仿宋_GB2312" w:eastAsia="仿宋_GB2312" w:cs="仿宋_GB2312"/>
          <w:szCs w:val="32"/>
        </w:rPr>
      </w:pPr>
      <w:r>
        <w:rPr>
          <w:rFonts w:hint="eastAsia" w:ascii="黑体" w:hAnsi="黑体" w:eastAsia="黑体"/>
          <w:szCs w:val="32"/>
        </w:rPr>
        <w:t>二十九：一般公共服务（类）组织事务（款）其他组织事务支出（项）：</w:t>
      </w:r>
      <w:r>
        <w:rPr>
          <w:rFonts w:hint="eastAsia" w:ascii="仿宋_GB2312" w:hAnsi="仿宋_GB2312" w:eastAsia="仿宋_GB2312" w:cs="仿宋_GB2312"/>
          <w:szCs w:val="32"/>
        </w:rPr>
        <w:t>反映其他用于中国共产党组织部门的事务支出。</w:t>
      </w:r>
    </w:p>
    <w:p>
      <w:pPr>
        <w:ind w:firstLine="640" w:firstLineChars="200"/>
        <w:rPr>
          <w:rFonts w:ascii="仿宋_GB2312" w:hAnsi="仿宋_GB2312" w:eastAsia="仿宋_GB2312" w:cs="仿宋_GB2312"/>
          <w:szCs w:val="32"/>
        </w:rPr>
      </w:pPr>
      <w:r>
        <w:rPr>
          <w:rFonts w:hint="eastAsia" w:ascii="黑体" w:hAnsi="黑体" w:eastAsia="黑体"/>
          <w:szCs w:val="32"/>
        </w:rPr>
        <w:t>三十、一般公共服务（类）宣传事务（款）其他宣传事务支出（项）：</w:t>
      </w:r>
      <w:r>
        <w:rPr>
          <w:rFonts w:hint="eastAsia" w:ascii="仿宋_GB2312" w:hAnsi="仿宋_GB2312" w:eastAsia="仿宋_GB2312" w:cs="仿宋_GB2312"/>
          <w:szCs w:val="32"/>
        </w:rPr>
        <w:t>反映其他用于中国共产党宣传部门的事务支出。</w:t>
      </w:r>
    </w:p>
    <w:p>
      <w:pPr>
        <w:ind w:firstLine="640" w:firstLineChars="200"/>
        <w:rPr>
          <w:rFonts w:ascii="仿宋_GB2312" w:hAnsi="仿宋_GB2312" w:eastAsia="仿宋_GB2312" w:cs="仿宋_GB2312"/>
          <w:szCs w:val="32"/>
        </w:rPr>
      </w:pPr>
      <w:r>
        <w:rPr>
          <w:rFonts w:hint="eastAsia" w:ascii="黑体" w:hAnsi="黑体" w:eastAsia="黑体"/>
          <w:szCs w:val="32"/>
        </w:rPr>
        <w:t>三十一、一般公共服务（类）其他一般公共服务支出（款）其他一般公共服务支出（项）：</w:t>
      </w:r>
      <w:r>
        <w:rPr>
          <w:rFonts w:hint="eastAsia" w:ascii="仿宋_GB2312" w:hAnsi="仿宋_GB2312" w:eastAsia="仿宋_GB2312" w:cs="仿宋_GB2312"/>
          <w:szCs w:val="32"/>
        </w:rPr>
        <w:t>反映其他一般公共服务支出。</w:t>
      </w:r>
    </w:p>
    <w:p>
      <w:pPr>
        <w:ind w:firstLine="640" w:firstLineChars="200"/>
        <w:rPr>
          <w:rFonts w:ascii="仿宋_GB2312" w:hAnsi="仿宋_GB2312" w:eastAsia="仿宋_GB2312" w:cs="仿宋_GB2312"/>
          <w:szCs w:val="32"/>
        </w:rPr>
      </w:pPr>
      <w:r>
        <w:rPr>
          <w:rFonts w:hint="eastAsia" w:ascii="黑体" w:hAnsi="黑体" w:eastAsia="黑体"/>
          <w:szCs w:val="32"/>
        </w:rPr>
        <w:t>三十二、公共安全支出（类）公安（款）行政运行（项）：</w:t>
      </w:r>
      <w:r>
        <w:rPr>
          <w:rFonts w:hint="eastAsia" w:ascii="仿宋_GB2312" w:hAnsi="仿宋_GB2312" w:eastAsia="仿宋_GB2312" w:cs="仿宋_GB2312"/>
          <w:szCs w:val="32"/>
        </w:rPr>
        <w:t>反映行政单位（包括实行公务员管理的事业单位）的基本支出。</w:t>
      </w:r>
    </w:p>
    <w:p>
      <w:pPr>
        <w:ind w:firstLine="640" w:firstLineChars="200"/>
        <w:rPr>
          <w:rFonts w:ascii="黑体" w:hAnsi="黑体" w:eastAsia="黑体"/>
          <w:szCs w:val="32"/>
        </w:rPr>
      </w:pPr>
      <w:r>
        <w:rPr>
          <w:rFonts w:hint="eastAsia" w:ascii="黑体" w:hAnsi="黑体" w:eastAsia="黑体"/>
          <w:szCs w:val="32"/>
        </w:rPr>
        <w:t>三十三、公共安全支出（类）公安（款）执法办案（项）：</w:t>
      </w:r>
      <w:r>
        <w:rPr>
          <w:rFonts w:hint="eastAsia" w:ascii="仿宋_GB2312" w:hAnsi="仿宋_GB2312" w:eastAsia="仿宋_GB2312" w:cs="仿宋_GB2312"/>
          <w:szCs w:val="32"/>
        </w:rPr>
        <w:t>反映公安机关从事行政执法、刑事司法及侦查办案等相关活动支出。</w:t>
      </w:r>
    </w:p>
    <w:p>
      <w:pPr>
        <w:ind w:firstLine="640" w:firstLineChars="200"/>
        <w:rPr>
          <w:rFonts w:ascii="黑体" w:hAnsi="黑体" w:eastAsia="仿宋_GB2312"/>
          <w:szCs w:val="32"/>
        </w:rPr>
      </w:pPr>
      <w:r>
        <w:rPr>
          <w:rFonts w:hint="eastAsia" w:ascii="黑体" w:hAnsi="黑体" w:eastAsia="黑体"/>
          <w:szCs w:val="32"/>
        </w:rPr>
        <w:t>三十四、公共安全支出（类）公安（款）其他公安支出（项）：</w:t>
      </w:r>
      <w:r>
        <w:rPr>
          <w:rFonts w:hint="eastAsia" w:ascii="仿宋_GB2312" w:hAnsi="仿宋_GB2312" w:eastAsia="仿宋_GB2312" w:cs="仿宋_GB2312"/>
          <w:szCs w:val="32"/>
        </w:rPr>
        <w:t>反映其他用于公安方面的支出。</w:t>
      </w:r>
    </w:p>
    <w:p>
      <w:pPr>
        <w:ind w:firstLine="640" w:firstLineChars="200"/>
        <w:rPr>
          <w:rFonts w:ascii="仿宋_GB2312" w:hAnsi="仿宋_GB2312" w:eastAsia="仿宋_GB2312" w:cs="仿宋_GB2312"/>
          <w:szCs w:val="32"/>
        </w:rPr>
      </w:pPr>
      <w:r>
        <w:rPr>
          <w:rFonts w:hint="eastAsia" w:ascii="黑体" w:hAnsi="黑体" w:eastAsia="黑体"/>
          <w:szCs w:val="32"/>
        </w:rPr>
        <w:t>三十五、公共安全支出（类）其他公共安全支出（款）其他公共安全支出（项）：</w:t>
      </w:r>
      <w:r>
        <w:rPr>
          <w:rFonts w:hint="eastAsia" w:ascii="仿宋_GB2312" w:hAnsi="仿宋_GB2312" w:eastAsia="仿宋_GB2312" w:cs="仿宋_GB2312"/>
          <w:szCs w:val="32"/>
        </w:rPr>
        <w:t>反映其他用于公共安全方面的支出。</w:t>
      </w:r>
    </w:p>
    <w:p>
      <w:pPr>
        <w:ind w:firstLine="640" w:firstLineChars="200"/>
        <w:rPr>
          <w:rFonts w:ascii="黑体" w:hAnsi="黑体" w:eastAsia="仿宋_GB2312"/>
          <w:szCs w:val="32"/>
        </w:rPr>
      </w:pPr>
      <w:r>
        <w:rPr>
          <w:rFonts w:hint="eastAsia" w:ascii="黑体" w:hAnsi="黑体" w:eastAsia="黑体"/>
          <w:szCs w:val="32"/>
        </w:rPr>
        <w:t>三十六、教育支出（类）普通教育（款）小学教育（项）：</w:t>
      </w:r>
      <w:r>
        <w:rPr>
          <w:rFonts w:hint="eastAsia" w:ascii="仿宋_GB2312" w:hAnsi="仿宋_GB2312" w:eastAsia="仿宋_GB2312" w:cs="仿宋_GB2312"/>
          <w:szCs w:val="32"/>
        </w:rPr>
        <w:t>反映各部门举办的小学教育支出。政府各部门对社会组织等举办的小学的自助，如捐款、补贴等。</w:t>
      </w:r>
    </w:p>
    <w:p>
      <w:pPr>
        <w:ind w:firstLine="640" w:firstLineChars="200"/>
        <w:rPr>
          <w:rFonts w:ascii="仿宋_GB2312" w:hAnsi="仿宋_GB2312" w:eastAsia="仿宋_GB2312" w:cs="仿宋_GB2312"/>
          <w:szCs w:val="32"/>
        </w:rPr>
      </w:pPr>
      <w:r>
        <w:rPr>
          <w:rFonts w:hint="eastAsia" w:ascii="黑体" w:hAnsi="黑体" w:eastAsia="黑体"/>
          <w:szCs w:val="32"/>
        </w:rPr>
        <w:t>三十七、教育支出（类）普通教育（款）初中教育（项）：</w:t>
      </w:r>
      <w:r>
        <w:rPr>
          <w:rFonts w:hint="eastAsia" w:ascii="仿宋_GB2312" w:hAnsi="仿宋_GB2312" w:eastAsia="仿宋_GB2312" w:cs="仿宋_GB2312"/>
          <w:szCs w:val="32"/>
        </w:rPr>
        <w:t>反映各部门举办的初中教育支出。政府各部门对社会组织等举办的初中的自助，如捐款、补贴等。</w:t>
      </w:r>
    </w:p>
    <w:p>
      <w:pPr>
        <w:ind w:firstLine="640" w:firstLineChars="200"/>
        <w:rPr>
          <w:rFonts w:ascii="仿宋_GB2312" w:hAnsi="仿宋_GB2312" w:eastAsia="仿宋_GB2312" w:cs="仿宋_GB2312"/>
          <w:szCs w:val="32"/>
        </w:rPr>
      </w:pPr>
      <w:r>
        <w:rPr>
          <w:rFonts w:hint="eastAsia" w:ascii="黑体" w:hAnsi="黑体" w:eastAsia="黑体"/>
          <w:szCs w:val="32"/>
        </w:rPr>
        <w:t>三十八、教育支出（类）普通教育（款）高中教育（项）：</w:t>
      </w:r>
      <w:r>
        <w:rPr>
          <w:rFonts w:hint="eastAsia" w:ascii="仿宋_GB2312" w:hAnsi="仿宋_GB2312" w:eastAsia="仿宋_GB2312" w:cs="仿宋_GB2312"/>
          <w:szCs w:val="32"/>
        </w:rPr>
        <w:t>反映各部门举办的普通高中教育支出。政府各部门对社会组织等举办的普通高中的自助，如捐款、补贴等。</w:t>
      </w:r>
    </w:p>
    <w:p>
      <w:pPr>
        <w:ind w:firstLine="640" w:firstLineChars="200"/>
        <w:rPr>
          <w:rFonts w:ascii="仿宋_GB2312" w:hAnsi="仿宋_GB2312" w:eastAsia="仿宋_GB2312" w:cs="仿宋_GB2312"/>
          <w:szCs w:val="32"/>
        </w:rPr>
      </w:pPr>
      <w:r>
        <w:rPr>
          <w:rFonts w:hint="eastAsia" w:ascii="黑体" w:hAnsi="黑体" w:eastAsia="黑体"/>
          <w:szCs w:val="32"/>
        </w:rPr>
        <w:t>三十九、文化旅游体育与传媒支出（类）文化和旅游（款）行政运行（项）：</w:t>
      </w:r>
      <w:r>
        <w:rPr>
          <w:rFonts w:hint="eastAsia" w:ascii="仿宋_GB2312" w:hAnsi="仿宋_GB2312" w:eastAsia="仿宋_GB2312" w:cs="仿宋_GB2312"/>
          <w:szCs w:val="32"/>
        </w:rPr>
        <w:t>反映行政单位（包括实行公务员管理的事业单位）的基本支出。</w:t>
      </w:r>
    </w:p>
    <w:p>
      <w:pPr>
        <w:ind w:firstLine="640" w:firstLineChars="200"/>
        <w:rPr>
          <w:rFonts w:ascii="仿宋_GB2312" w:hAnsi="仿宋_GB2312" w:eastAsia="仿宋_GB2312" w:cs="仿宋_GB2312"/>
          <w:szCs w:val="32"/>
        </w:rPr>
      </w:pPr>
      <w:r>
        <w:rPr>
          <w:rFonts w:hint="eastAsia" w:ascii="黑体" w:hAnsi="黑体" w:eastAsia="黑体"/>
          <w:szCs w:val="32"/>
        </w:rPr>
        <w:t>四十、文化旅游体育与传媒支出（类）文化和旅游（款）旅游宣传（项）：</w:t>
      </w:r>
      <w:r>
        <w:rPr>
          <w:rFonts w:hint="eastAsia" w:ascii="仿宋_GB2312" w:hAnsi="仿宋_GB2312" w:eastAsia="仿宋_GB2312" w:cs="仿宋_GB2312"/>
          <w:szCs w:val="32"/>
        </w:rPr>
        <w:t>反映在境内外开展各类旅游宣传促销活动的支出，包括驻外旅游机构宣传费、境外宣传促销费、境内宣传促销费、海外记者及旅行商接待费、旅游宣传品制作费及设备购置费等。</w:t>
      </w:r>
    </w:p>
    <w:p>
      <w:pPr>
        <w:ind w:firstLine="640" w:firstLineChars="200"/>
        <w:rPr>
          <w:rFonts w:ascii="仿宋_GB2312" w:hAnsi="仿宋_GB2312" w:eastAsia="仿宋_GB2312" w:cs="仿宋_GB2312"/>
          <w:szCs w:val="32"/>
        </w:rPr>
      </w:pPr>
      <w:r>
        <w:rPr>
          <w:rFonts w:hint="eastAsia" w:ascii="黑体" w:hAnsi="黑体" w:eastAsia="黑体"/>
          <w:szCs w:val="32"/>
        </w:rPr>
        <w:t>四十一、文化旅游体育与传媒支出（类）文化和旅游（款）其他文化和旅游支出（项）：</w:t>
      </w:r>
      <w:r>
        <w:rPr>
          <w:rFonts w:hint="eastAsia" w:ascii="仿宋_GB2312" w:hAnsi="仿宋_GB2312" w:eastAsia="仿宋_GB2312" w:cs="仿宋_GB2312"/>
          <w:szCs w:val="32"/>
        </w:rPr>
        <w:t>反映其他用于文化和旅游方面的支出。</w:t>
      </w:r>
    </w:p>
    <w:p>
      <w:pPr>
        <w:ind w:firstLine="640" w:firstLineChars="200"/>
        <w:rPr>
          <w:rFonts w:ascii="仿宋_GB2312" w:hAnsi="仿宋_GB2312" w:eastAsia="仿宋_GB2312" w:cs="仿宋_GB2312"/>
          <w:szCs w:val="32"/>
        </w:rPr>
      </w:pPr>
      <w:r>
        <w:rPr>
          <w:rFonts w:hint="eastAsia" w:ascii="黑体" w:hAnsi="黑体" w:eastAsia="黑体"/>
          <w:szCs w:val="32"/>
        </w:rPr>
        <w:t>四十二、社会保障和就业支出（类）人力资源和社会保障管理事务（款）行政运行（项）：</w:t>
      </w:r>
      <w:r>
        <w:rPr>
          <w:rFonts w:hint="eastAsia" w:ascii="仿宋_GB2312" w:hAnsi="仿宋_GB2312" w:eastAsia="仿宋_GB2312" w:cs="仿宋_GB2312"/>
          <w:szCs w:val="32"/>
        </w:rPr>
        <w:t>反映行政单位（包括实行公务员管理的事业单位）的基本支出。</w:t>
      </w:r>
    </w:p>
    <w:p>
      <w:pPr>
        <w:ind w:firstLine="640" w:firstLineChars="200"/>
        <w:rPr>
          <w:rFonts w:ascii="仿宋_GB2312" w:hAnsi="仿宋_GB2312" w:eastAsia="仿宋_GB2312" w:cs="仿宋_GB2312"/>
          <w:szCs w:val="32"/>
        </w:rPr>
      </w:pPr>
      <w:r>
        <w:rPr>
          <w:rFonts w:hint="eastAsia" w:ascii="黑体" w:hAnsi="黑体" w:eastAsia="黑体"/>
          <w:szCs w:val="32"/>
        </w:rPr>
        <w:t>四十三、社会保障和就业支出（类）抚恤（款）其他优抚支出（项）：</w:t>
      </w:r>
      <w:r>
        <w:rPr>
          <w:rFonts w:hint="eastAsia" w:ascii="仿宋_GB2312" w:hAnsi="仿宋_GB2312" w:eastAsia="仿宋_GB2312" w:cs="仿宋_GB2312"/>
          <w:szCs w:val="32"/>
        </w:rPr>
        <w:t>反映其他用于优抚方面的支出，包括向优抚对象发放的价格临时补贴等支出。</w:t>
      </w:r>
    </w:p>
    <w:p>
      <w:pPr>
        <w:ind w:firstLine="640" w:firstLineChars="200"/>
        <w:rPr>
          <w:rFonts w:ascii="黑体" w:hAnsi="黑体" w:eastAsia="黑体"/>
          <w:szCs w:val="32"/>
        </w:rPr>
      </w:pPr>
      <w:r>
        <w:rPr>
          <w:rFonts w:hint="eastAsia" w:ascii="黑体" w:hAnsi="黑体" w:eastAsia="黑体"/>
          <w:szCs w:val="32"/>
        </w:rPr>
        <w:t>四十四、社会保障和就业支出（类）其他社会保障和就业支出（款）其他社会保障和就业支出（项）：</w:t>
      </w:r>
      <w:r>
        <w:rPr>
          <w:rFonts w:hint="eastAsia" w:ascii="仿宋_GB2312" w:hAnsi="仿宋_GB2312" w:eastAsia="仿宋_GB2312" w:cs="仿宋_GB2312"/>
          <w:szCs w:val="32"/>
        </w:rPr>
        <w:t>反映其他用于社会保障和就业方面的支出。</w:t>
      </w:r>
    </w:p>
    <w:p>
      <w:pPr>
        <w:ind w:firstLine="640" w:firstLineChars="200"/>
        <w:rPr>
          <w:rFonts w:ascii="仿宋_GB2312" w:hAnsi="仿宋_GB2312" w:eastAsia="仿宋_GB2312" w:cs="仿宋_GB2312"/>
          <w:szCs w:val="32"/>
        </w:rPr>
      </w:pPr>
      <w:r>
        <w:rPr>
          <w:rFonts w:hint="eastAsia" w:ascii="黑体" w:hAnsi="黑体" w:eastAsia="黑体"/>
          <w:szCs w:val="32"/>
        </w:rPr>
        <w:t>四十五、卫生健康支出（类）基层医疗卫生机构（款）乡镇卫生院（项）：</w:t>
      </w:r>
      <w:r>
        <w:rPr>
          <w:rFonts w:hint="eastAsia" w:ascii="仿宋_GB2312" w:hAnsi="仿宋_GB2312" w:eastAsia="仿宋_GB2312" w:cs="仿宋_GB2312"/>
          <w:szCs w:val="32"/>
        </w:rPr>
        <w:t>反映用于乡镇卫生院的支出。</w:t>
      </w:r>
    </w:p>
    <w:p>
      <w:pPr>
        <w:ind w:firstLine="640" w:firstLineChars="200"/>
        <w:rPr>
          <w:rFonts w:ascii="仿宋_GB2312" w:hAnsi="仿宋_GB2312" w:eastAsia="仿宋_GB2312" w:cs="仿宋_GB2312"/>
          <w:szCs w:val="32"/>
        </w:rPr>
      </w:pPr>
      <w:r>
        <w:rPr>
          <w:rFonts w:hint="eastAsia" w:ascii="黑体" w:hAnsi="黑体" w:eastAsia="黑体"/>
          <w:szCs w:val="32"/>
        </w:rPr>
        <w:t>四十六、卫生健康支出（类）计划生育事务（款）计划生育机构（项）：</w:t>
      </w:r>
      <w:r>
        <w:rPr>
          <w:rFonts w:hint="eastAsia" w:ascii="仿宋_GB2312" w:hAnsi="仿宋_GB2312" w:eastAsia="仿宋_GB2312" w:cs="仿宋_GB2312"/>
          <w:szCs w:val="32"/>
        </w:rPr>
        <w:t>反映卫生健康部门所属计划生育机构的支出。</w:t>
      </w:r>
    </w:p>
    <w:p>
      <w:pPr>
        <w:ind w:firstLine="640" w:firstLineChars="200"/>
        <w:rPr>
          <w:rFonts w:ascii="仿宋_GB2312" w:hAnsi="仿宋_GB2312" w:eastAsia="仿宋_GB2312" w:cs="仿宋_GB2312"/>
          <w:szCs w:val="32"/>
        </w:rPr>
      </w:pPr>
      <w:r>
        <w:rPr>
          <w:rFonts w:hint="eastAsia" w:ascii="黑体" w:hAnsi="黑体" w:eastAsia="黑体"/>
          <w:szCs w:val="32"/>
        </w:rPr>
        <w:t>四十七、卫生健康支出（类）行政事业单位医疗（款）行政单位医疗（项）：</w:t>
      </w:r>
      <w:r>
        <w:rPr>
          <w:rFonts w:hint="eastAsia" w:ascii="仿宋_GB2312" w:hAnsi="仿宋_GB2312" w:eastAsia="仿宋_GB2312" w:cs="仿宋_GB2312"/>
          <w:szCs w:val="32"/>
        </w:rPr>
        <w:t>反映财政部门安排的行政单位（包括实行公务员管理的事业单位）基本医疗保险缴费经费。</w:t>
      </w:r>
    </w:p>
    <w:p>
      <w:pPr>
        <w:ind w:firstLine="640" w:firstLineChars="200"/>
        <w:rPr>
          <w:rFonts w:ascii="仿宋_GB2312" w:hAnsi="仿宋_GB2312" w:eastAsia="仿宋_GB2312" w:cs="仿宋_GB2312"/>
          <w:szCs w:val="32"/>
        </w:rPr>
      </w:pPr>
      <w:r>
        <w:rPr>
          <w:rFonts w:hint="eastAsia" w:ascii="黑体" w:hAnsi="黑体" w:eastAsia="黑体"/>
          <w:szCs w:val="32"/>
        </w:rPr>
        <w:t>四十八、卫生健康支出（类）行政事业单位医疗（款）事业单位医疗（项）：</w:t>
      </w:r>
      <w:r>
        <w:rPr>
          <w:rFonts w:hint="eastAsia" w:ascii="仿宋_GB2312" w:hAnsi="仿宋_GB2312" w:eastAsia="仿宋_GB2312" w:cs="仿宋_GB2312"/>
          <w:szCs w:val="32"/>
        </w:rPr>
        <w:t>反映财政部门安排的事业单位基本医疗保险缴费经费。</w:t>
      </w:r>
    </w:p>
    <w:p>
      <w:pPr>
        <w:ind w:firstLine="640" w:firstLineChars="200"/>
        <w:rPr>
          <w:rFonts w:ascii="仿宋_GB2312" w:hAnsi="仿宋_GB2312" w:eastAsia="仿宋_GB2312" w:cs="仿宋_GB2312"/>
          <w:szCs w:val="32"/>
        </w:rPr>
      </w:pPr>
      <w:r>
        <w:rPr>
          <w:rFonts w:hint="eastAsia" w:ascii="黑体" w:hAnsi="黑体" w:eastAsia="黑体"/>
          <w:szCs w:val="32"/>
        </w:rPr>
        <w:t>四十九、卫生健康支出（类）行政事业单位医疗（款）其他行政事业单位医疗支出（项）：</w:t>
      </w:r>
      <w:r>
        <w:rPr>
          <w:rFonts w:hint="eastAsia" w:ascii="仿宋_GB2312" w:hAnsi="仿宋_GB2312" w:eastAsia="仿宋_GB2312" w:cs="仿宋_GB2312"/>
          <w:szCs w:val="32"/>
        </w:rPr>
        <w:t>反映其他用于行政事业单位医疗方面的支出。</w:t>
      </w:r>
    </w:p>
    <w:p>
      <w:pPr>
        <w:ind w:firstLine="640" w:firstLineChars="200"/>
        <w:rPr>
          <w:rFonts w:ascii="仿宋_GB2312" w:hAnsi="仿宋_GB2312" w:eastAsia="仿宋_GB2312" w:cs="仿宋_GB2312"/>
          <w:szCs w:val="32"/>
        </w:rPr>
      </w:pPr>
      <w:r>
        <w:rPr>
          <w:rFonts w:hint="eastAsia" w:ascii="黑体" w:hAnsi="黑体" w:eastAsia="黑体"/>
          <w:szCs w:val="32"/>
        </w:rPr>
        <w:t>五十、节能环保支出（类）环境保护管理事务（款）行政运行（项）：</w:t>
      </w:r>
      <w:r>
        <w:rPr>
          <w:rFonts w:hint="eastAsia" w:ascii="仿宋_GB2312" w:hAnsi="仿宋_GB2312" w:eastAsia="仿宋_GB2312" w:cs="仿宋_GB2312"/>
          <w:szCs w:val="32"/>
        </w:rPr>
        <w:t>反映行政单位（包括实行公务员管理的事业单位）的基本支出。</w:t>
      </w:r>
    </w:p>
    <w:p>
      <w:pPr>
        <w:ind w:firstLine="640" w:firstLineChars="200"/>
        <w:rPr>
          <w:rFonts w:ascii="仿宋_GB2312" w:hAnsi="仿宋_GB2312" w:eastAsia="仿宋_GB2312" w:cs="仿宋_GB2312"/>
          <w:szCs w:val="32"/>
        </w:rPr>
      </w:pPr>
      <w:r>
        <w:rPr>
          <w:rFonts w:hint="eastAsia" w:ascii="黑体" w:hAnsi="黑体" w:eastAsia="黑体"/>
          <w:szCs w:val="32"/>
        </w:rPr>
        <w:t xml:space="preserve">五十一、节能环保支出（类）污染防治（款）水体（项）: </w:t>
      </w:r>
      <w:r>
        <w:rPr>
          <w:rFonts w:hint="eastAsia" w:ascii="仿宋_GB2312" w:hAnsi="仿宋_GB2312" w:eastAsia="仿宋_GB2312" w:cs="仿宋_GB2312"/>
          <w:szCs w:val="32"/>
        </w:rPr>
        <w:t>反映政府在排水、污染处理、水污染防治、湖库生态环境保护、水源地保护、国土江河综合整治、河流治理与保护、地下水修复与保护等方面的支出。</w:t>
      </w:r>
    </w:p>
    <w:p>
      <w:pPr>
        <w:ind w:firstLine="640" w:firstLineChars="200"/>
        <w:rPr>
          <w:rFonts w:ascii="仿宋_GB2312" w:hAnsi="仿宋_GB2312" w:eastAsia="仿宋_GB2312" w:cs="仿宋_GB2312"/>
          <w:szCs w:val="32"/>
        </w:rPr>
      </w:pPr>
      <w:r>
        <w:rPr>
          <w:rFonts w:hint="eastAsia" w:ascii="黑体" w:hAnsi="黑体" w:eastAsia="黑体"/>
          <w:szCs w:val="32"/>
        </w:rPr>
        <w:t>五十二、节能环保支出（类）污染防治（款）其他污染防治支出（项）：</w:t>
      </w:r>
      <w:r>
        <w:rPr>
          <w:rFonts w:hint="eastAsia" w:ascii="仿宋_GB2312" w:hAnsi="仿宋_GB2312" w:eastAsia="仿宋_GB2312" w:cs="仿宋_GB2312"/>
          <w:szCs w:val="32"/>
        </w:rPr>
        <w:t>反映其他用于污染防治方面的支出。</w:t>
      </w:r>
    </w:p>
    <w:p>
      <w:pPr>
        <w:ind w:firstLine="640" w:firstLineChars="200"/>
        <w:rPr>
          <w:rFonts w:ascii="黑体" w:hAnsi="黑体" w:eastAsia="黑体"/>
          <w:szCs w:val="32"/>
        </w:rPr>
      </w:pPr>
      <w:r>
        <w:rPr>
          <w:rFonts w:hint="eastAsia" w:ascii="黑体" w:hAnsi="黑体" w:eastAsia="黑体"/>
          <w:szCs w:val="32"/>
        </w:rPr>
        <w:t>五十三、节能环保支出（类）自然生态保护（款）生物及物种资源保护（项）：</w:t>
      </w:r>
      <w:r>
        <w:rPr>
          <w:rFonts w:hint="eastAsia" w:ascii="仿宋_GB2312" w:hAnsi="仿宋_GB2312" w:eastAsia="仿宋_GB2312" w:cs="仿宋_GB2312"/>
          <w:szCs w:val="32"/>
        </w:rPr>
        <w:t>反映用于生物多样性、生物安全、生物遗传资源管理及保护、外来入侵物种防治、微生物环境安全监管等支出。</w:t>
      </w:r>
    </w:p>
    <w:p>
      <w:pPr>
        <w:ind w:firstLine="640" w:firstLineChars="200"/>
        <w:rPr>
          <w:rFonts w:ascii="黑体" w:hAnsi="黑体" w:eastAsia="黑体"/>
          <w:szCs w:val="32"/>
        </w:rPr>
      </w:pPr>
      <w:r>
        <w:rPr>
          <w:rFonts w:hint="eastAsia" w:ascii="黑体" w:hAnsi="黑体" w:eastAsia="黑体"/>
          <w:szCs w:val="32"/>
        </w:rPr>
        <w:t>五十四、城乡社区支出（类）城乡社区管理事务（款）行政运行（项）：</w:t>
      </w:r>
      <w:r>
        <w:rPr>
          <w:rFonts w:hint="eastAsia" w:ascii="仿宋_GB2312" w:hAnsi="仿宋_GB2312" w:eastAsia="仿宋_GB2312" w:cs="仿宋_GB2312"/>
          <w:szCs w:val="32"/>
        </w:rPr>
        <w:t>反映行政单位（包括实行公务员管理的事业单位）的基本支出。</w:t>
      </w:r>
    </w:p>
    <w:p>
      <w:pPr>
        <w:ind w:firstLine="640" w:firstLineChars="200"/>
        <w:rPr>
          <w:rFonts w:ascii="仿宋_GB2312" w:hAnsi="仿宋_GB2312" w:eastAsia="仿宋_GB2312" w:cs="仿宋_GB2312"/>
          <w:szCs w:val="32"/>
        </w:rPr>
      </w:pPr>
      <w:r>
        <w:rPr>
          <w:rFonts w:hint="eastAsia" w:ascii="黑体" w:hAnsi="黑体" w:eastAsia="黑体"/>
          <w:szCs w:val="32"/>
        </w:rPr>
        <w:t>五十五、城乡社区支出（类）城乡社区管理事务（款）城管执法（项）：</w:t>
      </w:r>
      <w:r>
        <w:rPr>
          <w:rFonts w:hint="eastAsia" w:ascii="仿宋_GB2312" w:hAnsi="仿宋_GB2312" w:eastAsia="仿宋_GB2312" w:cs="仿宋_GB2312"/>
          <w:szCs w:val="32"/>
        </w:rPr>
        <w:t>反映城市管理综合行政执法、加强城市市容和环境卫生管理等方面的支出。</w:t>
      </w:r>
    </w:p>
    <w:p>
      <w:pPr>
        <w:ind w:firstLine="640" w:firstLineChars="200"/>
        <w:rPr>
          <w:rFonts w:ascii="仿宋_GB2312" w:hAnsi="仿宋_GB2312" w:eastAsia="仿宋_GB2312" w:cs="仿宋_GB2312"/>
          <w:szCs w:val="32"/>
        </w:rPr>
      </w:pPr>
      <w:r>
        <w:rPr>
          <w:rFonts w:hint="eastAsia" w:ascii="黑体" w:hAnsi="黑体" w:eastAsia="黑体"/>
          <w:szCs w:val="32"/>
        </w:rPr>
        <w:t>五十六、城乡社区支出（类）城乡社区公共设施（款）其他城乡社区公共设施支出（项）：</w:t>
      </w:r>
      <w:r>
        <w:rPr>
          <w:rFonts w:hint="eastAsia" w:ascii="仿宋_GB2312" w:hAnsi="仿宋_GB2312" w:eastAsia="仿宋_GB2312" w:cs="仿宋_GB2312"/>
          <w:szCs w:val="32"/>
        </w:rPr>
        <w:t xml:space="preserve">反映其他用于城乡社区公共设施方面的支出。 </w:t>
      </w:r>
    </w:p>
    <w:p>
      <w:pPr>
        <w:ind w:firstLine="640" w:firstLineChars="200"/>
        <w:rPr>
          <w:rFonts w:ascii="仿宋_GB2312" w:hAnsi="仿宋_GB2312" w:eastAsia="仿宋_GB2312" w:cs="仿宋_GB2312"/>
          <w:szCs w:val="32"/>
        </w:rPr>
      </w:pPr>
      <w:r>
        <w:rPr>
          <w:rFonts w:hint="eastAsia" w:ascii="黑体" w:hAnsi="黑体" w:eastAsia="黑体"/>
          <w:szCs w:val="32"/>
        </w:rPr>
        <w:t>五十七、城乡社区支出（类）城乡社区环境卫生（款）城乡社区环境卫生（项）：</w:t>
      </w:r>
      <w:r>
        <w:rPr>
          <w:rFonts w:hint="eastAsia" w:ascii="仿宋_GB2312" w:hAnsi="仿宋_GB2312" w:eastAsia="仿宋_GB2312" w:cs="仿宋_GB2312"/>
          <w:szCs w:val="32"/>
        </w:rPr>
        <w:t>反映城乡社区道路清扫、垃圾清运及处理、公测建设与维护、园林绿化等方面的支出。</w:t>
      </w:r>
    </w:p>
    <w:p>
      <w:pPr>
        <w:ind w:firstLine="640" w:firstLineChars="200"/>
        <w:rPr>
          <w:rFonts w:ascii="仿宋_GB2312" w:hAnsi="仿宋_GB2312" w:eastAsia="仿宋_GB2312" w:cs="仿宋_GB2312"/>
          <w:szCs w:val="32"/>
        </w:rPr>
      </w:pPr>
      <w:r>
        <w:rPr>
          <w:rFonts w:hint="eastAsia" w:ascii="黑体" w:hAnsi="黑体" w:eastAsia="黑体"/>
          <w:szCs w:val="32"/>
        </w:rPr>
        <w:t>五十八、农林水支出（类）农业农村（款）行政运行（项）：</w:t>
      </w:r>
      <w:r>
        <w:rPr>
          <w:rFonts w:hint="eastAsia" w:ascii="仿宋_GB2312" w:hAnsi="仿宋_GB2312" w:eastAsia="仿宋_GB2312" w:cs="仿宋_GB2312"/>
          <w:szCs w:val="32"/>
        </w:rPr>
        <w:t>反映行政单位（包括实行公务员管理的事业单位）的基本支出。</w:t>
      </w:r>
    </w:p>
    <w:p>
      <w:pPr>
        <w:ind w:firstLine="640" w:firstLineChars="200"/>
        <w:rPr>
          <w:rFonts w:ascii="仿宋_GB2312" w:hAnsi="仿宋_GB2312" w:eastAsia="仿宋_GB2312" w:cs="仿宋_GB2312"/>
          <w:szCs w:val="32"/>
        </w:rPr>
      </w:pPr>
      <w:r>
        <w:rPr>
          <w:rFonts w:hint="eastAsia" w:ascii="黑体" w:hAnsi="黑体" w:eastAsia="黑体"/>
          <w:szCs w:val="32"/>
        </w:rPr>
        <w:t>五十九、农林水支出（类）林业和草原（款）行政运行（项）：</w:t>
      </w:r>
      <w:r>
        <w:rPr>
          <w:rFonts w:hint="eastAsia" w:ascii="仿宋_GB2312" w:hAnsi="仿宋_GB2312" w:eastAsia="仿宋_GB2312" w:cs="仿宋_GB2312"/>
          <w:szCs w:val="32"/>
        </w:rPr>
        <w:t>反映行政单位（包括实行公务员管理的事业单位）的基本支出。</w:t>
      </w:r>
    </w:p>
    <w:p>
      <w:pPr>
        <w:ind w:firstLine="640" w:firstLineChars="200"/>
        <w:rPr>
          <w:rFonts w:ascii="仿宋_GB2312" w:hAnsi="仿宋_GB2312" w:eastAsia="仿宋_GB2312" w:cs="仿宋_GB2312"/>
          <w:szCs w:val="32"/>
        </w:rPr>
      </w:pPr>
      <w:r>
        <w:rPr>
          <w:rFonts w:hint="eastAsia" w:ascii="黑体" w:hAnsi="黑体" w:eastAsia="黑体"/>
          <w:szCs w:val="32"/>
        </w:rPr>
        <w:t>六十、农林水支出（类）水利（款）行政运行（项）：</w:t>
      </w:r>
      <w:r>
        <w:rPr>
          <w:rFonts w:hint="eastAsia" w:ascii="仿宋_GB2312" w:hAnsi="仿宋_GB2312" w:eastAsia="仿宋_GB2312" w:cs="仿宋_GB2312"/>
          <w:szCs w:val="32"/>
        </w:rPr>
        <w:t>反映行政单位（包括实行公务员管理的事业单位）的基本支出。</w:t>
      </w:r>
    </w:p>
    <w:p>
      <w:pPr>
        <w:ind w:firstLine="640" w:firstLineChars="200"/>
        <w:rPr>
          <w:rFonts w:ascii="仿宋_GB2312" w:hAnsi="仿宋_GB2312" w:eastAsia="仿宋_GB2312" w:cs="仿宋_GB2312"/>
          <w:szCs w:val="32"/>
        </w:rPr>
      </w:pPr>
      <w:r>
        <w:rPr>
          <w:rFonts w:hint="eastAsia" w:ascii="黑体" w:hAnsi="黑体" w:eastAsia="黑体"/>
          <w:szCs w:val="32"/>
        </w:rPr>
        <w:t>六十一、农林水支出（类）扶贫（款）其他扶贫支出（项）：</w:t>
      </w:r>
      <w:r>
        <w:rPr>
          <w:rFonts w:hint="eastAsia" w:ascii="仿宋_GB2312" w:hAnsi="仿宋_GB2312" w:eastAsia="仿宋_GB2312" w:cs="仿宋_GB2312"/>
          <w:szCs w:val="32"/>
        </w:rPr>
        <w:t>反映其他用于扶贫方面的支出。</w:t>
      </w:r>
    </w:p>
    <w:p>
      <w:pPr>
        <w:ind w:firstLine="640" w:firstLineChars="200"/>
        <w:rPr>
          <w:rFonts w:ascii="仿宋_GB2312" w:hAnsi="仿宋_GB2312" w:eastAsia="仿宋_GB2312" w:cs="仿宋_GB2312"/>
          <w:szCs w:val="32"/>
        </w:rPr>
      </w:pPr>
      <w:r>
        <w:rPr>
          <w:rFonts w:hint="eastAsia" w:ascii="黑体" w:hAnsi="黑体" w:eastAsia="黑体"/>
          <w:szCs w:val="32"/>
        </w:rPr>
        <w:t>六十二、农林水支出（类）农村综合改革（款）对村民委员会和村党支部的补助（项）：</w:t>
      </w:r>
      <w:r>
        <w:rPr>
          <w:rFonts w:hint="eastAsia" w:ascii="仿宋_GB2312" w:hAnsi="仿宋_GB2312" w:eastAsia="仿宋_GB2312" w:cs="仿宋_GB2312"/>
          <w:szCs w:val="32"/>
        </w:rPr>
        <w:t>反映各级财政对村民委员会和村党支部的补助支出，以及支持建立县级基本财力保障机制安排的村级组织运转奖补资金。</w:t>
      </w:r>
    </w:p>
    <w:p>
      <w:pPr>
        <w:ind w:firstLine="640" w:firstLineChars="200"/>
        <w:rPr>
          <w:rFonts w:ascii="仿宋_GB2312" w:hAnsi="仿宋_GB2312" w:eastAsia="仿宋_GB2312" w:cs="仿宋_GB2312"/>
          <w:szCs w:val="32"/>
        </w:rPr>
      </w:pPr>
      <w:r>
        <w:rPr>
          <w:rFonts w:hint="eastAsia" w:ascii="黑体" w:hAnsi="黑体" w:eastAsia="黑体"/>
          <w:szCs w:val="32"/>
        </w:rPr>
        <w:t>六十三、交通运输支出（类）公路水路运输（款）公路养护（项）：</w:t>
      </w:r>
      <w:r>
        <w:rPr>
          <w:rFonts w:hint="eastAsia" w:ascii="仿宋_GB2312" w:hAnsi="仿宋_GB2312" w:eastAsia="仿宋_GB2312" w:cs="仿宋_GB2312"/>
          <w:szCs w:val="32"/>
        </w:rPr>
        <w:t>反映公路养护支出。</w:t>
      </w:r>
    </w:p>
    <w:p>
      <w:pPr>
        <w:ind w:firstLine="640" w:firstLineChars="200"/>
        <w:rPr>
          <w:rFonts w:ascii="仿宋_GB2312" w:hAnsi="仿宋_GB2312" w:eastAsia="仿宋_GB2312" w:cs="仿宋_GB2312"/>
          <w:szCs w:val="32"/>
        </w:rPr>
      </w:pPr>
      <w:r>
        <w:rPr>
          <w:rFonts w:hint="eastAsia" w:ascii="黑体" w:hAnsi="黑体" w:eastAsia="黑体"/>
          <w:szCs w:val="32"/>
        </w:rPr>
        <w:t>六十四、自然资源海洋气象等支出（类）自然资源事务（款）海域与海岛管理（项）：</w:t>
      </w:r>
      <w:r>
        <w:rPr>
          <w:rFonts w:hint="eastAsia" w:ascii="仿宋_GB2312" w:hAnsi="仿宋_GB2312" w:eastAsia="仿宋_GB2312" w:cs="仿宋_GB2312"/>
          <w:szCs w:val="32"/>
        </w:rPr>
        <w:t>反映用于海域与海岛管理方面的支出。</w:t>
      </w:r>
    </w:p>
    <w:p>
      <w:pPr>
        <w:ind w:firstLine="640" w:firstLineChars="200"/>
        <w:rPr>
          <w:rFonts w:ascii="仿宋_GB2312" w:hAnsi="仿宋_GB2312" w:eastAsia="仿宋_GB2312" w:cs="仿宋_GB2312"/>
          <w:szCs w:val="32"/>
        </w:rPr>
      </w:pPr>
      <w:r>
        <w:rPr>
          <w:rFonts w:hint="eastAsia" w:ascii="黑体" w:hAnsi="黑体" w:eastAsia="黑体"/>
          <w:szCs w:val="32"/>
        </w:rPr>
        <w:t>六十五、自然资源海洋气象等支出（类）其他自然资源海洋气象等支出（款）其他自然资源海洋气象等支出（项）：</w:t>
      </w:r>
      <w:r>
        <w:rPr>
          <w:rFonts w:hint="eastAsia" w:ascii="仿宋_GB2312" w:hAnsi="仿宋_GB2312" w:eastAsia="仿宋_GB2312" w:cs="仿宋_GB2312"/>
          <w:szCs w:val="32"/>
        </w:rPr>
        <w:t>反映其他用于自然资源海洋气象等方面的支出。</w:t>
      </w:r>
    </w:p>
    <w:p>
      <w:pPr>
        <w:ind w:firstLine="640" w:firstLineChars="200"/>
        <w:rPr>
          <w:rFonts w:ascii="仿宋_GB2312" w:hAnsi="仿宋_GB2312" w:eastAsia="仿宋_GB2312" w:cs="仿宋_GB2312"/>
          <w:szCs w:val="32"/>
        </w:rPr>
      </w:pPr>
      <w:r>
        <w:rPr>
          <w:rFonts w:hint="eastAsia" w:ascii="黑体" w:hAnsi="黑体" w:eastAsia="黑体"/>
          <w:szCs w:val="32"/>
        </w:rPr>
        <w:t>六十六、住房保障支出（类）住房改革支出（款）住房公积金（项）：</w:t>
      </w:r>
      <w:r>
        <w:rPr>
          <w:rFonts w:hint="eastAsia" w:ascii="仿宋_GB2312" w:hAnsi="仿宋_GB2312" w:eastAsia="仿宋_GB2312" w:cs="仿宋_GB2312"/>
          <w:szCs w:val="32"/>
        </w:rPr>
        <w:t>反映行政事业单位按照人力资源和社会保障部、财政部规定的基本工资和津贴补贴以及规定比例为职工缴纳的住房公积金。</w:t>
      </w:r>
    </w:p>
    <w:p>
      <w:pPr>
        <w:ind w:firstLine="640" w:firstLineChars="200"/>
        <w:rPr>
          <w:rFonts w:ascii="仿宋_GB2312" w:hAnsi="仿宋_GB2312" w:eastAsia="仿宋_GB2312" w:cs="仿宋_GB2312"/>
          <w:szCs w:val="32"/>
        </w:rPr>
      </w:pPr>
      <w:r>
        <w:rPr>
          <w:rFonts w:hint="eastAsia" w:ascii="黑体" w:hAnsi="黑体" w:eastAsia="黑体"/>
          <w:szCs w:val="32"/>
        </w:rPr>
        <w:t>六十七、灾害防治及应急管理支出（类）应急管理事务（款）安全生产基础（项）：</w:t>
      </w:r>
      <w:r>
        <w:rPr>
          <w:rFonts w:hint="eastAsia" w:ascii="仿宋_GB2312" w:hAnsi="仿宋_GB2312" w:eastAsia="仿宋_GB2312" w:cs="仿宋_GB2312"/>
          <w:szCs w:val="32"/>
        </w:rPr>
        <w:t>反映非煤矿山、石油、冶金、有色等工矿商贸行业安全生产基础工作的支出。</w:t>
      </w:r>
    </w:p>
    <w:p>
      <w:pPr>
        <w:ind w:firstLine="640" w:firstLineChars="200"/>
        <w:rPr>
          <w:rFonts w:ascii="仿宋_GB2312" w:hAnsi="仿宋_GB2312" w:eastAsia="仿宋_GB2312" w:cs="仿宋_GB2312"/>
          <w:szCs w:val="32"/>
        </w:rPr>
      </w:pPr>
      <w:r>
        <w:rPr>
          <w:rFonts w:hint="eastAsia" w:ascii="黑体" w:hAnsi="黑体" w:eastAsia="黑体"/>
          <w:szCs w:val="32"/>
        </w:rPr>
        <w:t>六十八、灾害防治及应急管理支出（类）应急管理事务（款）其他应急管理支出（项）：</w:t>
      </w:r>
      <w:r>
        <w:rPr>
          <w:rFonts w:hint="eastAsia" w:ascii="仿宋_GB2312" w:hAnsi="仿宋_GB2312" w:eastAsia="仿宋_GB2312" w:cs="仿宋_GB2312"/>
          <w:szCs w:val="32"/>
        </w:rPr>
        <w:t>反映其他应急管理方面的支出。</w:t>
      </w:r>
    </w:p>
    <w:p>
      <w:pPr>
        <w:ind w:firstLine="640" w:firstLineChars="200"/>
        <w:rPr>
          <w:rFonts w:ascii="仿宋_GB2312" w:hAnsi="仿宋_GB2312" w:eastAsia="仿宋_GB2312" w:cs="仿宋_GB2312"/>
          <w:szCs w:val="32"/>
        </w:rPr>
      </w:pPr>
      <w:r>
        <w:rPr>
          <w:rFonts w:hint="eastAsia" w:ascii="黑体" w:hAnsi="黑体" w:eastAsia="黑体"/>
          <w:szCs w:val="32"/>
        </w:rPr>
        <w:t>六十九、灾害防治及应急管理支出（类）消防事务（款）行政运行（项）：</w:t>
      </w:r>
      <w:r>
        <w:rPr>
          <w:rFonts w:hint="eastAsia" w:ascii="仿宋_GB2312" w:hAnsi="仿宋_GB2312" w:eastAsia="仿宋_GB2312" w:cs="仿宋_GB2312"/>
          <w:szCs w:val="32"/>
        </w:rPr>
        <w:t>反映行政单位（包括实行公务员管理的事业单位）的基本支出。</w:t>
      </w:r>
    </w:p>
    <w:p>
      <w:pPr>
        <w:ind w:firstLine="640" w:firstLineChars="200"/>
        <w:rPr>
          <w:rFonts w:ascii="仿宋_GB2312" w:hAnsi="仿宋_GB2312" w:eastAsia="仿宋_GB2312" w:cs="仿宋_GB2312"/>
          <w:szCs w:val="32"/>
        </w:rPr>
      </w:pPr>
      <w:r>
        <w:rPr>
          <w:rFonts w:hint="eastAsia" w:ascii="黑体" w:hAnsi="黑体" w:eastAsia="黑体"/>
          <w:szCs w:val="32"/>
        </w:rPr>
        <w:t>七十、灾害防治及应急管理支出（类）消防事务（款）其他消防事务支出（项）：</w:t>
      </w:r>
      <w:r>
        <w:rPr>
          <w:rFonts w:hint="eastAsia" w:ascii="仿宋_GB2312" w:hAnsi="仿宋_GB2312" w:eastAsia="仿宋_GB2312" w:cs="仿宋_GB2312"/>
          <w:szCs w:val="32"/>
        </w:rPr>
        <w:t>反映其他用于消防方面的支出。</w:t>
      </w:r>
    </w:p>
    <w:p>
      <w:pPr>
        <w:ind w:firstLine="640" w:firstLineChars="200"/>
        <w:rPr>
          <w:rFonts w:ascii="仿宋_GB2312" w:hAnsi="仿宋_GB2312" w:eastAsia="仿宋_GB2312" w:cs="仿宋_GB2312"/>
          <w:szCs w:val="32"/>
        </w:rPr>
      </w:pPr>
      <w:r>
        <w:rPr>
          <w:rFonts w:hint="eastAsia" w:ascii="黑体" w:hAnsi="黑体" w:eastAsia="黑体"/>
          <w:szCs w:val="32"/>
        </w:rPr>
        <w:t>七十一、城乡社区支出（类）国有土地使用权出让收入安排的支出（款）土地开发支出（项）：</w:t>
      </w:r>
      <w:r>
        <w:rPr>
          <w:rFonts w:hint="eastAsia" w:ascii="仿宋_GB2312" w:hAnsi="仿宋_GB2312" w:eastAsia="仿宋_GB2312" w:cs="仿宋_GB2312"/>
          <w:szCs w:val="32"/>
        </w:rPr>
        <w:t>反映新疆生产建设兵团和地方政府用于前期土地开发性支出以及前期土地开发相关的费用支出。</w:t>
      </w:r>
    </w:p>
    <w:p>
      <w:pPr>
        <w:ind w:firstLine="640" w:firstLineChars="200"/>
        <w:rPr>
          <w:rFonts w:ascii="仿宋_GB2312" w:hAnsi="仿宋_GB2312" w:eastAsia="仿宋_GB2312" w:cs="仿宋_GB2312"/>
          <w:szCs w:val="32"/>
        </w:rPr>
      </w:pPr>
      <w:r>
        <w:rPr>
          <w:rFonts w:hint="eastAsia" w:ascii="黑体" w:hAnsi="黑体" w:eastAsia="黑体"/>
          <w:szCs w:val="32"/>
        </w:rPr>
        <w:t>七十二、城乡社区支出（类）城市基础设施配套费安排的支出（款）城市公共设施（项）：</w:t>
      </w:r>
      <w:r>
        <w:rPr>
          <w:rFonts w:hint="eastAsia" w:ascii="仿宋_GB2312" w:hAnsi="仿宋_GB2312" w:eastAsia="仿宋_GB2312" w:cs="仿宋_GB2312"/>
          <w:szCs w:val="32"/>
        </w:rPr>
        <w:t>反映城市基础设施配套费安排用于城市道路、桥涵、公共交通、道路照明、供排水、燃气、供热等公共设施维护、建设和管理等方面的支出。</w:t>
      </w:r>
    </w:p>
    <w:p>
      <w:pPr>
        <w:ind w:firstLine="540" w:firstLineChars="100"/>
        <w:rPr>
          <w:rFonts w:ascii="方正小标宋简体" w:eastAsia="方正小标宋简体"/>
          <w:spacing w:val="60"/>
          <w:sz w:val="42"/>
        </w:rPr>
      </w:pPr>
    </w:p>
    <w:p>
      <w:pPr>
        <w:spacing w:line="320" w:lineRule="exact"/>
      </w:pPr>
    </w:p>
    <w:sectPr>
      <w:footerReference r:id="rId6"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B6E637A-3209-4227-B948-5F7015AC5A82}"/>
  </w:font>
  <w:font w:name="Courier New">
    <w:panose1 w:val="02070309020205020404"/>
    <w:charset w:val="01"/>
    <w:family w:val="modern"/>
    <w:pitch w:val="default"/>
    <w:sig w:usb0="E0002EFF" w:usb1="C0007843" w:usb2="00000009" w:usb3="00000000" w:csb0="400001FF" w:csb1="FFFF0000"/>
    <w:embedRegular r:id="rId2" w:fontKey="{3A2F2F2E-C9A8-4FF3-AABE-0161A32D6196}"/>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panose1 w:val="02010609030101010101"/>
    <w:charset w:val="86"/>
    <w:family w:val="modern"/>
    <w:pitch w:val="default"/>
    <w:sig w:usb0="00000001" w:usb1="080E0000" w:usb2="00000000" w:usb3="00000000" w:csb0="00040000" w:csb1="00000000"/>
    <w:embedRegular r:id="rId3" w:fontKey="{82E66FF0-1360-4B4F-839F-57F36DDA8B7F}"/>
  </w:font>
  <w:font w:name="Cambria">
    <w:panose1 w:val="02040503050406030204"/>
    <w:charset w:val="00"/>
    <w:family w:val="roman"/>
    <w:pitch w:val="default"/>
    <w:sig w:usb0="E00006FF" w:usb1="420024FF" w:usb2="02000000" w:usb3="00000000" w:csb0="2000019F" w:csb1="00000000"/>
  </w:font>
  <w:font w:name="Consolas">
    <w:panose1 w:val="020B0609020204030204"/>
    <w:charset w:val="00"/>
    <w:family w:val="modern"/>
    <w:pitch w:val="default"/>
    <w:sig w:usb0="E00006FF" w:usb1="0000FCFF" w:usb2="00000001" w:usb3="00000000" w:csb0="6000019F" w:csb1="DFD70000"/>
  </w:font>
  <w:font w:name="仿宋">
    <w:panose1 w:val="02010609060101010101"/>
    <w:charset w:val="86"/>
    <w:family w:val="modern"/>
    <w:pitch w:val="default"/>
    <w:sig w:usb0="800002BF" w:usb1="38CF7CFA" w:usb2="00000016" w:usb3="00000000" w:csb0="00040001" w:csb1="00000000"/>
    <w:embedRegular r:id="rId4" w:fontKey="{FE32BFC8-9D7D-4BF4-8023-08D0768B6A82}"/>
  </w:font>
  <w:font w:name="仿宋_GB2312">
    <w:panose1 w:val="02010609030101010101"/>
    <w:charset w:val="86"/>
    <w:family w:val="modern"/>
    <w:pitch w:val="default"/>
    <w:sig w:usb0="00000001" w:usb1="080E0000" w:usb2="00000000" w:usb3="00000000" w:csb0="00040000" w:csb1="00000000"/>
    <w:embedRegular r:id="rId5" w:fontKey="{BFCFE6AD-592D-4F01-9314-6B61702DFDA5}"/>
  </w:font>
  <w:font w:name="方正小标宋简体">
    <w:panose1 w:val="02000000000000000000"/>
    <w:charset w:val="86"/>
    <w:family w:val="script"/>
    <w:pitch w:val="default"/>
    <w:sig w:usb0="00000001" w:usb1="08000000" w:usb2="00000000" w:usb3="00000000" w:csb0="00040000" w:csb1="00000000"/>
    <w:embedRegular r:id="rId6" w:fontKey="{E2163779-F701-42EF-A373-B212C609AFD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right="360"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459105" cy="147955"/>
              <wp:effectExtent l="0" t="0" r="0" b="0"/>
              <wp:wrapNone/>
              <wp:docPr id="8" name="Text Box 1"/>
              <wp:cNvGraphicFramePr/>
              <a:graphic xmlns:a="http://schemas.openxmlformats.org/drawingml/2006/main">
                <a:graphicData uri="http://schemas.microsoft.com/office/word/2010/wordprocessingShape">
                  <wps:wsp>
                    <wps:cNvSpPr txBox="1">
                      <a:spLocks noChangeArrowheads="1"/>
                    </wps:cNvSpPr>
                    <wps:spPr bwMode="auto">
                      <a:xfrm>
                        <a:off x="0" y="0"/>
                        <a:ext cx="459105" cy="147955"/>
                      </a:xfrm>
                      <a:prstGeom prst="rect">
                        <a:avLst/>
                      </a:prstGeom>
                      <a:noFill/>
                      <a:ln>
                        <a:noFill/>
                      </a:ln>
                    </wps:spPr>
                    <wps:txbx>
                      <w:txbxContent>
                        <w:p>
                          <w:pPr>
                            <w:pStyle w:val="6"/>
                          </w:pPr>
                          <w:r>
                            <w:t xml:space="preserve">第 </w:t>
                          </w:r>
                          <w:r>
                            <w:fldChar w:fldCharType="begin"/>
                          </w:r>
                          <w:r>
                            <w:instrText xml:space="preserve"> PAGE  \* MERGEFORMAT </w:instrText>
                          </w:r>
                          <w:r>
                            <w:fldChar w:fldCharType="separate"/>
                          </w:r>
                          <w:r>
                            <w:t>60</w:t>
                          </w:r>
                          <w:r>
                            <w:fldChar w:fldCharType="end"/>
                          </w:r>
                          <w:r>
                            <w:t xml:space="preserve"> 页</w:t>
                          </w:r>
                        </w:p>
                      </w:txbxContent>
                    </wps:txbx>
                    <wps:bodyPr rot="0" vert="horz" wrap="none" lIns="0" tIns="0" rIns="0" bIns="0" anchor="t" anchorCtr="0" upright="1">
                      <a:spAutoFit/>
                    </wps:bodyPr>
                  </wps:wsp>
                </a:graphicData>
              </a:graphic>
            </wp:anchor>
          </w:drawing>
        </mc:Choice>
        <mc:Fallback>
          <w:pict>
            <v:shape id="Text Box 1" o:spid="_x0000_s1026" o:spt="202" type="#_x0000_t202" style="position:absolute;left:0pt;margin-top:0pt;height:11.65pt;width:36.15pt;mso-position-horizontal:center;mso-position-horizontal-relative:margin;mso-wrap-style:none;z-index:251659264;mso-width-relative:page;mso-height-relative:page;" filled="f" stroked="f" coordsize="21600,21600" o:gfxdata="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olECTdEAAAADAQAADwAAAAAAAAABACAAAAAiAAAAZHJzL2Rvd25yZXYueG1sUEsBAhQA&#10;FAAAAAgAh07iQDHPWV75AQAAAQQAAA4AAAAAAAAAAQAgAAAAIAEAAGRycy9lMm9Eb2MueG1sUEsF&#10;BgAAAAAGAAYAWQEAAIsFAAAAAA==&#10;">
              <v:fill on="f" focussize="0,0"/>
              <v:stroke on="f"/>
              <v:imagedata o:title=""/>
              <o:lock v:ext="edit" aspectratio="f"/>
              <v:textbox inset="0mm,0mm,0mm,0mm" style="mso-fit-shape-to-text:t;">
                <w:txbxContent>
                  <w:p>
                    <w:pPr>
                      <w:pStyle w:val="6"/>
                    </w:pPr>
                    <w:r>
                      <w:t xml:space="preserve">第 </w:t>
                    </w:r>
                    <w:r>
                      <w:fldChar w:fldCharType="begin"/>
                    </w:r>
                    <w:r>
                      <w:instrText xml:space="preserve"> PAGE  \* MERGEFORMAT </w:instrText>
                    </w:r>
                    <w:r>
                      <w:fldChar w:fldCharType="separate"/>
                    </w:r>
                    <w:r>
                      <w:t>60</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ind w:right="360" w:firstLine="360"/>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459105" cy="147955"/>
              <wp:effectExtent l="0" t="0" r="0" b="0"/>
              <wp:wrapNone/>
              <wp:docPr id="7" name="Text Box 2"/>
              <wp:cNvGraphicFramePr/>
              <a:graphic xmlns:a="http://schemas.openxmlformats.org/drawingml/2006/main">
                <a:graphicData uri="http://schemas.microsoft.com/office/word/2010/wordprocessingShape">
                  <wps:wsp>
                    <wps:cNvSpPr txBox="1">
                      <a:spLocks noChangeArrowheads="1"/>
                    </wps:cNvSpPr>
                    <wps:spPr bwMode="auto">
                      <a:xfrm>
                        <a:off x="0" y="0"/>
                        <a:ext cx="459105" cy="147955"/>
                      </a:xfrm>
                      <a:prstGeom prst="rect">
                        <a:avLst/>
                      </a:prstGeom>
                      <a:noFill/>
                      <a:ln>
                        <a:noFill/>
                      </a:ln>
                    </wps:spPr>
                    <wps:txbx>
                      <w:txbxContent>
                        <w:p>
                          <w:pPr>
                            <w:pStyle w:val="6"/>
                          </w:pPr>
                          <w:r>
                            <w:t xml:space="preserve">第 </w:t>
                          </w:r>
                          <w:r>
                            <w:fldChar w:fldCharType="begin"/>
                          </w:r>
                          <w:r>
                            <w:instrText xml:space="preserve"> PAGE  \* MERGEFORMAT </w:instrText>
                          </w:r>
                          <w:r>
                            <w:fldChar w:fldCharType="separate"/>
                          </w:r>
                          <w:r>
                            <w:t>65</w:t>
                          </w:r>
                          <w:r>
                            <w:fldChar w:fldCharType="end"/>
                          </w:r>
                          <w:r>
                            <w:t xml:space="preserve"> 页</w:t>
                          </w:r>
                        </w:p>
                      </w:txbxContent>
                    </wps:txbx>
                    <wps:bodyPr rot="0" vert="horz" wrap="none" lIns="0" tIns="0" rIns="0" bIns="0" anchor="t" anchorCtr="0" upright="1">
                      <a:spAutoFit/>
                    </wps:bodyPr>
                  </wps:wsp>
                </a:graphicData>
              </a:graphic>
            </wp:anchor>
          </w:drawing>
        </mc:Choice>
        <mc:Fallback>
          <w:pict>
            <v:shape id="Text Box 2" o:spid="_x0000_s1026" o:spt="202" type="#_x0000_t202" style="position:absolute;left:0pt;margin-top:0pt;height:11.65pt;width:36.15pt;mso-position-horizontal:center;mso-position-horizontal-relative:margin;mso-wrap-style:none;z-index:251660288;mso-width-relative:page;mso-height-relative:page;" filled="f" stroked="f" coordsize="21600,21600" o:gfxdata="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iUQJN0QAAAAMBAAAPAAAAAAAAAAEAIAAAACIAAABkcnMvZG93bnJldi54bWxQSwEC&#10;FAAUAAAACACHTuJACWQKlvsBAAABBAAADgAAAAAAAAABACAAAAAgAQAAZHJzL2Uyb0RvYy54bWxQ&#10;SwUGAAAAAAYABgBZAQAAjQUAAAAA&#10;">
              <v:fill on="f" focussize="0,0"/>
              <v:stroke on="f"/>
              <v:imagedata o:title=""/>
              <o:lock v:ext="edit" aspectratio="f"/>
              <v:textbox inset="0mm,0mm,0mm,0mm" style="mso-fit-shape-to-text:t;">
                <w:txbxContent>
                  <w:p>
                    <w:pPr>
                      <w:pStyle w:val="6"/>
                    </w:pPr>
                    <w:r>
                      <w:t xml:space="preserve">第 </w:t>
                    </w:r>
                    <w:r>
                      <w:fldChar w:fldCharType="begin"/>
                    </w:r>
                    <w:r>
                      <w:instrText xml:space="preserve"> PAGE  \* MERGEFORMAT </w:instrText>
                    </w:r>
                    <w:r>
                      <w:fldChar w:fldCharType="separate"/>
                    </w:r>
                    <w:r>
                      <w:t>65</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removePersonalInformation/>
  <w:embedTrueTypeFonts/>
  <w:saveSubsetFonts/>
  <w:documentProtection w:enforcement="0"/>
  <w:defaultTabStop w:val="420"/>
  <w:drawingGridHorizontalSpacing w:val="158"/>
  <w:drawingGridVerticalSpacing w:val="305"/>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JjNDU3OGUxZTA3YmE4ZTMyYzBiYWJiYzVhOWM4YTgifQ=="/>
  </w:docVars>
  <w:rsids>
    <w:rsidRoot w:val="00172A27"/>
    <w:rsid w:val="0000396E"/>
    <w:rsid w:val="000051C9"/>
    <w:rsid w:val="000054CC"/>
    <w:rsid w:val="00010EE4"/>
    <w:rsid w:val="00011A23"/>
    <w:rsid w:val="00011E23"/>
    <w:rsid w:val="0001550E"/>
    <w:rsid w:val="000254F5"/>
    <w:rsid w:val="00026CA6"/>
    <w:rsid w:val="0002779D"/>
    <w:rsid w:val="000316F7"/>
    <w:rsid w:val="000327A9"/>
    <w:rsid w:val="00032920"/>
    <w:rsid w:val="00036864"/>
    <w:rsid w:val="000368A1"/>
    <w:rsid w:val="00037DDA"/>
    <w:rsid w:val="000402CF"/>
    <w:rsid w:val="0004120A"/>
    <w:rsid w:val="00042165"/>
    <w:rsid w:val="0004356C"/>
    <w:rsid w:val="00050C15"/>
    <w:rsid w:val="00050D25"/>
    <w:rsid w:val="00052EFB"/>
    <w:rsid w:val="00053AB6"/>
    <w:rsid w:val="00054331"/>
    <w:rsid w:val="00056332"/>
    <w:rsid w:val="00057D13"/>
    <w:rsid w:val="000614FD"/>
    <w:rsid w:val="00066B73"/>
    <w:rsid w:val="000716A4"/>
    <w:rsid w:val="00071966"/>
    <w:rsid w:val="00073B4C"/>
    <w:rsid w:val="00081A93"/>
    <w:rsid w:val="000820E1"/>
    <w:rsid w:val="000830CE"/>
    <w:rsid w:val="0008333B"/>
    <w:rsid w:val="00083BFB"/>
    <w:rsid w:val="00084F74"/>
    <w:rsid w:val="00086A39"/>
    <w:rsid w:val="00086E32"/>
    <w:rsid w:val="000875CD"/>
    <w:rsid w:val="00087CBE"/>
    <w:rsid w:val="00093717"/>
    <w:rsid w:val="00094090"/>
    <w:rsid w:val="000950AD"/>
    <w:rsid w:val="00095C8B"/>
    <w:rsid w:val="0009684C"/>
    <w:rsid w:val="00096D61"/>
    <w:rsid w:val="000A4003"/>
    <w:rsid w:val="000B216D"/>
    <w:rsid w:val="000B2A1D"/>
    <w:rsid w:val="000B2A9D"/>
    <w:rsid w:val="000B329E"/>
    <w:rsid w:val="000B4533"/>
    <w:rsid w:val="000B62E0"/>
    <w:rsid w:val="000B7BEE"/>
    <w:rsid w:val="000C3FFF"/>
    <w:rsid w:val="000C5813"/>
    <w:rsid w:val="000D1248"/>
    <w:rsid w:val="000D2AEF"/>
    <w:rsid w:val="000D5A5F"/>
    <w:rsid w:val="000E3FFA"/>
    <w:rsid w:val="000E4218"/>
    <w:rsid w:val="000F0028"/>
    <w:rsid w:val="000F14FD"/>
    <w:rsid w:val="000F20AA"/>
    <w:rsid w:val="000F40F1"/>
    <w:rsid w:val="000F53DF"/>
    <w:rsid w:val="000F797A"/>
    <w:rsid w:val="0010076A"/>
    <w:rsid w:val="001068B7"/>
    <w:rsid w:val="00110FFF"/>
    <w:rsid w:val="001127C5"/>
    <w:rsid w:val="001130A1"/>
    <w:rsid w:val="0011406B"/>
    <w:rsid w:val="0011436E"/>
    <w:rsid w:val="00114A8B"/>
    <w:rsid w:val="001217FF"/>
    <w:rsid w:val="00123414"/>
    <w:rsid w:val="00124656"/>
    <w:rsid w:val="0012551C"/>
    <w:rsid w:val="00130C3A"/>
    <w:rsid w:val="001319FA"/>
    <w:rsid w:val="00131F72"/>
    <w:rsid w:val="00135941"/>
    <w:rsid w:val="00137B81"/>
    <w:rsid w:val="0014113E"/>
    <w:rsid w:val="00143419"/>
    <w:rsid w:val="001447E6"/>
    <w:rsid w:val="00146927"/>
    <w:rsid w:val="00156430"/>
    <w:rsid w:val="001609DF"/>
    <w:rsid w:val="0016333C"/>
    <w:rsid w:val="00163840"/>
    <w:rsid w:val="0016752D"/>
    <w:rsid w:val="00167D8B"/>
    <w:rsid w:val="00172A27"/>
    <w:rsid w:val="00173622"/>
    <w:rsid w:val="001744FD"/>
    <w:rsid w:val="001779FA"/>
    <w:rsid w:val="001806E9"/>
    <w:rsid w:val="00182B84"/>
    <w:rsid w:val="00182E3E"/>
    <w:rsid w:val="00191D94"/>
    <w:rsid w:val="001926FA"/>
    <w:rsid w:val="00192C75"/>
    <w:rsid w:val="00192DBA"/>
    <w:rsid w:val="00196B03"/>
    <w:rsid w:val="001A0D7C"/>
    <w:rsid w:val="001A3116"/>
    <w:rsid w:val="001B1D17"/>
    <w:rsid w:val="001B2B8E"/>
    <w:rsid w:val="001C06F6"/>
    <w:rsid w:val="001C1F7C"/>
    <w:rsid w:val="001C5232"/>
    <w:rsid w:val="001D6856"/>
    <w:rsid w:val="001D6B45"/>
    <w:rsid w:val="001D772B"/>
    <w:rsid w:val="001D7ACA"/>
    <w:rsid w:val="001E1804"/>
    <w:rsid w:val="001E1CB0"/>
    <w:rsid w:val="001E5194"/>
    <w:rsid w:val="001E524F"/>
    <w:rsid w:val="001E6D89"/>
    <w:rsid w:val="001E781F"/>
    <w:rsid w:val="001F226D"/>
    <w:rsid w:val="001F3816"/>
    <w:rsid w:val="001F6A36"/>
    <w:rsid w:val="00200FFD"/>
    <w:rsid w:val="0020145C"/>
    <w:rsid w:val="0020577D"/>
    <w:rsid w:val="00210081"/>
    <w:rsid w:val="00213166"/>
    <w:rsid w:val="002153BC"/>
    <w:rsid w:val="00216FF8"/>
    <w:rsid w:val="002178AA"/>
    <w:rsid w:val="00220024"/>
    <w:rsid w:val="00220711"/>
    <w:rsid w:val="00220DCC"/>
    <w:rsid w:val="00221B90"/>
    <w:rsid w:val="00222033"/>
    <w:rsid w:val="002241A2"/>
    <w:rsid w:val="002247C1"/>
    <w:rsid w:val="002258A6"/>
    <w:rsid w:val="002264BC"/>
    <w:rsid w:val="00227A86"/>
    <w:rsid w:val="00227D74"/>
    <w:rsid w:val="00232DA0"/>
    <w:rsid w:val="00233412"/>
    <w:rsid w:val="002338C6"/>
    <w:rsid w:val="00237324"/>
    <w:rsid w:val="002445E3"/>
    <w:rsid w:val="002448F9"/>
    <w:rsid w:val="0024752A"/>
    <w:rsid w:val="002506F5"/>
    <w:rsid w:val="00251E4A"/>
    <w:rsid w:val="0025297E"/>
    <w:rsid w:val="002531F5"/>
    <w:rsid w:val="00254B3E"/>
    <w:rsid w:val="00254C53"/>
    <w:rsid w:val="0025593F"/>
    <w:rsid w:val="0026316A"/>
    <w:rsid w:val="00265320"/>
    <w:rsid w:val="00272225"/>
    <w:rsid w:val="00272E81"/>
    <w:rsid w:val="00273B75"/>
    <w:rsid w:val="00273E2B"/>
    <w:rsid w:val="00274377"/>
    <w:rsid w:val="00276D96"/>
    <w:rsid w:val="00280994"/>
    <w:rsid w:val="00280FDB"/>
    <w:rsid w:val="00281303"/>
    <w:rsid w:val="0028239F"/>
    <w:rsid w:val="00284D4C"/>
    <w:rsid w:val="00284E99"/>
    <w:rsid w:val="0028511A"/>
    <w:rsid w:val="002963ED"/>
    <w:rsid w:val="002A16FB"/>
    <w:rsid w:val="002A1EA4"/>
    <w:rsid w:val="002A231D"/>
    <w:rsid w:val="002A259B"/>
    <w:rsid w:val="002A62A3"/>
    <w:rsid w:val="002A7A53"/>
    <w:rsid w:val="002B2A69"/>
    <w:rsid w:val="002B2CD0"/>
    <w:rsid w:val="002B364D"/>
    <w:rsid w:val="002C2837"/>
    <w:rsid w:val="002C474C"/>
    <w:rsid w:val="002C6723"/>
    <w:rsid w:val="002C7E25"/>
    <w:rsid w:val="002D15CA"/>
    <w:rsid w:val="002D2695"/>
    <w:rsid w:val="002E3720"/>
    <w:rsid w:val="002E529A"/>
    <w:rsid w:val="002E61FA"/>
    <w:rsid w:val="002F2F44"/>
    <w:rsid w:val="002F565C"/>
    <w:rsid w:val="002F5A12"/>
    <w:rsid w:val="002F63E3"/>
    <w:rsid w:val="002F678D"/>
    <w:rsid w:val="002F764D"/>
    <w:rsid w:val="00303490"/>
    <w:rsid w:val="003060BB"/>
    <w:rsid w:val="003109E8"/>
    <w:rsid w:val="00310EE2"/>
    <w:rsid w:val="00313828"/>
    <w:rsid w:val="00316544"/>
    <w:rsid w:val="00316546"/>
    <w:rsid w:val="00322777"/>
    <w:rsid w:val="00324E0B"/>
    <w:rsid w:val="00326F7A"/>
    <w:rsid w:val="00327F0B"/>
    <w:rsid w:val="003335C5"/>
    <w:rsid w:val="00334FDD"/>
    <w:rsid w:val="00337245"/>
    <w:rsid w:val="0033792D"/>
    <w:rsid w:val="003403C8"/>
    <w:rsid w:val="003403FC"/>
    <w:rsid w:val="0034359F"/>
    <w:rsid w:val="003462C7"/>
    <w:rsid w:val="0034631F"/>
    <w:rsid w:val="00346BA6"/>
    <w:rsid w:val="00347EF3"/>
    <w:rsid w:val="00347F03"/>
    <w:rsid w:val="00350689"/>
    <w:rsid w:val="00350862"/>
    <w:rsid w:val="00350B68"/>
    <w:rsid w:val="003542B6"/>
    <w:rsid w:val="00356CBE"/>
    <w:rsid w:val="00357344"/>
    <w:rsid w:val="003577CB"/>
    <w:rsid w:val="00357815"/>
    <w:rsid w:val="003578AA"/>
    <w:rsid w:val="00360F6F"/>
    <w:rsid w:val="0036295C"/>
    <w:rsid w:val="003655D7"/>
    <w:rsid w:val="00371CC6"/>
    <w:rsid w:val="00374C3A"/>
    <w:rsid w:val="00377F07"/>
    <w:rsid w:val="003867E9"/>
    <w:rsid w:val="003868BA"/>
    <w:rsid w:val="00392E4C"/>
    <w:rsid w:val="00394C25"/>
    <w:rsid w:val="00396433"/>
    <w:rsid w:val="003A3189"/>
    <w:rsid w:val="003A547D"/>
    <w:rsid w:val="003B1547"/>
    <w:rsid w:val="003B31CE"/>
    <w:rsid w:val="003B47B9"/>
    <w:rsid w:val="003B527E"/>
    <w:rsid w:val="003B55A7"/>
    <w:rsid w:val="003B57F4"/>
    <w:rsid w:val="003B758D"/>
    <w:rsid w:val="003B7662"/>
    <w:rsid w:val="003B7EAD"/>
    <w:rsid w:val="003C1BDE"/>
    <w:rsid w:val="003C21A0"/>
    <w:rsid w:val="003C3553"/>
    <w:rsid w:val="003C37AC"/>
    <w:rsid w:val="003C3ABC"/>
    <w:rsid w:val="003C6790"/>
    <w:rsid w:val="003C7AD0"/>
    <w:rsid w:val="003D05B7"/>
    <w:rsid w:val="003D103D"/>
    <w:rsid w:val="003D6BBF"/>
    <w:rsid w:val="003D7542"/>
    <w:rsid w:val="003E3A3D"/>
    <w:rsid w:val="003E4AAF"/>
    <w:rsid w:val="003E6CE5"/>
    <w:rsid w:val="003F228F"/>
    <w:rsid w:val="003F27FF"/>
    <w:rsid w:val="003F29E4"/>
    <w:rsid w:val="003F2F93"/>
    <w:rsid w:val="003F4B1C"/>
    <w:rsid w:val="003F6474"/>
    <w:rsid w:val="003F6E93"/>
    <w:rsid w:val="004002DB"/>
    <w:rsid w:val="00401597"/>
    <w:rsid w:val="00405479"/>
    <w:rsid w:val="004057DF"/>
    <w:rsid w:val="00405F7F"/>
    <w:rsid w:val="00407499"/>
    <w:rsid w:val="00407B7F"/>
    <w:rsid w:val="0041442B"/>
    <w:rsid w:val="00416766"/>
    <w:rsid w:val="00417FD0"/>
    <w:rsid w:val="00424863"/>
    <w:rsid w:val="004259B8"/>
    <w:rsid w:val="004264D7"/>
    <w:rsid w:val="00426E2C"/>
    <w:rsid w:val="004328B8"/>
    <w:rsid w:val="00434A28"/>
    <w:rsid w:val="004411DC"/>
    <w:rsid w:val="00441892"/>
    <w:rsid w:val="004469C7"/>
    <w:rsid w:val="00447483"/>
    <w:rsid w:val="004520E4"/>
    <w:rsid w:val="0045295F"/>
    <w:rsid w:val="004603F4"/>
    <w:rsid w:val="00461625"/>
    <w:rsid w:val="004628D2"/>
    <w:rsid w:val="00465029"/>
    <w:rsid w:val="00467CB1"/>
    <w:rsid w:val="00470DF5"/>
    <w:rsid w:val="004742C3"/>
    <w:rsid w:val="004756A3"/>
    <w:rsid w:val="00475D3C"/>
    <w:rsid w:val="00475E3F"/>
    <w:rsid w:val="00486839"/>
    <w:rsid w:val="004937DB"/>
    <w:rsid w:val="00493B6B"/>
    <w:rsid w:val="00494878"/>
    <w:rsid w:val="004A06E6"/>
    <w:rsid w:val="004A11AC"/>
    <w:rsid w:val="004A1F17"/>
    <w:rsid w:val="004A34B2"/>
    <w:rsid w:val="004A3C2B"/>
    <w:rsid w:val="004B1369"/>
    <w:rsid w:val="004B3580"/>
    <w:rsid w:val="004B69D1"/>
    <w:rsid w:val="004B78A6"/>
    <w:rsid w:val="004B7EA8"/>
    <w:rsid w:val="004C09C5"/>
    <w:rsid w:val="004C1DFB"/>
    <w:rsid w:val="004C3A39"/>
    <w:rsid w:val="004C635A"/>
    <w:rsid w:val="004C714C"/>
    <w:rsid w:val="004D0ECD"/>
    <w:rsid w:val="004D775B"/>
    <w:rsid w:val="004E2002"/>
    <w:rsid w:val="004E2573"/>
    <w:rsid w:val="004E2F34"/>
    <w:rsid w:val="004E417B"/>
    <w:rsid w:val="004E4949"/>
    <w:rsid w:val="004E6055"/>
    <w:rsid w:val="004E6E42"/>
    <w:rsid w:val="004F020F"/>
    <w:rsid w:val="004F5755"/>
    <w:rsid w:val="00501856"/>
    <w:rsid w:val="00501A4E"/>
    <w:rsid w:val="00503587"/>
    <w:rsid w:val="0050370E"/>
    <w:rsid w:val="00503CA4"/>
    <w:rsid w:val="005043E7"/>
    <w:rsid w:val="005052E8"/>
    <w:rsid w:val="00505CE2"/>
    <w:rsid w:val="00512AC4"/>
    <w:rsid w:val="005131A4"/>
    <w:rsid w:val="00513DCC"/>
    <w:rsid w:val="00514ABB"/>
    <w:rsid w:val="005159B6"/>
    <w:rsid w:val="005166E1"/>
    <w:rsid w:val="00520AA8"/>
    <w:rsid w:val="00520F1F"/>
    <w:rsid w:val="005222FB"/>
    <w:rsid w:val="00522784"/>
    <w:rsid w:val="00523A46"/>
    <w:rsid w:val="00525DA1"/>
    <w:rsid w:val="00527A51"/>
    <w:rsid w:val="0053025B"/>
    <w:rsid w:val="00531719"/>
    <w:rsid w:val="0053232B"/>
    <w:rsid w:val="005346CC"/>
    <w:rsid w:val="005356D2"/>
    <w:rsid w:val="005401D2"/>
    <w:rsid w:val="00540603"/>
    <w:rsid w:val="00540AD6"/>
    <w:rsid w:val="00542F2B"/>
    <w:rsid w:val="00543C8E"/>
    <w:rsid w:val="00543DAD"/>
    <w:rsid w:val="00545D5D"/>
    <w:rsid w:val="0054719B"/>
    <w:rsid w:val="005503A4"/>
    <w:rsid w:val="00553951"/>
    <w:rsid w:val="00554CE4"/>
    <w:rsid w:val="00556E9E"/>
    <w:rsid w:val="00560134"/>
    <w:rsid w:val="005639DA"/>
    <w:rsid w:val="0056671C"/>
    <w:rsid w:val="00567B1C"/>
    <w:rsid w:val="005739EF"/>
    <w:rsid w:val="00580CBD"/>
    <w:rsid w:val="0058210F"/>
    <w:rsid w:val="0058268B"/>
    <w:rsid w:val="0058617C"/>
    <w:rsid w:val="005865DD"/>
    <w:rsid w:val="00591C85"/>
    <w:rsid w:val="00592DDD"/>
    <w:rsid w:val="00596B4F"/>
    <w:rsid w:val="005A3C5A"/>
    <w:rsid w:val="005A646E"/>
    <w:rsid w:val="005B0576"/>
    <w:rsid w:val="005B07FD"/>
    <w:rsid w:val="005B17D3"/>
    <w:rsid w:val="005C0170"/>
    <w:rsid w:val="005C213A"/>
    <w:rsid w:val="005C3417"/>
    <w:rsid w:val="005C44CB"/>
    <w:rsid w:val="005C5ECB"/>
    <w:rsid w:val="005C7AE7"/>
    <w:rsid w:val="005D19FC"/>
    <w:rsid w:val="005D1F85"/>
    <w:rsid w:val="005D34CC"/>
    <w:rsid w:val="005E0229"/>
    <w:rsid w:val="005E06F3"/>
    <w:rsid w:val="005E1E31"/>
    <w:rsid w:val="005E25DB"/>
    <w:rsid w:val="005E4E40"/>
    <w:rsid w:val="005E50CC"/>
    <w:rsid w:val="005F0C63"/>
    <w:rsid w:val="005F3ABE"/>
    <w:rsid w:val="005F4A92"/>
    <w:rsid w:val="005F500E"/>
    <w:rsid w:val="005F5439"/>
    <w:rsid w:val="006001DA"/>
    <w:rsid w:val="00601EBB"/>
    <w:rsid w:val="0060206B"/>
    <w:rsid w:val="00602B37"/>
    <w:rsid w:val="00602F17"/>
    <w:rsid w:val="00604699"/>
    <w:rsid w:val="00605279"/>
    <w:rsid w:val="006139B9"/>
    <w:rsid w:val="00614813"/>
    <w:rsid w:val="00616428"/>
    <w:rsid w:val="00620F68"/>
    <w:rsid w:val="006211FA"/>
    <w:rsid w:val="0062225D"/>
    <w:rsid w:val="0062313A"/>
    <w:rsid w:val="00624998"/>
    <w:rsid w:val="00625941"/>
    <w:rsid w:val="00625F11"/>
    <w:rsid w:val="00632CFA"/>
    <w:rsid w:val="00633170"/>
    <w:rsid w:val="0063419C"/>
    <w:rsid w:val="0063614F"/>
    <w:rsid w:val="006364A7"/>
    <w:rsid w:val="00641C19"/>
    <w:rsid w:val="00641C3D"/>
    <w:rsid w:val="00641FE3"/>
    <w:rsid w:val="006501F5"/>
    <w:rsid w:val="006506D9"/>
    <w:rsid w:val="006514A9"/>
    <w:rsid w:val="00651B20"/>
    <w:rsid w:val="00652DDE"/>
    <w:rsid w:val="006540D1"/>
    <w:rsid w:val="00656058"/>
    <w:rsid w:val="00660208"/>
    <w:rsid w:val="00661B0B"/>
    <w:rsid w:val="006628E6"/>
    <w:rsid w:val="006639E4"/>
    <w:rsid w:val="0066642A"/>
    <w:rsid w:val="0067175B"/>
    <w:rsid w:val="006717C2"/>
    <w:rsid w:val="00671DF1"/>
    <w:rsid w:val="006723A3"/>
    <w:rsid w:val="0067331A"/>
    <w:rsid w:val="00674143"/>
    <w:rsid w:val="0067469F"/>
    <w:rsid w:val="00675A6F"/>
    <w:rsid w:val="006770AD"/>
    <w:rsid w:val="0068181E"/>
    <w:rsid w:val="006835C0"/>
    <w:rsid w:val="00684D7F"/>
    <w:rsid w:val="00686150"/>
    <w:rsid w:val="006867FD"/>
    <w:rsid w:val="00687FB4"/>
    <w:rsid w:val="00695419"/>
    <w:rsid w:val="00696268"/>
    <w:rsid w:val="006973F4"/>
    <w:rsid w:val="00697514"/>
    <w:rsid w:val="006A00A5"/>
    <w:rsid w:val="006B0349"/>
    <w:rsid w:val="006B14BF"/>
    <w:rsid w:val="006B167C"/>
    <w:rsid w:val="006B677B"/>
    <w:rsid w:val="006C0618"/>
    <w:rsid w:val="006C1B4D"/>
    <w:rsid w:val="006C1DD9"/>
    <w:rsid w:val="006C45D7"/>
    <w:rsid w:val="006C4E58"/>
    <w:rsid w:val="006D0684"/>
    <w:rsid w:val="006D0F89"/>
    <w:rsid w:val="006D2189"/>
    <w:rsid w:val="006D3B48"/>
    <w:rsid w:val="006D3F18"/>
    <w:rsid w:val="006D5B76"/>
    <w:rsid w:val="006D5E6E"/>
    <w:rsid w:val="006D639E"/>
    <w:rsid w:val="006D6847"/>
    <w:rsid w:val="006E00CE"/>
    <w:rsid w:val="006E05D2"/>
    <w:rsid w:val="006E0D7C"/>
    <w:rsid w:val="006E1036"/>
    <w:rsid w:val="006E35B2"/>
    <w:rsid w:val="006E45CF"/>
    <w:rsid w:val="006E6165"/>
    <w:rsid w:val="006E6380"/>
    <w:rsid w:val="006E788A"/>
    <w:rsid w:val="006E7945"/>
    <w:rsid w:val="006F3277"/>
    <w:rsid w:val="006F3700"/>
    <w:rsid w:val="006F4F2B"/>
    <w:rsid w:val="006F51DA"/>
    <w:rsid w:val="006F5DA7"/>
    <w:rsid w:val="006F7EC2"/>
    <w:rsid w:val="00701FB4"/>
    <w:rsid w:val="00704939"/>
    <w:rsid w:val="00710962"/>
    <w:rsid w:val="00710DA3"/>
    <w:rsid w:val="00710F28"/>
    <w:rsid w:val="00712699"/>
    <w:rsid w:val="007138A9"/>
    <w:rsid w:val="00714A95"/>
    <w:rsid w:val="00715FD7"/>
    <w:rsid w:val="007162C9"/>
    <w:rsid w:val="007207CC"/>
    <w:rsid w:val="00720A85"/>
    <w:rsid w:val="00721E6F"/>
    <w:rsid w:val="00722761"/>
    <w:rsid w:val="00723505"/>
    <w:rsid w:val="0072669B"/>
    <w:rsid w:val="007305F4"/>
    <w:rsid w:val="00736A7F"/>
    <w:rsid w:val="0073721A"/>
    <w:rsid w:val="00741839"/>
    <w:rsid w:val="00750F5B"/>
    <w:rsid w:val="00753C7D"/>
    <w:rsid w:val="007609AA"/>
    <w:rsid w:val="00760EE1"/>
    <w:rsid w:val="00760FD8"/>
    <w:rsid w:val="0076225D"/>
    <w:rsid w:val="0076283B"/>
    <w:rsid w:val="00763215"/>
    <w:rsid w:val="0076592C"/>
    <w:rsid w:val="00766BE2"/>
    <w:rsid w:val="00772975"/>
    <w:rsid w:val="007740BA"/>
    <w:rsid w:val="00774B3B"/>
    <w:rsid w:val="007753F6"/>
    <w:rsid w:val="00791EBC"/>
    <w:rsid w:val="007A2F5D"/>
    <w:rsid w:val="007A432E"/>
    <w:rsid w:val="007A6D67"/>
    <w:rsid w:val="007A70BE"/>
    <w:rsid w:val="007A7390"/>
    <w:rsid w:val="007B7570"/>
    <w:rsid w:val="007B7EEA"/>
    <w:rsid w:val="007C0714"/>
    <w:rsid w:val="007C304F"/>
    <w:rsid w:val="007C5043"/>
    <w:rsid w:val="007C5ABA"/>
    <w:rsid w:val="007D199E"/>
    <w:rsid w:val="007D2D7E"/>
    <w:rsid w:val="007D3F7B"/>
    <w:rsid w:val="007D4876"/>
    <w:rsid w:val="007D5267"/>
    <w:rsid w:val="007D538F"/>
    <w:rsid w:val="007D6EED"/>
    <w:rsid w:val="007E012F"/>
    <w:rsid w:val="007E30B1"/>
    <w:rsid w:val="007E354C"/>
    <w:rsid w:val="007E3A15"/>
    <w:rsid w:val="007E4585"/>
    <w:rsid w:val="007E5E0E"/>
    <w:rsid w:val="007F08DC"/>
    <w:rsid w:val="007F6D73"/>
    <w:rsid w:val="007F6F9F"/>
    <w:rsid w:val="00800836"/>
    <w:rsid w:val="00805724"/>
    <w:rsid w:val="00806213"/>
    <w:rsid w:val="00807DC1"/>
    <w:rsid w:val="00812E7F"/>
    <w:rsid w:val="008130C3"/>
    <w:rsid w:val="00813ABB"/>
    <w:rsid w:val="008149C3"/>
    <w:rsid w:val="00820662"/>
    <w:rsid w:val="00821EA9"/>
    <w:rsid w:val="00822B3D"/>
    <w:rsid w:val="0082348E"/>
    <w:rsid w:val="00825220"/>
    <w:rsid w:val="00825664"/>
    <w:rsid w:val="00827BF8"/>
    <w:rsid w:val="00831618"/>
    <w:rsid w:val="00834905"/>
    <w:rsid w:val="00836963"/>
    <w:rsid w:val="00837838"/>
    <w:rsid w:val="00837F54"/>
    <w:rsid w:val="00840A4A"/>
    <w:rsid w:val="008420EE"/>
    <w:rsid w:val="00842DE7"/>
    <w:rsid w:val="008442C5"/>
    <w:rsid w:val="0084457C"/>
    <w:rsid w:val="00845A3F"/>
    <w:rsid w:val="008500BB"/>
    <w:rsid w:val="00852882"/>
    <w:rsid w:val="00855423"/>
    <w:rsid w:val="00856EB5"/>
    <w:rsid w:val="00863BE0"/>
    <w:rsid w:val="00865A29"/>
    <w:rsid w:val="008706E9"/>
    <w:rsid w:val="00874D26"/>
    <w:rsid w:val="0087513F"/>
    <w:rsid w:val="00881022"/>
    <w:rsid w:val="00881AE7"/>
    <w:rsid w:val="008822CA"/>
    <w:rsid w:val="0088443E"/>
    <w:rsid w:val="00885142"/>
    <w:rsid w:val="008865E8"/>
    <w:rsid w:val="008956F2"/>
    <w:rsid w:val="008959F1"/>
    <w:rsid w:val="00896A95"/>
    <w:rsid w:val="008A1A71"/>
    <w:rsid w:val="008A1FA0"/>
    <w:rsid w:val="008B271A"/>
    <w:rsid w:val="008B3779"/>
    <w:rsid w:val="008B3FA3"/>
    <w:rsid w:val="008B4F36"/>
    <w:rsid w:val="008B68BA"/>
    <w:rsid w:val="008C0F4F"/>
    <w:rsid w:val="008C19C8"/>
    <w:rsid w:val="008C54A6"/>
    <w:rsid w:val="008C5C5E"/>
    <w:rsid w:val="008C623A"/>
    <w:rsid w:val="008C7DB6"/>
    <w:rsid w:val="008D07DA"/>
    <w:rsid w:val="008D0A00"/>
    <w:rsid w:val="008D0F79"/>
    <w:rsid w:val="008D1072"/>
    <w:rsid w:val="008D34CE"/>
    <w:rsid w:val="008D56C9"/>
    <w:rsid w:val="008D6B14"/>
    <w:rsid w:val="008E06D1"/>
    <w:rsid w:val="008E07FB"/>
    <w:rsid w:val="008E16D4"/>
    <w:rsid w:val="008E16FB"/>
    <w:rsid w:val="008F07A9"/>
    <w:rsid w:val="008F383F"/>
    <w:rsid w:val="008F6199"/>
    <w:rsid w:val="00902574"/>
    <w:rsid w:val="00902998"/>
    <w:rsid w:val="00903BB8"/>
    <w:rsid w:val="0090443C"/>
    <w:rsid w:val="00906E1C"/>
    <w:rsid w:val="00912FA6"/>
    <w:rsid w:val="00913269"/>
    <w:rsid w:val="0092461D"/>
    <w:rsid w:val="00927C43"/>
    <w:rsid w:val="0093142B"/>
    <w:rsid w:val="00931FBA"/>
    <w:rsid w:val="00933427"/>
    <w:rsid w:val="00937FCF"/>
    <w:rsid w:val="0094242E"/>
    <w:rsid w:val="00942727"/>
    <w:rsid w:val="00944A9A"/>
    <w:rsid w:val="00945177"/>
    <w:rsid w:val="00945836"/>
    <w:rsid w:val="009509AB"/>
    <w:rsid w:val="009537A4"/>
    <w:rsid w:val="00955E45"/>
    <w:rsid w:val="00960890"/>
    <w:rsid w:val="00961087"/>
    <w:rsid w:val="00961969"/>
    <w:rsid w:val="009619FE"/>
    <w:rsid w:val="00961ACC"/>
    <w:rsid w:val="00963ED0"/>
    <w:rsid w:val="009643B2"/>
    <w:rsid w:val="009645F4"/>
    <w:rsid w:val="00964FE9"/>
    <w:rsid w:val="009726D9"/>
    <w:rsid w:val="00973382"/>
    <w:rsid w:val="00973868"/>
    <w:rsid w:val="00974E07"/>
    <w:rsid w:val="00975813"/>
    <w:rsid w:val="00975FF4"/>
    <w:rsid w:val="00977BD2"/>
    <w:rsid w:val="009812D5"/>
    <w:rsid w:val="0098446A"/>
    <w:rsid w:val="009927EE"/>
    <w:rsid w:val="009944FC"/>
    <w:rsid w:val="00996255"/>
    <w:rsid w:val="009A0048"/>
    <w:rsid w:val="009A0498"/>
    <w:rsid w:val="009A1499"/>
    <w:rsid w:val="009A1B10"/>
    <w:rsid w:val="009A352D"/>
    <w:rsid w:val="009A3E4D"/>
    <w:rsid w:val="009A5789"/>
    <w:rsid w:val="009B12E0"/>
    <w:rsid w:val="009B2745"/>
    <w:rsid w:val="009B2858"/>
    <w:rsid w:val="009B652A"/>
    <w:rsid w:val="009B6711"/>
    <w:rsid w:val="009C49A1"/>
    <w:rsid w:val="009C5121"/>
    <w:rsid w:val="009C70DF"/>
    <w:rsid w:val="009C7CC4"/>
    <w:rsid w:val="009D175D"/>
    <w:rsid w:val="009D182F"/>
    <w:rsid w:val="009D32D3"/>
    <w:rsid w:val="009D787E"/>
    <w:rsid w:val="009E2C32"/>
    <w:rsid w:val="009E4F15"/>
    <w:rsid w:val="009E6C4B"/>
    <w:rsid w:val="009E7370"/>
    <w:rsid w:val="009F3F18"/>
    <w:rsid w:val="009F434C"/>
    <w:rsid w:val="009F6033"/>
    <w:rsid w:val="00A03B62"/>
    <w:rsid w:val="00A05DD2"/>
    <w:rsid w:val="00A079CB"/>
    <w:rsid w:val="00A10913"/>
    <w:rsid w:val="00A14B54"/>
    <w:rsid w:val="00A1520A"/>
    <w:rsid w:val="00A154D1"/>
    <w:rsid w:val="00A15F46"/>
    <w:rsid w:val="00A16E6D"/>
    <w:rsid w:val="00A16EE7"/>
    <w:rsid w:val="00A2457F"/>
    <w:rsid w:val="00A24E70"/>
    <w:rsid w:val="00A2688C"/>
    <w:rsid w:val="00A27C58"/>
    <w:rsid w:val="00A27D1E"/>
    <w:rsid w:val="00A27D61"/>
    <w:rsid w:val="00A310A2"/>
    <w:rsid w:val="00A32EB0"/>
    <w:rsid w:val="00A339BF"/>
    <w:rsid w:val="00A379A1"/>
    <w:rsid w:val="00A40780"/>
    <w:rsid w:val="00A42B53"/>
    <w:rsid w:val="00A42E74"/>
    <w:rsid w:val="00A51ECC"/>
    <w:rsid w:val="00A54122"/>
    <w:rsid w:val="00A54537"/>
    <w:rsid w:val="00A5481C"/>
    <w:rsid w:val="00A55841"/>
    <w:rsid w:val="00A55A2A"/>
    <w:rsid w:val="00A56D45"/>
    <w:rsid w:val="00A56E62"/>
    <w:rsid w:val="00A5755C"/>
    <w:rsid w:val="00A57BE0"/>
    <w:rsid w:val="00A60641"/>
    <w:rsid w:val="00A6236E"/>
    <w:rsid w:val="00A66EA0"/>
    <w:rsid w:val="00A726F9"/>
    <w:rsid w:val="00A732AB"/>
    <w:rsid w:val="00A73912"/>
    <w:rsid w:val="00A74DF6"/>
    <w:rsid w:val="00A75F45"/>
    <w:rsid w:val="00A7613E"/>
    <w:rsid w:val="00A76269"/>
    <w:rsid w:val="00A76633"/>
    <w:rsid w:val="00A76D04"/>
    <w:rsid w:val="00A800F8"/>
    <w:rsid w:val="00A80B85"/>
    <w:rsid w:val="00A82CA2"/>
    <w:rsid w:val="00A8403B"/>
    <w:rsid w:val="00A84079"/>
    <w:rsid w:val="00A868CD"/>
    <w:rsid w:val="00A87319"/>
    <w:rsid w:val="00A87F1F"/>
    <w:rsid w:val="00A90600"/>
    <w:rsid w:val="00A91B31"/>
    <w:rsid w:val="00A92306"/>
    <w:rsid w:val="00AA0D47"/>
    <w:rsid w:val="00AA2605"/>
    <w:rsid w:val="00AA78C1"/>
    <w:rsid w:val="00AB1ECE"/>
    <w:rsid w:val="00AB2395"/>
    <w:rsid w:val="00AB443A"/>
    <w:rsid w:val="00AB4BF8"/>
    <w:rsid w:val="00AB532C"/>
    <w:rsid w:val="00AC0A59"/>
    <w:rsid w:val="00AC16EB"/>
    <w:rsid w:val="00AD0ED0"/>
    <w:rsid w:val="00AD2C51"/>
    <w:rsid w:val="00AD5547"/>
    <w:rsid w:val="00AD58DE"/>
    <w:rsid w:val="00AD5E33"/>
    <w:rsid w:val="00AE0046"/>
    <w:rsid w:val="00AE1BD5"/>
    <w:rsid w:val="00AE1DD4"/>
    <w:rsid w:val="00AE2391"/>
    <w:rsid w:val="00AE3048"/>
    <w:rsid w:val="00AE43F4"/>
    <w:rsid w:val="00AE78DF"/>
    <w:rsid w:val="00AF105D"/>
    <w:rsid w:val="00AF5970"/>
    <w:rsid w:val="00B005CF"/>
    <w:rsid w:val="00B03846"/>
    <w:rsid w:val="00B03C6C"/>
    <w:rsid w:val="00B0769B"/>
    <w:rsid w:val="00B07C99"/>
    <w:rsid w:val="00B126BF"/>
    <w:rsid w:val="00B12E54"/>
    <w:rsid w:val="00B14655"/>
    <w:rsid w:val="00B21974"/>
    <w:rsid w:val="00B22267"/>
    <w:rsid w:val="00B25846"/>
    <w:rsid w:val="00B26F84"/>
    <w:rsid w:val="00B42C8F"/>
    <w:rsid w:val="00B46CA2"/>
    <w:rsid w:val="00B47BB8"/>
    <w:rsid w:val="00B527B6"/>
    <w:rsid w:val="00B54C3F"/>
    <w:rsid w:val="00B54CDA"/>
    <w:rsid w:val="00B55466"/>
    <w:rsid w:val="00B57573"/>
    <w:rsid w:val="00B61EB7"/>
    <w:rsid w:val="00B64CAC"/>
    <w:rsid w:val="00B6635F"/>
    <w:rsid w:val="00B74C7B"/>
    <w:rsid w:val="00B76F2C"/>
    <w:rsid w:val="00B804AB"/>
    <w:rsid w:val="00B821AE"/>
    <w:rsid w:val="00B82474"/>
    <w:rsid w:val="00B83A49"/>
    <w:rsid w:val="00B84258"/>
    <w:rsid w:val="00B8570D"/>
    <w:rsid w:val="00B91665"/>
    <w:rsid w:val="00B93D1F"/>
    <w:rsid w:val="00B95EE9"/>
    <w:rsid w:val="00BA0B60"/>
    <w:rsid w:val="00BA1B9C"/>
    <w:rsid w:val="00BB0F3E"/>
    <w:rsid w:val="00BB3750"/>
    <w:rsid w:val="00BB4186"/>
    <w:rsid w:val="00BB44A9"/>
    <w:rsid w:val="00BB504E"/>
    <w:rsid w:val="00BB658C"/>
    <w:rsid w:val="00BB6590"/>
    <w:rsid w:val="00BB7048"/>
    <w:rsid w:val="00BB729F"/>
    <w:rsid w:val="00BB7751"/>
    <w:rsid w:val="00BC0229"/>
    <w:rsid w:val="00BC189E"/>
    <w:rsid w:val="00BC3137"/>
    <w:rsid w:val="00BC3B30"/>
    <w:rsid w:val="00BC4F88"/>
    <w:rsid w:val="00BC65C7"/>
    <w:rsid w:val="00BC66B9"/>
    <w:rsid w:val="00BD04D9"/>
    <w:rsid w:val="00BD1A6C"/>
    <w:rsid w:val="00BD4E76"/>
    <w:rsid w:val="00BD5B4B"/>
    <w:rsid w:val="00BD6804"/>
    <w:rsid w:val="00BE0A18"/>
    <w:rsid w:val="00BE2166"/>
    <w:rsid w:val="00BE3421"/>
    <w:rsid w:val="00BE3C08"/>
    <w:rsid w:val="00BE62E9"/>
    <w:rsid w:val="00BF21D1"/>
    <w:rsid w:val="00BF2241"/>
    <w:rsid w:val="00BF27FF"/>
    <w:rsid w:val="00BF30CF"/>
    <w:rsid w:val="00BF5498"/>
    <w:rsid w:val="00BF57B5"/>
    <w:rsid w:val="00BF6B0D"/>
    <w:rsid w:val="00BF7D56"/>
    <w:rsid w:val="00C01BC5"/>
    <w:rsid w:val="00C038B8"/>
    <w:rsid w:val="00C0448D"/>
    <w:rsid w:val="00C07480"/>
    <w:rsid w:val="00C10415"/>
    <w:rsid w:val="00C116D2"/>
    <w:rsid w:val="00C11A21"/>
    <w:rsid w:val="00C11F0A"/>
    <w:rsid w:val="00C1269F"/>
    <w:rsid w:val="00C1434A"/>
    <w:rsid w:val="00C23088"/>
    <w:rsid w:val="00C24C09"/>
    <w:rsid w:val="00C31074"/>
    <w:rsid w:val="00C31B07"/>
    <w:rsid w:val="00C349B1"/>
    <w:rsid w:val="00C35E07"/>
    <w:rsid w:val="00C361C8"/>
    <w:rsid w:val="00C37635"/>
    <w:rsid w:val="00C404E2"/>
    <w:rsid w:val="00C4115C"/>
    <w:rsid w:val="00C41648"/>
    <w:rsid w:val="00C41B2B"/>
    <w:rsid w:val="00C41C2C"/>
    <w:rsid w:val="00C424C3"/>
    <w:rsid w:val="00C429F5"/>
    <w:rsid w:val="00C47084"/>
    <w:rsid w:val="00C470C0"/>
    <w:rsid w:val="00C472CA"/>
    <w:rsid w:val="00C50FE2"/>
    <w:rsid w:val="00C51163"/>
    <w:rsid w:val="00C51AC9"/>
    <w:rsid w:val="00C5323E"/>
    <w:rsid w:val="00C566CB"/>
    <w:rsid w:val="00C60418"/>
    <w:rsid w:val="00C60431"/>
    <w:rsid w:val="00C60AE4"/>
    <w:rsid w:val="00C61CB5"/>
    <w:rsid w:val="00C645E2"/>
    <w:rsid w:val="00C70789"/>
    <w:rsid w:val="00C70977"/>
    <w:rsid w:val="00C73D34"/>
    <w:rsid w:val="00C75252"/>
    <w:rsid w:val="00C77843"/>
    <w:rsid w:val="00C77F64"/>
    <w:rsid w:val="00C80B24"/>
    <w:rsid w:val="00C852EE"/>
    <w:rsid w:val="00C87B4B"/>
    <w:rsid w:val="00C90B31"/>
    <w:rsid w:val="00C92A97"/>
    <w:rsid w:val="00C946CF"/>
    <w:rsid w:val="00C974E0"/>
    <w:rsid w:val="00CA105B"/>
    <w:rsid w:val="00CA1E06"/>
    <w:rsid w:val="00CA6D04"/>
    <w:rsid w:val="00CA7B47"/>
    <w:rsid w:val="00CB1EF9"/>
    <w:rsid w:val="00CB27F9"/>
    <w:rsid w:val="00CB2A0D"/>
    <w:rsid w:val="00CB4247"/>
    <w:rsid w:val="00CB5413"/>
    <w:rsid w:val="00CB7178"/>
    <w:rsid w:val="00CB74B3"/>
    <w:rsid w:val="00CC2E4F"/>
    <w:rsid w:val="00CC3AFC"/>
    <w:rsid w:val="00CC63AF"/>
    <w:rsid w:val="00CC7386"/>
    <w:rsid w:val="00CC7A35"/>
    <w:rsid w:val="00CD0AB0"/>
    <w:rsid w:val="00CD0B6B"/>
    <w:rsid w:val="00CD1785"/>
    <w:rsid w:val="00CD17AC"/>
    <w:rsid w:val="00CD262D"/>
    <w:rsid w:val="00CD2AAE"/>
    <w:rsid w:val="00CD5611"/>
    <w:rsid w:val="00CD5E97"/>
    <w:rsid w:val="00CD7114"/>
    <w:rsid w:val="00CE1B67"/>
    <w:rsid w:val="00CE1FF6"/>
    <w:rsid w:val="00CE5E34"/>
    <w:rsid w:val="00CE6B48"/>
    <w:rsid w:val="00CF3233"/>
    <w:rsid w:val="00CF476F"/>
    <w:rsid w:val="00CF79DC"/>
    <w:rsid w:val="00D007B1"/>
    <w:rsid w:val="00D014CB"/>
    <w:rsid w:val="00D01E02"/>
    <w:rsid w:val="00D02070"/>
    <w:rsid w:val="00D047AC"/>
    <w:rsid w:val="00D04EDA"/>
    <w:rsid w:val="00D05BAB"/>
    <w:rsid w:val="00D05EB6"/>
    <w:rsid w:val="00D1023D"/>
    <w:rsid w:val="00D10CD6"/>
    <w:rsid w:val="00D11A73"/>
    <w:rsid w:val="00D127E0"/>
    <w:rsid w:val="00D150E9"/>
    <w:rsid w:val="00D179EF"/>
    <w:rsid w:val="00D24F15"/>
    <w:rsid w:val="00D263C0"/>
    <w:rsid w:val="00D27077"/>
    <w:rsid w:val="00D316DF"/>
    <w:rsid w:val="00D32BF0"/>
    <w:rsid w:val="00D35CBC"/>
    <w:rsid w:val="00D37F8A"/>
    <w:rsid w:val="00D40808"/>
    <w:rsid w:val="00D40B25"/>
    <w:rsid w:val="00D41ED3"/>
    <w:rsid w:val="00D41F64"/>
    <w:rsid w:val="00D52023"/>
    <w:rsid w:val="00D523D2"/>
    <w:rsid w:val="00D57E0F"/>
    <w:rsid w:val="00D6056F"/>
    <w:rsid w:val="00D60B35"/>
    <w:rsid w:val="00D61105"/>
    <w:rsid w:val="00D618B7"/>
    <w:rsid w:val="00D64307"/>
    <w:rsid w:val="00D6480E"/>
    <w:rsid w:val="00D65E19"/>
    <w:rsid w:val="00D675CC"/>
    <w:rsid w:val="00D676DD"/>
    <w:rsid w:val="00D70049"/>
    <w:rsid w:val="00D81A01"/>
    <w:rsid w:val="00D91233"/>
    <w:rsid w:val="00D93C5F"/>
    <w:rsid w:val="00DA411A"/>
    <w:rsid w:val="00DA49CF"/>
    <w:rsid w:val="00DA4B78"/>
    <w:rsid w:val="00DA5337"/>
    <w:rsid w:val="00DA7508"/>
    <w:rsid w:val="00DB2635"/>
    <w:rsid w:val="00DB3D80"/>
    <w:rsid w:val="00DC2A01"/>
    <w:rsid w:val="00DC314D"/>
    <w:rsid w:val="00DC4C3C"/>
    <w:rsid w:val="00DC610E"/>
    <w:rsid w:val="00DC7188"/>
    <w:rsid w:val="00DC7EDF"/>
    <w:rsid w:val="00DD0B2F"/>
    <w:rsid w:val="00DD59EF"/>
    <w:rsid w:val="00DD6CDC"/>
    <w:rsid w:val="00DE11BE"/>
    <w:rsid w:val="00DE2AB0"/>
    <w:rsid w:val="00DE3769"/>
    <w:rsid w:val="00DE5DC3"/>
    <w:rsid w:val="00DE6EF0"/>
    <w:rsid w:val="00DF23E3"/>
    <w:rsid w:val="00E02C23"/>
    <w:rsid w:val="00E0305B"/>
    <w:rsid w:val="00E03BC5"/>
    <w:rsid w:val="00E10961"/>
    <w:rsid w:val="00E10C4C"/>
    <w:rsid w:val="00E12BAC"/>
    <w:rsid w:val="00E130BD"/>
    <w:rsid w:val="00E173C1"/>
    <w:rsid w:val="00E17879"/>
    <w:rsid w:val="00E213F7"/>
    <w:rsid w:val="00E22DA4"/>
    <w:rsid w:val="00E2476F"/>
    <w:rsid w:val="00E266DC"/>
    <w:rsid w:val="00E26E6F"/>
    <w:rsid w:val="00E2706E"/>
    <w:rsid w:val="00E27AA0"/>
    <w:rsid w:val="00E32EC7"/>
    <w:rsid w:val="00E351C5"/>
    <w:rsid w:val="00E35B16"/>
    <w:rsid w:val="00E3779B"/>
    <w:rsid w:val="00E43EAD"/>
    <w:rsid w:val="00E44138"/>
    <w:rsid w:val="00E472D5"/>
    <w:rsid w:val="00E475C5"/>
    <w:rsid w:val="00E476DD"/>
    <w:rsid w:val="00E47CC2"/>
    <w:rsid w:val="00E518B2"/>
    <w:rsid w:val="00E54937"/>
    <w:rsid w:val="00E55AAB"/>
    <w:rsid w:val="00E55C5E"/>
    <w:rsid w:val="00E56CB6"/>
    <w:rsid w:val="00E57097"/>
    <w:rsid w:val="00E57AAA"/>
    <w:rsid w:val="00E600B5"/>
    <w:rsid w:val="00E6060D"/>
    <w:rsid w:val="00E62288"/>
    <w:rsid w:val="00E62646"/>
    <w:rsid w:val="00E64ED1"/>
    <w:rsid w:val="00E661EC"/>
    <w:rsid w:val="00E751B1"/>
    <w:rsid w:val="00E773BB"/>
    <w:rsid w:val="00E77914"/>
    <w:rsid w:val="00E81FD5"/>
    <w:rsid w:val="00E836CC"/>
    <w:rsid w:val="00E837CE"/>
    <w:rsid w:val="00E871B3"/>
    <w:rsid w:val="00E909E3"/>
    <w:rsid w:val="00E90D18"/>
    <w:rsid w:val="00E90D3A"/>
    <w:rsid w:val="00E91215"/>
    <w:rsid w:val="00E91639"/>
    <w:rsid w:val="00E91F29"/>
    <w:rsid w:val="00E922A9"/>
    <w:rsid w:val="00E93F55"/>
    <w:rsid w:val="00E9497D"/>
    <w:rsid w:val="00E950B0"/>
    <w:rsid w:val="00E97399"/>
    <w:rsid w:val="00EA4D39"/>
    <w:rsid w:val="00EA5FA8"/>
    <w:rsid w:val="00EB223E"/>
    <w:rsid w:val="00EB7EDE"/>
    <w:rsid w:val="00EC4D48"/>
    <w:rsid w:val="00EC57CC"/>
    <w:rsid w:val="00EC65C7"/>
    <w:rsid w:val="00EC72DE"/>
    <w:rsid w:val="00EC7945"/>
    <w:rsid w:val="00ED044B"/>
    <w:rsid w:val="00ED0E1B"/>
    <w:rsid w:val="00ED6E82"/>
    <w:rsid w:val="00ED76EA"/>
    <w:rsid w:val="00EE00AE"/>
    <w:rsid w:val="00EE0718"/>
    <w:rsid w:val="00EE0FE1"/>
    <w:rsid w:val="00EE30C6"/>
    <w:rsid w:val="00EE7548"/>
    <w:rsid w:val="00EF082C"/>
    <w:rsid w:val="00EF2AD6"/>
    <w:rsid w:val="00EF334E"/>
    <w:rsid w:val="00EF342E"/>
    <w:rsid w:val="00EF4990"/>
    <w:rsid w:val="00EF6572"/>
    <w:rsid w:val="00EF7C1B"/>
    <w:rsid w:val="00F04E86"/>
    <w:rsid w:val="00F069F6"/>
    <w:rsid w:val="00F110CD"/>
    <w:rsid w:val="00F11F83"/>
    <w:rsid w:val="00F13AA3"/>
    <w:rsid w:val="00F13FC4"/>
    <w:rsid w:val="00F15A8F"/>
    <w:rsid w:val="00F2317E"/>
    <w:rsid w:val="00F236F8"/>
    <w:rsid w:val="00F27BF4"/>
    <w:rsid w:val="00F30A2D"/>
    <w:rsid w:val="00F36DE6"/>
    <w:rsid w:val="00F37488"/>
    <w:rsid w:val="00F40CFC"/>
    <w:rsid w:val="00F40FCD"/>
    <w:rsid w:val="00F41283"/>
    <w:rsid w:val="00F45D53"/>
    <w:rsid w:val="00F463E0"/>
    <w:rsid w:val="00F46A72"/>
    <w:rsid w:val="00F47904"/>
    <w:rsid w:val="00F501D9"/>
    <w:rsid w:val="00F50565"/>
    <w:rsid w:val="00F516F5"/>
    <w:rsid w:val="00F52C9D"/>
    <w:rsid w:val="00F566D5"/>
    <w:rsid w:val="00F600F2"/>
    <w:rsid w:val="00F63F3A"/>
    <w:rsid w:val="00F6568A"/>
    <w:rsid w:val="00F66E91"/>
    <w:rsid w:val="00F71E6F"/>
    <w:rsid w:val="00F76DD2"/>
    <w:rsid w:val="00F80748"/>
    <w:rsid w:val="00F8340E"/>
    <w:rsid w:val="00F861DE"/>
    <w:rsid w:val="00F90F7D"/>
    <w:rsid w:val="00F91DF3"/>
    <w:rsid w:val="00F92087"/>
    <w:rsid w:val="00F94D22"/>
    <w:rsid w:val="00F94DEF"/>
    <w:rsid w:val="00F95910"/>
    <w:rsid w:val="00F972AA"/>
    <w:rsid w:val="00F973A6"/>
    <w:rsid w:val="00FA070A"/>
    <w:rsid w:val="00FA6FF2"/>
    <w:rsid w:val="00FA77EE"/>
    <w:rsid w:val="00FA7BFA"/>
    <w:rsid w:val="00FB54AB"/>
    <w:rsid w:val="00FB5764"/>
    <w:rsid w:val="00FB6437"/>
    <w:rsid w:val="00FB7E7D"/>
    <w:rsid w:val="00FC2FBA"/>
    <w:rsid w:val="00FC5DA4"/>
    <w:rsid w:val="00FC68F9"/>
    <w:rsid w:val="00FC6EE9"/>
    <w:rsid w:val="00FD145C"/>
    <w:rsid w:val="00FD1A3D"/>
    <w:rsid w:val="00FD274D"/>
    <w:rsid w:val="00FD52FC"/>
    <w:rsid w:val="00FD620E"/>
    <w:rsid w:val="00FD6BBB"/>
    <w:rsid w:val="00FF3536"/>
    <w:rsid w:val="00FF3954"/>
    <w:rsid w:val="00FF4636"/>
    <w:rsid w:val="00FF580F"/>
    <w:rsid w:val="00FF5D2B"/>
    <w:rsid w:val="02113E4F"/>
    <w:rsid w:val="03FC5E82"/>
    <w:rsid w:val="043715E2"/>
    <w:rsid w:val="05CE0B91"/>
    <w:rsid w:val="061C285F"/>
    <w:rsid w:val="06322C8C"/>
    <w:rsid w:val="066F2426"/>
    <w:rsid w:val="06E416A2"/>
    <w:rsid w:val="06F54EC3"/>
    <w:rsid w:val="08672C20"/>
    <w:rsid w:val="08A84B1C"/>
    <w:rsid w:val="08FE2242"/>
    <w:rsid w:val="0908290C"/>
    <w:rsid w:val="09147308"/>
    <w:rsid w:val="09BE4E99"/>
    <w:rsid w:val="0A440E3E"/>
    <w:rsid w:val="0A7B6A31"/>
    <w:rsid w:val="0B547AFE"/>
    <w:rsid w:val="0BAD645F"/>
    <w:rsid w:val="0C2A019A"/>
    <w:rsid w:val="0C4C2E4B"/>
    <w:rsid w:val="0CD028EE"/>
    <w:rsid w:val="0CDC15C9"/>
    <w:rsid w:val="0E3B1B39"/>
    <w:rsid w:val="0E8B1239"/>
    <w:rsid w:val="0EC04D3B"/>
    <w:rsid w:val="0F3E4A65"/>
    <w:rsid w:val="10106F3D"/>
    <w:rsid w:val="10430B73"/>
    <w:rsid w:val="105B7E39"/>
    <w:rsid w:val="10794E72"/>
    <w:rsid w:val="11913419"/>
    <w:rsid w:val="11B2531C"/>
    <w:rsid w:val="11E77E5A"/>
    <w:rsid w:val="121835FB"/>
    <w:rsid w:val="126D55D2"/>
    <w:rsid w:val="128F24EA"/>
    <w:rsid w:val="12BE2183"/>
    <w:rsid w:val="13784A44"/>
    <w:rsid w:val="13A22EA1"/>
    <w:rsid w:val="13B5759E"/>
    <w:rsid w:val="13D16E5D"/>
    <w:rsid w:val="13FA500A"/>
    <w:rsid w:val="15080EBE"/>
    <w:rsid w:val="15356E8A"/>
    <w:rsid w:val="17817902"/>
    <w:rsid w:val="17F13E79"/>
    <w:rsid w:val="191048E7"/>
    <w:rsid w:val="19404B11"/>
    <w:rsid w:val="195C65FC"/>
    <w:rsid w:val="1B2E7EFB"/>
    <w:rsid w:val="1B4170B3"/>
    <w:rsid w:val="1BE95C16"/>
    <w:rsid w:val="1C354377"/>
    <w:rsid w:val="1C4B5D71"/>
    <w:rsid w:val="1CAD49C0"/>
    <w:rsid w:val="1D347916"/>
    <w:rsid w:val="1D565CE4"/>
    <w:rsid w:val="1EBB651C"/>
    <w:rsid w:val="1FE26985"/>
    <w:rsid w:val="2079123A"/>
    <w:rsid w:val="208859F8"/>
    <w:rsid w:val="20D7632C"/>
    <w:rsid w:val="2121675E"/>
    <w:rsid w:val="213747C9"/>
    <w:rsid w:val="214F48B5"/>
    <w:rsid w:val="214F4AE8"/>
    <w:rsid w:val="221955EF"/>
    <w:rsid w:val="22823295"/>
    <w:rsid w:val="22BB01A4"/>
    <w:rsid w:val="22EC74AC"/>
    <w:rsid w:val="230E5D14"/>
    <w:rsid w:val="23457369"/>
    <w:rsid w:val="23A6796E"/>
    <w:rsid w:val="23CF3BAA"/>
    <w:rsid w:val="23DA63E1"/>
    <w:rsid w:val="243A2B27"/>
    <w:rsid w:val="24D90223"/>
    <w:rsid w:val="254A6C8F"/>
    <w:rsid w:val="25B41E9D"/>
    <w:rsid w:val="275774BC"/>
    <w:rsid w:val="27BC027C"/>
    <w:rsid w:val="285C66A9"/>
    <w:rsid w:val="28792F09"/>
    <w:rsid w:val="29270B91"/>
    <w:rsid w:val="29743372"/>
    <w:rsid w:val="2983524E"/>
    <w:rsid w:val="2A1878D3"/>
    <w:rsid w:val="2A645ED1"/>
    <w:rsid w:val="2AFD3F4F"/>
    <w:rsid w:val="2B0467D3"/>
    <w:rsid w:val="2B345787"/>
    <w:rsid w:val="2B8654A3"/>
    <w:rsid w:val="2CC65C4C"/>
    <w:rsid w:val="2F605CB2"/>
    <w:rsid w:val="2F911614"/>
    <w:rsid w:val="2FB70B5B"/>
    <w:rsid w:val="2FC5152A"/>
    <w:rsid w:val="2FEB55AB"/>
    <w:rsid w:val="317D63BC"/>
    <w:rsid w:val="324867CB"/>
    <w:rsid w:val="325623AA"/>
    <w:rsid w:val="32AC416B"/>
    <w:rsid w:val="32FC1595"/>
    <w:rsid w:val="33C74298"/>
    <w:rsid w:val="35326A56"/>
    <w:rsid w:val="3612721C"/>
    <w:rsid w:val="368E0C6E"/>
    <w:rsid w:val="36E075E6"/>
    <w:rsid w:val="37112ADC"/>
    <w:rsid w:val="38F73316"/>
    <w:rsid w:val="38FC0CD5"/>
    <w:rsid w:val="392641B7"/>
    <w:rsid w:val="392C5882"/>
    <w:rsid w:val="393C4C41"/>
    <w:rsid w:val="398A2E2E"/>
    <w:rsid w:val="39DB0CE1"/>
    <w:rsid w:val="3AD54840"/>
    <w:rsid w:val="3AF57197"/>
    <w:rsid w:val="3B435F5B"/>
    <w:rsid w:val="3BC0754E"/>
    <w:rsid w:val="3C1B043E"/>
    <w:rsid w:val="3C4F2EEF"/>
    <w:rsid w:val="3CB50442"/>
    <w:rsid w:val="3CBD13FD"/>
    <w:rsid w:val="3EFB11E5"/>
    <w:rsid w:val="3FA55A9F"/>
    <w:rsid w:val="404B2E8B"/>
    <w:rsid w:val="40610603"/>
    <w:rsid w:val="40910F5D"/>
    <w:rsid w:val="40BA4177"/>
    <w:rsid w:val="412818A5"/>
    <w:rsid w:val="41930895"/>
    <w:rsid w:val="42BD5963"/>
    <w:rsid w:val="436328F5"/>
    <w:rsid w:val="43707F15"/>
    <w:rsid w:val="43871A04"/>
    <w:rsid w:val="43CA5FF7"/>
    <w:rsid w:val="44EC2160"/>
    <w:rsid w:val="45054D7D"/>
    <w:rsid w:val="45095E68"/>
    <w:rsid w:val="45492B81"/>
    <w:rsid w:val="4565044C"/>
    <w:rsid w:val="46014481"/>
    <w:rsid w:val="466F091E"/>
    <w:rsid w:val="477B4832"/>
    <w:rsid w:val="47B7290C"/>
    <w:rsid w:val="48B2608A"/>
    <w:rsid w:val="49F00D5F"/>
    <w:rsid w:val="4A110301"/>
    <w:rsid w:val="4A9517BE"/>
    <w:rsid w:val="4B304282"/>
    <w:rsid w:val="4E1725C1"/>
    <w:rsid w:val="4F343DA7"/>
    <w:rsid w:val="4F9505E8"/>
    <w:rsid w:val="4FC10172"/>
    <w:rsid w:val="500242FE"/>
    <w:rsid w:val="50C41D98"/>
    <w:rsid w:val="50CE0EF1"/>
    <w:rsid w:val="50D95C42"/>
    <w:rsid w:val="52643142"/>
    <w:rsid w:val="53047B1C"/>
    <w:rsid w:val="53CC23E9"/>
    <w:rsid w:val="53EF11F3"/>
    <w:rsid w:val="53FF355D"/>
    <w:rsid w:val="55035063"/>
    <w:rsid w:val="55DF60A7"/>
    <w:rsid w:val="56E20EC8"/>
    <w:rsid w:val="56E35D53"/>
    <w:rsid w:val="56F82930"/>
    <w:rsid w:val="571264AF"/>
    <w:rsid w:val="57B2047E"/>
    <w:rsid w:val="57B9191F"/>
    <w:rsid w:val="584D4A3B"/>
    <w:rsid w:val="585F0CFA"/>
    <w:rsid w:val="58900DF0"/>
    <w:rsid w:val="58B84252"/>
    <w:rsid w:val="58BE6CA1"/>
    <w:rsid w:val="59B72774"/>
    <w:rsid w:val="59EF20EE"/>
    <w:rsid w:val="5A22154A"/>
    <w:rsid w:val="5AB578C2"/>
    <w:rsid w:val="5B5D4EA9"/>
    <w:rsid w:val="5BFD2905"/>
    <w:rsid w:val="5C0F2107"/>
    <w:rsid w:val="5D135882"/>
    <w:rsid w:val="5DE76710"/>
    <w:rsid w:val="5E531797"/>
    <w:rsid w:val="5E543814"/>
    <w:rsid w:val="5ECF4DC1"/>
    <w:rsid w:val="5F513979"/>
    <w:rsid w:val="5FBA7BE3"/>
    <w:rsid w:val="61117A9C"/>
    <w:rsid w:val="61265AF3"/>
    <w:rsid w:val="61286456"/>
    <w:rsid w:val="61620FB6"/>
    <w:rsid w:val="623D5A15"/>
    <w:rsid w:val="628362BE"/>
    <w:rsid w:val="63613563"/>
    <w:rsid w:val="646F5518"/>
    <w:rsid w:val="649C3A03"/>
    <w:rsid w:val="64E80A78"/>
    <w:rsid w:val="656D62C1"/>
    <w:rsid w:val="65965BDA"/>
    <w:rsid w:val="65A71C2A"/>
    <w:rsid w:val="665A501E"/>
    <w:rsid w:val="67A6286B"/>
    <w:rsid w:val="685F359A"/>
    <w:rsid w:val="68A317BA"/>
    <w:rsid w:val="68B42BF3"/>
    <w:rsid w:val="69064444"/>
    <w:rsid w:val="69EF6042"/>
    <w:rsid w:val="6B163FEF"/>
    <w:rsid w:val="6B3A19E3"/>
    <w:rsid w:val="6D30452E"/>
    <w:rsid w:val="6D6F527B"/>
    <w:rsid w:val="6E407887"/>
    <w:rsid w:val="6E750089"/>
    <w:rsid w:val="6EB1388E"/>
    <w:rsid w:val="6F8A0DEB"/>
    <w:rsid w:val="6FC96697"/>
    <w:rsid w:val="70693E9F"/>
    <w:rsid w:val="716810C7"/>
    <w:rsid w:val="718B00BE"/>
    <w:rsid w:val="725321D6"/>
    <w:rsid w:val="72951A90"/>
    <w:rsid w:val="72E92C0A"/>
    <w:rsid w:val="73082350"/>
    <w:rsid w:val="73195E4C"/>
    <w:rsid w:val="734D2F98"/>
    <w:rsid w:val="74AD1F9F"/>
    <w:rsid w:val="7530793A"/>
    <w:rsid w:val="75452A0C"/>
    <w:rsid w:val="75D30F1C"/>
    <w:rsid w:val="76093A95"/>
    <w:rsid w:val="76E14E65"/>
    <w:rsid w:val="77107C07"/>
    <w:rsid w:val="77BF2F68"/>
    <w:rsid w:val="787D2F3C"/>
    <w:rsid w:val="788419CF"/>
    <w:rsid w:val="793A252F"/>
    <w:rsid w:val="7A727850"/>
    <w:rsid w:val="7AE110A7"/>
    <w:rsid w:val="7B8A0FE1"/>
    <w:rsid w:val="7B9D31E7"/>
    <w:rsid w:val="7BBC5A7F"/>
    <w:rsid w:val="7BEC319A"/>
    <w:rsid w:val="7D23263F"/>
    <w:rsid w:val="7D355645"/>
    <w:rsid w:val="7D6566CD"/>
    <w:rsid w:val="7DAF2BA0"/>
    <w:rsid w:val="7EBF784C"/>
    <w:rsid w:val="7FF6395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uiPriority="99" w:name="Hyperlink"/>
    <w:lsdException w:qFormat="1" w:uiPriority="99"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32"/>
      <w:szCs w:val="24"/>
      <w:lang w:val="en-US" w:eastAsia="zh-CN" w:bidi="ar-SA"/>
    </w:rPr>
  </w:style>
  <w:style w:type="character" w:default="1" w:styleId="13">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2">
    <w:name w:val="Document Map"/>
    <w:basedOn w:val="1"/>
    <w:link w:val="24"/>
    <w:qFormat/>
    <w:uiPriority w:val="0"/>
    <w:rPr>
      <w:rFonts w:ascii="宋体"/>
      <w:sz w:val="18"/>
      <w:szCs w:val="18"/>
    </w:rPr>
  </w:style>
  <w:style w:type="paragraph" w:styleId="3">
    <w:name w:val="annotation text"/>
    <w:basedOn w:val="1"/>
    <w:link w:val="34"/>
    <w:semiHidden/>
    <w:unhideWhenUsed/>
    <w:qFormat/>
    <w:uiPriority w:val="99"/>
    <w:pPr>
      <w:jc w:val="left"/>
    </w:pPr>
  </w:style>
  <w:style w:type="paragraph" w:styleId="4">
    <w:name w:val="Body Text Indent 2"/>
    <w:basedOn w:val="1"/>
    <w:link w:val="23"/>
    <w:qFormat/>
    <w:uiPriority w:val="0"/>
    <w:pPr>
      <w:ind w:firstLine="640" w:firstLineChars="200"/>
    </w:pPr>
    <w:rPr>
      <w:rFonts w:ascii="楷体_GB2312" w:hAnsi="Courier New" w:eastAsia="楷体_GB2312"/>
      <w:szCs w:val="20"/>
    </w:rPr>
  </w:style>
  <w:style w:type="paragraph" w:styleId="5">
    <w:name w:val="Balloon Text"/>
    <w:basedOn w:val="1"/>
    <w:semiHidden/>
    <w:qFormat/>
    <w:uiPriority w:val="0"/>
    <w:rPr>
      <w:sz w:val="18"/>
      <w:szCs w:val="18"/>
    </w:r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30"/>
    <w:qFormat/>
    <w:uiPriority w:val="11"/>
    <w:pPr>
      <w:spacing w:before="240" w:after="60" w:line="312" w:lineRule="auto"/>
      <w:jc w:val="center"/>
      <w:outlineLvl w:val="1"/>
    </w:pPr>
    <w:rPr>
      <w:rFonts w:ascii="Cambria" w:hAnsi="Cambria"/>
      <w:b/>
      <w:bCs/>
      <w:kern w:val="28"/>
      <w:szCs w:val="32"/>
    </w:rPr>
  </w:style>
  <w:style w:type="paragraph" w:styleId="9">
    <w:name w:val="Normal (Web)"/>
    <w:basedOn w:val="1"/>
    <w:semiHidden/>
    <w:unhideWhenUsed/>
    <w:qFormat/>
    <w:uiPriority w:val="99"/>
    <w:rPr>
      <w:sz w:val="24"/>
    </w:rPr>
  </w:style>
  <w:style w:type="paragraph" w:styleId="10">
    <w:name w:val="Title"/>
    <w:basedOn w:val="1"/>
    <w:next w:val="1"/>
    <w:link w:val="27"/>
    <w:qFormat/>
    <w:uiPriority w:val="0"/>
    <w:pPr>
      <w:spacing w:before="240" w:after="60"/>
      <w:jc w:val="center"/>
      <w:outlineLvl w:val="0"/>
    </w:pPr>
    <w:rPr>
      <w:rFonts w:ascii="Cambria" w:hAnsi="Cambria"/>
      <w:b/>
      <w:bCs/>
      <w:szCs w:val="32"/>
    </w:rPr>
  </w:style>
  <w:style w:type="paragraph" w:styleId="11">
    <w:name w:val="annotation subject"/>
    <w:basedOn w:val="3"/>
    <w:next w:val="3"/>
    <w:link w:val="35"/>
    <w:semiHidden/>
    <w:unhideWhenUsed/>
    <w:qFormat/>
    <w:uiPriority w:val="99"/>
    <w:rPr>
      <w:b/>
      <w:bCs/>
    </w:rPr>
  </w:style>
  <w:style w:type="character" w:styleId="14">
    <w:name w:val="Strong"/>
    <w:basedOn w:val="13"/>
    <w:qFormat/>
    <w:uiPriority w:val="22"/>
    <w:rPr>
      <w:b/>
      <w:bCs/>
    </w:rPr>
  </w:style>
  <w:style w:type="character" w:styleId="15">
    <w:name w:val="page number"/>
    <w:qFormat/>
    <w:uiPriority w:val="0"/>
  </w:style>
  <w:style w:type="character" w:styleId="16">
    <w:name w:val="FollowedHyperlink"/>
    <w:basedOn w:val="13"/>
    <w:semiHidden/>
    <w:unhideWhenUsed/>
    <w:qFormat/>
    <w:uiPriority w:val="99"/>
    <w:rPr>
      <w:color w:val="13C2C2"/>
      <w:u w:val="none"/>
    </w:rPr>
  </w:style>
  <w:style w:type="character" w:styleId="17">
    <w:name w:val="HTML Definition"/>
    <w:basedOn w:val="13"/>
    <w:semiHidden/>
    <w:unhideWhenUsed/>
    <w:qFormat/>
    <w:uiPriority w:val="99"/>
    <w:rPr>
      <w:i/>
      <w:iCs/>
    </w:rPr>
  </w:style>
  <w:style w:type="character" w:styleId="18">
    <w:name w:val="Hyperlink"/>
    <w:basedOn w:val="13"/>
    <w:semiHidden/>
    <w:unhideWhenUsed/>
    <w:uiPriority w:val="99"/>
    <w:rPr>
      <w:color w:val="13C2C2"/>
      <w:u w:val="none"/>
    </w:rPr>
  </w:style>
  <w:style w:type="character" w:styleId="19">
    <w:name w:val="HTML Code"/>
    <w:basedOn w:val="13"/>
    <w:semiHidden/>
    <w:unhideWhenUsed/>
    <w:qFormat/>
    <w:uiPriority w:val="99"/>
    <w:rPr>
      <w:rFonts w:hint="default" w:ascii="Consolas" w:hAnsi="Consolas" w:eastAsia="Consolas" w:cs="Consolas"/>
      <w:sz w:val="21"/>
      <w:szCs w:val="21"/>
    </w:rPr>
  </w:style>
  <w:style w:type="character" w:styleId="20">
    <w:name w:val="annotation reference"/>
    <w:semiHidden/>
    <w:unhideWhenUsed/>
    <w:qFormat/>
    <w:uiPriority w:val="99"/>
    <w:rPr>
      <w:sz w:val="21"/>
      <w:szCs w:val="21"/>
    </w:rPr>
  </w:style>
  <w:style w:type="character" w:styleId="21">
    <w:name w:val="HTML Keyboard"/>
    <w:basedOn w:val="13"/>
    <w:semiHidden/>
    <w:unhideWhenUsed/>
    <w:qFormat/>
    <w:uiPriority w:val="99"/>
    <w:rPr>
      <w:rFonts w:ascii="Consolas" w:hAnsi="Consolas" w:eastAsia="Consolas" w:cs="Consolas"/>
      <w:sz w:val="21"/>
      <w:szCs w:val="21"/>
    </w:rPr>
  </w:style>
  <w:style w:type="character" w:styleId="22">
    <w:name w:val="HTML Sample"/>
    <w:basedOn w:val="13"/>
    <w:semiHidden/>
    <w:unhideWhenUsed/>
    <w:qFormat/>
    <w:uiPriority w:val="99"/>
    <w:rPr>
      <w:rFonts w:hint="default" w:ascii="Consolas" w:hAnsi="Consolas" w:eastAsia="Consolas" w:cs="Consolas"/>
      <w:sz w:val="21"/>
      <w:szCs w:val="21"/>
    </w:rPr>
  </w:style>
  <w:style w:type="character" w:customStyle="1" w:styleId="23">
    <w:name w:val="正文文本缩进 2 Char"/>
    <w:link w:val="4"/>
    <w:qFormat/>
    <w:uiPriority w:val="0"/>
    <w:rPr>
      <w:rFonts w:ascii="楷体_GB2312" w:hAnsi="Courier New" w:eastAsia="楷体_GB2312"/>
      <w:kern w:val="2"/>
      <w:sz w:val="32"/>
    </w:rPr>
  </w:style>
  <w:style w:type="character" w:customStyle="1" w:styleId="24">
    <w:name w:val="文档结构图 Char"/>
    <w:link w:val="2"/>
    <w:qFormat/>
    <w:uiPriority w:val="0"/>
    <w:rPr>
      <w:rFonts w:ascii="宋体"/>
      <w:kern w:val="2"/>
      <w:sz w:val="18"/>
      <w:szCs w:val="18"/>
    </w:rPr>
  </w:style>
  <w:style w:type="character" w:customStyle="1" w:styleId="25">
    <w:name w:val="样式 仿宋 三号 Char"/>
    <w:qFormat/>
    <w:uiPriority w:val="0"/>
    <w:rPr>
      <w:rFonts w:ascii="仿宋" w:hAnsi="仿宋" w:eastAsia="仿宋" w:cs="宋体"/>
      <w:kern w:val="2"/>
      <w:sz w:val="32"/>
      <w:lang w:val="en-US" w:eastAsia="zh-CN" w:bidi="ar-SA"/>
    </w:rPr>
  </w:style>
  <w:style w:type="character" w:customStyle="1" w:styleId="26">
    <w:name w:val="页码1"/>
    <w:qFormat/>
    <w:uiPriority w:val="0"/>
  </w:style>
  <w:style w:type="character" w:customStyle="1" w:styleId="27">
    <w:name w:val="标题 Char"/>
    <w:link w:val="10"/>
    <w:qFormat/>
    <w:uiPriority w:val="0"/>
    <w:rPr>
      <w:rFonts w:ascii="Cambria" w:hAnsi="Cambria" w:cs="Times New Roman"/>
      <w:b/>
      <w:bCs/>
      <w:kern w:val="2"/>
      <w:sz w:val="32"/>
      <w:szCs w:val="32"/>
    </w:rPr>
  </w:style>
  <w:style w:type="character" w:customStyle="1" w:styleId="28">
    <w:name w:val="p0{858D7CFB-ED40-4347-BF05-701D383B685F}"/>
    <w:link w:val="29"/>
    <w:qFormat/>
    <w:uiPriority w:val="0"/>
    <w:rPr>
      <w:kern w:val="0"/>
      <w:szCs w:val="21"/>
    </w:rPr>
  </w:style>
  <w:style w:type="paragraph" w:customStyle="1" w:styleId="29">
    <w:name w:val="p0"/>
    <w:basedOn w:val="1"/>
    <w:link w:val="28"/>
    <w:qFormat/>
    <w:uiPriority w:val="0"/>
    <w:pPr>
      <w:widowControl/>
    </w:pPr>
    <w:rPr>
      <w:kern w:val="0"/>
      <w:sz w:val="20"/>
      <w:szCs w:val="21"/>
    </w:rPr>
  </w:style>
  <w:style w:type="character" w:customStyle="1" w:styleId="30">
    <w:name w:val="副标题 Char"/>
    <w:link w:val="8"/>
    <w:qFormat/>
    <w:uiPriority w:val="11"/>
    <w:rPr>
      <w:rFonts w:ascii="Cambria" w:hAnsi="Cambria" w:cs="Times New Roman"/>
      <w:b/>
      <w:bCs/>
      <w:kern w:val="28"/>
      <w:sz w:val="32"/>
      <w:szCs w:val="32"/>
    </w:rPr>
  </w:style>
  <w:style w:type="paragraph" w:customStyle="1" w:styleId="31">
    <w:name w:val="Char"/>
    <w:basedOn w:val="1"/>
    <w:qFormat/>
    <w:uiPriority w:val="0"/>
    <w:pPr>
      <w:widowControl/>
      <w:jc w:val="left"/>
    </w:pPr>
  </w:style>
  <w:style w:type="paragraph" w:customStyle="1" w:styleId="32">
    <w:name w:val="p17"/>
    <w:basedOn w:val="1"/>
    <w:qFormat/>
    <w:uiPriority w:val="0"/>
    <w:pPr>
      <w:widowControl/>
    </w:pPr>
    <w:rPr>
      <w:rFonts w:ascii="宋体" w:hAnsi="宋体" w:cs="宋体"/>
      <w:kern w:val="0"/>
      <w:szCs w:val="21"/>
    </w:rPr>
  </w:style>
  <w:style w:type="paragraph" w:customStyle="1" w:styleId="33">
    <w:name w:val="Char Char Char Char"/>
    <w:basedOn w:val="1"/>
    <w:qFormat/>
    <w:uiPriority w:val="0"/>
  </w:style>
  <w:style w:type="character" w:customStyle="1" w:styleId="34">
    <w:name w:val="批注文字 Char"/>
    <w:link w:val="3"/>
    <w:semiHidden/>
    <w:qFormat/>
    <w:uiPriority w:val="99"/>
    <w:rPr>
      <w:kern w:val="2"/>
      <w:sz w:val="32"/>
      <w:szCs w:val="24"/>
    </w:rPr>
  </w:style>
  <w:style w:type="character" w:customStyle="1" w:styleId="35">
    <w:name w:val="批注主题 Char"/>
    <w:link w:val="11"/>
    <w:semiHidden/>
    <w:qFormat/>
    <w:uiPriority w:val="99"/>
    <w:rPr>
      <w:b/>
      <w:bCs/>
      <w:kern w:val="2"/>
      <w:sz w:val="32"/>
      <w:szCs w:val="24"/>
    </w:rPr>
  </w:style>
  <w:style w:type="character" w:customStyle="1" w:styleId="36">
    <w:name w:val="ant-select-tree-iconele2"/>
    <w:basedOn w:val="13"/>
    <w:uiPriority w:val="0"/>
  </w:style>
  <w:style w:type="character" w:customStyle="1" w:styleId="37">
    <w:name w:val="ant-radio+*"/>
    <w:basedOn w:val="13"/>
    <w:uiPriority w:val="0"/>
  </w:style>
  <w:style w:type="character" w:customStyle="1" w:styleId="38">
    <w:name w:val="ant-tree-checkbox"/>
    <w:basedOn w:val="13"/>
    <w:qFormat/>
    <w:uiPriority w:val="0"/>
  </w:style>
  <w:style w:type="character" w:customStyle="1" w:styleId="39">
    <w:name w:val="ant-transfer-list-search-action"/>
    <w:basedOn w:val="13"/>
    <w:qFormat/>
    <w:uiPriority w:val="0"/>
  </w:style>
  <w:style w:type="character" w:customStyle="1" w:styleId="40">
    <w:name w:val="ant-tree-iconele"/>
    <w:basedOn w:val="13"/>
    <w:qFormat/>
    <w:uiPriority w:val="0"/>
  </w:style>
  <w:style w:type="character" w:customStyle="1" w:styleId="41">
    <w:name w:val="ant-tree-switcher"/>
    <w:basedOn w:val="13"/>
    <w:qFormat/>
    <w:uiPriority w:val="0"/>
  </w:style>
  <w:style w:type="character" w:customStyle="1" w:styleId="42">
    <w:name w:val="ant-select-tree-switcher"/>
    <w:basedOn w:val="13"/>
    <w:qFormat/>
    <w:uiPriority w:val="0"/>
  </w:style>
  <w:style w:type="character" w:customStyle="1" w:styleId="43">
    <w:name w:val="ant-select-tree-checkbox2"/>
    <w:basedOn w:val="13"/>
    <w:uiPriority w:val="0"/>
  </w:style>
  <w:style w:type="paragraph" w:customStyle="1" w:styleId="44">
    <w:name w:val="_Style 43"/>
    <w:basedOn w:val="1"/>
    <w:next w:val="1"/>
    <w:qFormat/>
    <w:uiPriority w:val="0"/>
    <w:pPr>
      <w:pBdr>
        <w:bottom w:val="single" w:color="auto" w:sz="6" w:space="1"/>
      </w:pBdr>
      <w:jc w:val="center"/>
    </w:pPr>
    <w:rPr>
      <w:rFonts w:ascii="Arial"/>
      <w:vanish/>
      <w:sz w:val="16"/>
    </w:rPr>
  </w:style>
  <w:style w:type="paragraph" w:customStyle="1" w:styleId="45">
    <w:name w:val="_Style 44"/>
    <w:basedOn w:val="1"/>
    <w:next w:val="1"/>
    <w:qFormat/>
    <w:uiPriority w:val="0"/>
    <w:pPr>
      <w:pBdr>
        <w:top w:val="single" w:color="auto" w:sz="6" w:space="1"/>
      </w:pBdr>
      <w:jc w:val="center"/>
    </w:pPr>
    <w:rPr>
      <w:rFonts w:ascii="Arial"/>
      <w:vanish/>
      <w:sz w:val="16"/>
    </w:r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2.xml"/><Relationship Id="rId14" Type="http://schemas.openxmlformats.org/officeDocument/2006/relationships/customXml" Target="../customXml/item1.xml"/><Relationship Id="rId13" Type="http://schemas.openxmlformats.org/officeDocument/2006/relationships/chart" Target="charts/chart6.xml"/><Relationship Id="rId12" Type="http://schemas.openxmlformats.org/officeDocument/2006/relationships/chart" Target="charts/chart5.xml"/><Relationship Id="rId11" Type="http://schemas.openxmlformats.org/officeDocument/2006/relationships/chart" Target="charts/chart4.xml"/><Relationship Id="rId10" Type="http://schemas.openxmlformats.org/officeDocument/2006/relationships/chart" Target="charts/chart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080" b="1" i="0" u="none" strike="noStrike" kern="1200" spc="0" baseline="0">
                <a:solidFill>
                  <a:schemeClr val="tx1">
                    <a:lumMod val="65000"/>
                    <a:lumOff val="35000"/>
                  </a:schemeClr>
                </a:solidFill>
                <a:latin typeface="+mn-lt"/>
                <a:ea typeface="+mn-ea"/>
                <a:cs typeface="+mn-cs"/>
              </a:defRPr>
            </a:pPr>
            <a:r>
              <a:rPr lang="zh-CN" altLang="en-US" sz="1050" b="1">
                <a:solidFill>
                  <a:schemeClr val="tx1"/>
                </a:solidFill>
              </a:rPr>
              <a:t>图</a:t>
            </a:r>
            <a:r>
              <a:rPr lang="en-US" altLang="zh-CN" sz="1050" b="1">
                <a:solidFill>
                  <a:schemeClr val="tx1"/>
                </a:solidFill>
              </a:rPr>
              <a:t>1</a:t>
            </a:r>
            <a:r>
              <a:rPr lang="zh-CN" altLang="en-US" sz="1050" b="1">
                <a:solidFill>
                  <a:schemeClr val="tx1"/>
                </a:solidFill>
              </a:rPr>
              <a:t>：收入支出决算变动情况图</a:t>
            </a:r>
            <a:endParaRPr lang="zh-CN" altLang="en-US" sz="1080" b="1">
              <a:solidFill>
                <a:schemeClr val="tx1"/>
              </a:solidFill>
            </a:endParaRPr>
          </a:p>
          <a:p>
            <a:pPr defTabSz="914400">
              <a:defRPr lang="zh-CN" sz="1080" b="1" i="0" u="none" strike="noStrike" kern="1200" spc="0" baseline="0">
                <a:solidFill>
                  <a:schemeClr val="tx1">
                    <a:lumMod val="65000"/>
                    <a:lumOff val="35000"/>
                  </a:schemeClr>
                </a:solidFill>
                <a:latin typeface="+mn-lt"/>
                <a:ea typeface="+mn-ea"/>
                <a:cs typeface="+mn-cs"/>
              </a:defRPr>
            </a:pPr>
            <a:r>
              <a:rPr lang="zh-CN" altLang="en-US" sz="800">
                <a:solidFill>
                  <a:schemeClr val="tx1"/>
                </a:solidFill>
              </a:rPr>
              <a:t>（单位：万元）</a:t>
            </a:r>
            <a:endParaRPr lang="zh-CN" altLang="en-US" sz="800">
              <a:solidFill>
                <a:schemeClr val="tx1"/>
              </a:solidFill>
            </a:endParaRPr>
          </a:p>
        </c:rich>
      </c:tx>
      <c:layout>
        <c:manualLayout>
          <c:xMode val="edge"/>
          <c:yMode val="edge"/>
          <c:x val="0.301451187335092"/>
          <c:y val="0.00813008130081301"/>
        </c:manualLayout>
      </c:layout>
      <c:overlay val="0"/>
      <c:spPr>
        <a:noFill/>
        <a:ln>
          <a:noFill/>
        </a:ln>
        <a:effectLst/>
      </c:spPr>
    </c:title>
    <c:autoTitleDeleted val="0"/>
    <c:plotArea>
      <c:layout>
        <c:manualLayout>
          <c:layoutTarget val="inner"/>
          <c:xMode val="edge"/>
          <c:yMode val="edge"/>
          <c:x val="0.102058047493404"/>
          <c:y val="0.258536585365854"/>
          <c:w val="0.871029023746702"/>
          <c:h val="0.629376693766938"/>
        </c:manualLayout>
      </c:layout>
      <c:barChart>
        <c:barDir val="col"/>
        <c:grouping val="clustered"/>
        <c:varyColors val="0"/>
        <c:ser>
          <c:idx val="0"/>
          <c:order val="0"/>
          <c:spPr>
            <a:solidFill>
              <a:schemeClr val="accent1"/>
            </a:solidFill>
            <a:ln>
              <a:noFill/>
            </a:ln>
            <a:effectLst/>
          </c:spPr>
          <c:invertIfNegative val="0"/>
          <c:dPt>
            <c:idx val="1"/>
            <c:invertIfNegative val="0"/>
            <c:bubble3D val="0"/>
            <c:spPr>
              <a:solidFill>
                <a:schemeClr val="accent2"/>
              </a:solidFill>
              <a:ln>
                <a:no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Sheet1!$A$1:$A$2</c:f>
              <c:strCache>
                <c:ptCount val="2"/>
                <c:pt idx="0">
                  <c:v>2019年</c:v>
                </c:pt>
                <c:pt idx="1">
                  <c:v>2020年</c:v>
                </c:pt>
              </c:strCache>
            </c:strRef>
          </c:cat>
          <c:val>
            <c:numRef>
              <c:f>Sheet1!$B$1:$B$2</c:f>
              <c:numCache>
                <c:formatCode>General</c:formatCode>
                <c:ptCount val="2"/>
                <c:pt idx="0">
                  <c:v>101041.85</c:v>
                </c:pt>
                <c:pt idx="1">
                  <c:v>52654.17</c:v>
                </c:pt>
              </c:numCache>
            </c:numRef>
          </c:val>
        </c:ser>
        <c:dLbls>
          <c:showLegendKey val="0"/>
          <c:showVal val="1"/>
          <c:showCatName val="0"/>
          <c:showSerName val="0"/>
          <c:showPercent val="0"/>
          <c:showBubbleSize val="0"/>
        </c:dLbls>
        <c:gapWidth val="219"/>
        <c:overlap val="-27"/>
        <c:axId val="41166720"/>
        <c:axId val="41390848"/>
      </c:barChart>
      <c:catAx>
        <c:axId val="4116672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1390848"/>
        <c:crosses val="autoZero"/>
        <c:auto val="1"/>
        <c:lblAlgn val="ctr"/>
        <c:lblOffset val="100"/>
        <c:noMultiLvlLbl val="0"/>
      </c:catAx>
      <c:valAx>
        <c:axId val="413908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116672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zh-CN" sz="900"/>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cap="all" spc="50" baseline="0">
                <a:solidFill>
                  <a:schemeClr val="tx1">
                    <a:lumMod val="65000"/>
                    <a:lumOff val="35000"/>
                  </a:schemeClr>
                </a:solidFill>
                <a:latin typeface="+mn-lt"/>
                <a:ea typeface="+mn-ea"/>
                <a:cs typeface="+mn-cs"/>
              </a:defRPr>
            </a:pPr>
            <a:r>
              <a:rPr lang="zh-CN" altLang="en-US" sz="1050">
                <a:solidFill>
                  <a:schemeClr val="tx1"/>
                </a:solidFill>
              </a:rPr>
              <a:t>图</a:t>
            </a:r>
            <a:r>
              <a:rPr lang="en-US" altLang="zh-CN" sz="1050">
                <a:solidFill>
                  <a:schemeClr val="tx1"/>
                </a:solidFill>
              </a:rPr>
              <a:t>2</a:t>
            </a:r>
            <a:r>
              <a:rPr lang="zh-CN" altLang="en-US" sz="1050">
                <a:solidFill>
                  <a:schemeClr val="tx1"/>
                </a:solidFill>
              </a:rPr>
              <a:t>：本年收入决算结构图</a:t>
            </a:r>
            <a:endParaRPr lang="zh-CN" altLang="en-US" sz="1050">
              <a:solidFill>
                <a:schemeClr val="tx1"/>
              </a:solidFill>
            </a:endParaRPr>
          </a:p>
        </c:rich>
      </c:tx>
      <c:layout>
        <c:manualLayout>
          <c:xMode val="edge"/>
          <c:yMode val="edge"/>
          <c:x val="0.317680301399354"/>
          <c:y val="0.0307197191339965"/>
        </c:manualLayout>
      </c:layout>
      <c:overlay val="0"/>
      <c:spPr>
        <a:noFill/>
        <a:ln>
          <a:noFill/>
        </a:ln>
        <a:effectLst/>
      </c:spPr>
    </c:title>
    <c:autoTitleDeleted val="0"/>
    <c:plotArea>
      <c:layout>
        <c:manualLayout>
          <c:layoutTarget val="inner"/>
          <c:xMode val="edge"/>
          <c:yMode val="edge"/>
          <c:x val="0.310844071232083"/>
          <c:y val="0.251374959560013"/>
          <c:w val="0.305342406254524"/>
          <c:h val="0.682303461662892"/>
        </c:manualLayout>
      </c:layout>
      <c:pieChart>
        <c:varyColors val="1"/>
        <c:ser>
          <c:idx val="0"/>
          <c:order val="0"/>
          <c:tx>
            <c:strRef>
              <c:f>Sheet1!$A$2</c:f>
              <c:strCache>
                <c:ptCount val="1"/>
                <c:pt idx="0">
                  <c:v>本年收入决算结构图</c:v>
                </c:pt>
              </c:strCache>
            </c:strRef>
          </c:tx>
          <c:spPr/>
          <c:explosion val="0"/>
          <c:dPt>
            <c:idx val="0"/>
            <c:bubble3D val="0"/>
            <c:spPr>
              <a:solidFill>
                <a:schemeClr val="accent1"/>
              </a:solidFill>
              <a:ln>
                <a:noFill/>
              </a:ln>
              <a:effectLst/>
            </c:spPr>
          </c:dPt>
          <c:dPt>
            <c:idx val="1"/>
            <c:bubble3D val="0"/>
            <c:spPr>
              <a:solidFill>
                <a:schemeClr val="accent2"/>
              </a:solidFill>
              <a:ln>
                <a:noFill/>
              </a:ln>
              <a:effectLst/>
            </c:spPr>
          </c:dPt>
          <c:dPt>
            <c:idx val="2"/>
            <c:bubble3D val="0"/>
            <c:spPr>
              <a:solidFill>
                <a:schemeClr val="accent3"/>
              </a:solidFill>
              <a:ln>
                <a:noFill/>
              </a:ln>
              <a:effectLst/>
            </c:spPr>
          </c:dPt>
          <c:dPt>
            <c:idx val="3"/>
            <c:bubble3D val="0"/>
            <c:spPr>
              <a:solidFill>
                <a:schemeClr val="accent4"/>
              </a:solidFill>
              <a:ln>
                <a:noFill/>
              </a:ln>
              <a:effectLst/>
            </c:spPr>
          </c:dPt>
          <c:dPt>
            <c:idx val="4"/>
            <c:bubble3D val="0"/>
            <c:spPr>
              <a:solidFill>
                <a:schemeClr val="accent5"/>
              </a:solidFill>
              <a:ln>
                <a:noFill/>
              </a:ln>
              <a:effectLst/>
            </c:spPr>
          </c:dPt>
          <c:dPt>
            <c:idx val="5"/>
            <c:bubble3D val="0"/>
            <c:spPr>
              <a:solidFill>
                <a:schemeClr val="accent6"/>
              </a:solidFill>
              <a:ln>
                <a:noFill/>
              </a:ln>
              <a:effectLst/>
            </c:spPr>
          </c:dPt>
          <c:dLbls>
            <c:dLbl>
              <c:idx val="0"/>
              <c:layout/>
              <c:tx>
                <c:rich>
                  <a:bodyPr rot="0" spcFirstLastPara="0" vertOverflow="ellipsis" vert="horz" wrap="square" lIns="38100" tIns="19050" rIns="38100" bIns="19050" anchor="ctr" anchorCtr="1"/>
                  <a:lstStyle/>
                  <a:p>
                    <a:pPr>
                      <a:defRPr lang="zh-CN" sz="900" b="0" i="0" u="none" strike="noStrike" kern="1200" baseline="0">
                        <a:solidFill>
                          <a:schemeClr val="lt1"/>
                        </a:solidFill>
                        <a:latin typeface="+mn-lt"/>
                        <a:ea typeface="+mn-ea"/>
                        <a:cs typeface="+mn-cs"/>
                      </a:defRPr>
                    </a:pPr>
                    <a:r>
                      <a:rPr lang="en-US" altLang="zh-CN" b="0">
                        <a:solidFill>
                          <a:sysClr val="windowText" lastClr="000000"/>
                        </a:solidFill>
                      </a:rPr>
                      <a:t>100%</a:t>
                    </a:r>
                    <a:endParaRPr lang="en-US" altLang="zh-CN" b="0">
                      <a:solidFill>
                        <a:sysClr val="windowText" lastClr="000000"/>
                      </a:solidFill>
                    </a:endParaRPr>
                  </a:p>
                </c:rich>
              </c:tx>
              <c:dLblPos val="bestFit"/>
              <c:showLegendKey val="0"/>
              <c:showVal val="0"/>
              <c:showCatName val="0"/>
              <c:showSerName val="0"/>
              <c:showPercent val="1"/>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lt1"/>
                    </a:solidFill>
                    <a:latin typeface="+mn-lt"/>
                    <a:ea typeface="+mn-ea"/>
                    <a:cs typeface="+mn-cs"/>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Sheet1!$B$1:$G$1</c:f>
              <c:strCache>
                <c:ptCount val="6"/>
                <c:pt idx="0">
                  <c:v>财政拨款收入</c:v>
                </c:pt>
                <c:pt idx="1">
                  <c:v>上级补助收入</c:v>
                </c:pt>
                <c:pt idx="2">
                  <c:v>事业收入</c:v>
                </c:pt>
                <c:pt idx="3">
                  <c:v>经营收入</c:v>
                </c:pt>
                <c:pt idx="4">
                  <c:v>附属单位上缴收入</c:v>
                </c:pt>
                <c:pt idx="5">
                  <c:v>其他收入</c:v>
                </c:pt>
              </c:strCache>
            </c:strRef>
          </c:cat>
          <c:val>
            <c:numRef>
              <c:f>Sheet1!$B$2:$G$2</c:f>
              <c:numCache>
                <c:formatCode>#,##0.00</c:formatCode>
                <c:ptCount val="6"/>
                <c:pt idx="0">
                  <c:v>52654.17</c:v>
                </c:pt>
                <c:pt idx="1" c:formatCode="General">
                  <c:v>0</c:v>
                </c:pt>
                <c:pt idx="2" c:formatCode="General">
                  <c:v>0</c:v>
                </c:pt>
                <c:pt idx="3" c:formatCode="General">
                  <c:v>0</c:v>
                </c:pt>
                <c:pt idx="4" c:formatCode="General">
                  <c:v>0</c:v>
                </c:pt>
                <c:pt idx="5" c:formatCode="General">
                  <c:v>0</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687183482664589"/>
          <c:y val="0.326395939086294"/>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260" b="0" i="0" u="none" strike="noStrike" kern="1200" spc="0" baseline="0">
                <a:solidFill>
                  <a:schemeClr val="tx1">
                    <a:lumMod val="65000"/>
                    <a:lumOff val="35000"/>
                  </a:schemeClr>
                </a:solidFill>
                <a:latin typeface="+mn-lt"/>
                <a:ea typeface="+mn-ea"/>
                <a:cs typeface="+mn-cs"/>
              </a:defRPr>
            </a:pPr>
            <a:r>
              <a:rPr lang="zh-CN" altLang="en-US" sz="1050" b="1">
                <a:solidFill>
                  <a:sysClr val="windowText" lastClr="000000"/>
                </a:solidFill>
              </a:rPr>
              <a:t>图</a:t>
            </a:r>
            <a:r>
              <a:rPr lang="en-US" altLang="zh-CN" sz="1050" b="1">
                <a:solidFill>
                  <a:sysClr val="windowText" lastClr="000000"/>
                </a:solidFill>
              </a:rPr>
              <a:t>3</a:t>
            </a:r>
            <a:r>
              <a:rPr lang="zh-CN" altLang="en-US" sz="1050" b="1">
                <a:solidFill>
                  <a:sysClr val="windowText" lastClr="000000"/>
                </a:solidFill>
              </a:rPr>
              <a:t>：本年支出决算结构图</a:t>
            </a:r>
            <a:endParaRPr lang="zh-CN" altLang="en-US" sz="1050" b="1">
              <a:solidFill>
                <a:sysClr val="windowText" lastClr="000000"/>
              </a:solidFill>
            </a:endParaRPr>
          </a:p>
        </c:rich>
      </c:tx>
      <c:layout/>
      <c:overlay val="0"/>
      <c:spPr>
        <a:noFill/>
        <a:ln>
          <a:noFill/>
        </a:ln>
        <a:effectLst/>
      </c:spPr>
    </c:title>
    <c:autoTitleDeleted val="0"/>
    <c:plotArea>
      <c:layout/>
      <c:pieChart>
        <c:varyColors val="1"/>
        <c:ser>
          <c:idx val="0"/>
          <c:order val="0"/>
          <c:tx>
            <c:strRef>
              <c:f>Sheet1!$B$1</c:f>
              <c:strCache>
                <c:ptCount val="1"/>
                <c:pt idx="0">
                  <c:v>本年支出决算结构图</c:v>
                </c:pt>
              </c:strCache>
            </c:strRef>
          </c:tx>
          <c:spPr>
            <a:solidFill>
              <a:schemeClr val="accent2"/>
            </a:solidFill>
            <a:ln w="19050">
              <a:noFill/>
            </a:ln>
          </c:spPr>
          <c:explosion val="0"/>
          <c:dPt>
            <c:idx val="0"/>
            <c:bubble3D val="0"/>
            <c:spPr>
              <a:solidFill>
                <a:schemeClr val="accent2"/>
              </a:solidFill>
              <a:ln w="19050">
                <a:noFill/>
              </a:ln>
              <a:effectLst/>
            </c:spPr>
          </c:dPt>
          <c:dPt>
            <c:idx val="1"/>
            <c:bubble3D val="0"/>
            <c:spPr>
              <a:solidFill>
                <a:schemeClr val="accent1"/>
              </a:solidFill>
              <a:ln w="19050">
                <a:noFill/>
              </a:ln>
              <a:effectLst/>
            </c:spPr>
          </c:dPt>
          <c:dLbls>
            <c:dLbl>
              <c:idx val="0"/>
              <c:layout/>
              <c:tx>
                <c:rich>
                  <a:bodyPr rot="0" spcFirstLastPara="0" vertOverflow="ellipsis" vert="horz" wrap="square" lIns="38100" tIns="19050" rIns="38100" bIns="19050" anchor="ctr" anchorCtr="1"/>
                  <a:lstStyle/>
                  <a:p>
                    <a:pPr defTabSz="914400">
                      <a:defRPr lang="zh-CN" sz="1050" b="0" i="0" u="none" strike="noStrike" kern="1200" baseline="0">
                        <a:solidFill>
                          <a:schemeClr val="tx1">
                            <a:lumMod val="75000"/>
                            <a:lumOff val="25000"/>
                          </a:schemeClr>
                        </a:solidFill>
                        <a:latin typeface="+mn-lt"/>
                        <a:ea typeface="+mn-ea"/>
                        <a:cs typeface="+mn-cs"/>
                      </a:defRPr>
                    </a:pPr>
                    <a:r>
                      <a:rPr lang="en-US" altLang="zh-CN"/>
                      <a:t>12.64%</a:t>
                    </a:r>
                    <a:endParaRPr lang="en-US" altLang="zh-CN"/>
                  </a:p>
                </c:rich>
              </c:tx>
              <c:numFmt formatCode="0.00%" sourceLinked="0"/>
              <c:spPr>
                <a:noFill/>
                <a:ln>
                  <a:noFill/>
                </a:ln>
                <a:effectLst/>
              </c:spPr>
              <c:txPr>
                <a:bodyPr rot="0" spcFirstLastPara="0" vertOverflow="ellipsis" vert="horz" wrap="square" lIns="38100" tIns="19050" rIns="38100" bIns="19050" anchor="ctr" anchorCtr="1"/>
                <a:lstStyle/>
                <a:p>
                  <a:pPr>
                    <a:defRPr lang="zh-CN" sz="105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1"/>
              <c:showPercent val="1"/>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1050" b="0" i="0" u="none" strike="noStrike" kern="1200" baseline="0">
                        <a:solidFill>
                          <a:schemeClr val="tx1">
                            <a:lumMod val="75000"/>
                            <a:lumOff val="25000"/>
                          </a:schemeClr>
                        </a:solidFill>
                        <a:latin typeface="+mn-lt"/>
                        <a:ea typeface="+mn-ea"/>
                        <a:cs typeface="+mn-cs"/>
                      </a:defRPr>
                    </a:pPr>
                    <a:r>
                      <a:rPr lang="zh-CN" altLang="en-US"/>
                      <a:t> </a:t>
                    </a:r>
                    <a:r>
                      <a:rPr lang="en-US" altLang="zh-CN"/>
                      <a:t>87.36%</a:t>
                    </a:r>
                    <a:endParaRPr lang="en-US" altLang="zh-CN"/>
                  </a:p>
                </c:rich>
              </c:tx>
              <c:numFmt formatCode="0.00%" sourceLinked="0"/>
              <c:spPr>
                <a:noFill/>
                <a:ln>
                  <a:noFill/>
                </a:ln>
                <a:effectLst/>
              </c:spPr>
              <c:txPr>
                <a:bodyPr rot="0" spcFirstLastPara="0" vertOverflow="ellipsis" vert="horz" wrap="square" lIns="38100" tIns="19050" rIns="38100" bIns="19050" anchor="ctr" anchorCtr="1"/>
                <a:lstStyle/>
                <a:p>
                  <a:pPr>
                    <a:defRPr lang="zh-CN" sz="105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1"/>
              <c:showPercent val="1"/>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5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1"/>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6657.5</c:v>
                </c:pt>
                <c:pt idx="1">
                  <c:v>45996.67</c:v>
                </c:pt>
              </c:numCache>
            </c:numRef>
          </c:val>
        </c:ser>
        <c:dLbls>
          <c:showLegendKey val="0"/>
          <c:showVal val="0"/>
          <c:showCatName val="0"/>
          <c:showSerName val="0"/>
          <c:showPercent val="1"/>
          <c:showBubbleSize val="0"/>
          <c:showLeaderLines val="0"/>
        </c:dLbls>
        <c:firstSliceAng val="0"/>
      </c:pieChart>
      <c:spPr>
        <a:noFill/>
        <a:ln>
          <a:noFill/>
        </a:ln>
        <a:effectLst/>
      </c:spPr>
    </c:plotArea>
    <c:legend>
      <c:legendPos val="r"/>
      <c:legendEntry>
        <c:idx val="0"/>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mn-lt"/>
                <a:ea typeface="+mn-ea"/>
                <a:cs typeface="+mn-cs"/>
              </a:defRPr>
            </a:pPr>
          </a:p>
        </c:txPr>
      </c:legendEntry>
      <c:legendEntry>
        <c:idx val="1"/>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mn-lt"/>
                <a:ea typeface="+mn-ea"/>
                <a:cs typeface="+mn-cs"/>
              </a:defRPr>
            </a:pPr>
          </a:p>
        </c:txPr>
      </c:legendEntry>
      <c:layout>
        <c:manualLayout>
          <c:xMode val="edge"/>
          <c:yMode val="edge"/>
          <c:x val="0.68631955079122"/>
          <c:y val="0.455378678244091"/>
        </c:manualLayout>
      </c:layout>
      <c:overlay val="0"/>
      <c:spPr>
        <a:noFill/>
        <a:ln>
          <a:noFill/>
        </a:ln>
        <a:effectLst/>
      </c:spPr>
      <c:txPr>
        <a:bodyPr rot="0" spcFirstLastPara="0" vertOverflow="ellipsis" vert="horz" wrap="square" anchor="ctr" anchorCtr="1"/>
        <a:lstStyle/>
        <a:p>
          <a:pPr>
            <a:defRPr lang="zh-CN" sz="105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noFill/>
      <a:round/>
    </a:ln>
    <a:effectLst/>
  </c:spPr>
  <c:txPr>
    <a:bodyPr/>
    <a:lstStyle/>
    <a:p>
      <a:pPr>
        <a:defRPr lang="zh-CN" sz="1050"/>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sz="1050" b="1">
                <a:solidFill>
                  <a:schemeClr val="tx1"/>
                </a:solidFill>
              </a:rPr>
              <a:t>图</a:t>
            </a:r>
            <a:r>
              <a:rPr lang="en-US" altLang="zh-CN" sz="1050" b="1">
                <a:solidFill>
                  <a:schemeClr val="tx1"/>
                </a:solidFill>
              </a:rPr>
              <a:t>4</a:t>
            </a:r>
            <a:r>
              <a:rPr lang="zh-CN" altLang="en-US" sz="1050" b="1">
                <a:solidFill>
                  <a:schemeClr val="tx1"/>
                </a:solidFill>
              </a:rPr>
              <a:t>：财政拨款收、支决算总计变动情况图</a:t>
            </a:r>
            <a:endParaRPr lang="zh-CN" altLang="en-US" sz="1050" b="1">
              <a:solidFill>
                <a:schemeClr val="tx1"/>
              </a:solidFill>
            </a:endParaRPr>
          </a:p>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sz="800" b="1">
                <a:solidFill>
                  <a:schemeClr val="tx1"/>
                </a:solidFill>
              </a:rPr>
              <a:t>（单位：万元）</a:t>
            </a:r>
            <a:endParaRPr lang="zh-CN" altLang="en-US" sz="800" b="1">
              <a:solidFill>
                <a:schemeClr val="tx1"/>
              </a:solidFill>
            </a:endParaRPr>
          </a:p>
        </c:rich>
      </c:tx>
      <c:layout/>
      <c:overlay val="0"/>
      <c:spPr>
        <a:noFill/>
        <a:ln>
          <a:noFill/>
        </a:ln>
        <a:effectLst/>
      </c:spPr>
    </c:title>
    <c:autoTitleDeleted val="0"/>
    <c:plotArea>
      <c:layout>
        <c:manualLayout>
          <c:layoutTarget val="inner"/>
          <c:xMode val="edge"/>
          <c:yMode val="edge"/>
          <c:x val="0.140986215523554"/>
          <c:y val="0.182804095089363"/>
          <c:w val="0.701175"/>
          <c:h val="0.716892822025565"/>
        </c:manualLayout>
      </c:layout>
      <c:barChart>
        <c:barDir val="col"/>
        <c:grouping val="clustered"/>
        <c:varyColors val="0"/>
        <c:ser>
          <c:idx val="0"/>
          <c:order val="0"/>
          <c:tx>
            <c:strRef>
              <c:f>Sheet1!$A$2</c:f>
              <c:strCache>
                <c:ptCount val="1"/>
                <c:pt idx="0">
                  <c:v>财政拨款收入</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Sheet1!$B$1:$C$1</c:f>
              <c:strCache>
                <c:ptCount val="2"/>
                <c:pt idx="0">
                  <c:v>2019年</c:v>
                </c:pt>
                <c:pt idx="1">
                  <c:v>2020年</c:v>
                </c:pt>
              </c:strCache>
            </c:strRef>
          </c:cat>
          <c:val>
            <c:numRef>
              <c:f>Sheet1!$B$2:$C$2</c:f>
              <c:numCache>
                <c:formatCode>0.00_ </c:formatCode>
                <c:ptCount val="2"/>
                <c:pt idx="0">
                  <c:v>101041.85</c:v>
                </c:pt>
                <c:pt idx="1" c:formatCode="General">
                  <c:v>52654.17</c:v>
                </c:pt>
              </c:numCache>
            </c:numRef>
          </c:val>
        </c:ser>
        <c:ser>
          <c:idx val="1"/>
          <c:order val="1"/>
          <c:tx>
            <c:strRef>
              <c:f>Sheet1!$A$3</c:f>
              <c:strCache>
                <c:ptCount val="1"/>
                <c:pt idx="0">
                  <c:v>财政拨款支出</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Sheet1!$B$1:$C$1</c:f>
              <c:strCache>
                <c:ptCount val="2"/>
                <c:pt idx="0">
                  <c:v>2019年</c:v>
                </c:pt>
                <c:pt idx="1">
                  <c:v>2020年</c:v>
                </c:pt>
              </c:strCache>
            </c:strRef>
          </c:cat>
          <c:val>
            <c:numRef>
              <c:f>Sheet1!$B$3:$C$3</c:f>
              <c:numCache>
                <c:formatCode>0.00_ </c:formatCode>
                <c:ptCount val="2"/>
                <c:pt idx="0">
                  <c:v>101041.85</c:v>
                </c:pt>
                <c:pt idx="1" c:formatCode="General">
                  <c:v>52654.17</c:v>
                </c:pt>
              </c:numCache>
            </c:numRef>
          </c:val>
        </c:ser>
        <c:dLbls>
          <c:showLegendKey val="0"/>
          <c:showVal val="1"/>
          <c:showCatName val="0"/>
          <c:showSerName val="0"/>
          <c:showPercent val="0"/>
          <c:showBubbleSize val="0"/>
        </c:dLbls>
        <c:gapWidth val="219"/>
        <c:overlap val="-27"/>
        <c:axId val="73943296"/>
        <c:axId val="73953280"/>
      </c:barChart>
      <c:catAx>
        <c:axId val="7394329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3953280"/>
        <c:crosses val="autoZero"/>
        <c:auto val="1"/>
        <c:lblAlgn val="ctr"/>
        <c:lblOffset val="100"/>
        <c:noMultiLvlLbl val="0"/>
      </c:catAx>
      <c:valAx>
        <c:axId val="73953280"/>
        <c:scaling>
          <c:orientation val="minMax"/>
        </c:scaling>
        <c:delete val="0"/>
        <c:axPos val="l"/>
        <c:majorGridlines>
          <c:spPr>
            <a:ln w="9525" cap="flat" cmpd="sng" algn="ctr">
              <a:solidFill>
                <a:schemeClr val="tx1">
                  <a:lumMod val="15000"/>
                  <a:lumOff val="85000"/>
                </a:schemeClr>
              </a:solidFill>
              <a:round/>
            </a:ln>
            <a:effectLst/>
          </c:spPr>
        </c:majorGridlines>
        <c:numFmt formatCode="0.00_ "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3943296"/>
        <c:crosses val="autoZero"/>
        <c:crossBetween val="between"/>
      </c:valAx>
      <c:spPr>
        <a:noFill/>
        <a:ln>
          <a:noFill/>
        </a:ln>
        <a:effectLst/>
      </c:spPr>
    </c:plotArea>
    <c:legend>
      <c:legendPos val="r"/>
      <c:layout>
        <c:manualLayout>
          <c:xMode val="edge"/>
          <c:yMode val="edge"/>
          <c:x val="0.848656464634293"/>
          <c:y val="0.489760348583878"/>
          <c:w val="0.147608145559706"/>
          <c:h val="0.200217864923747"/>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1050" b="1">
                <a:solidFill>
                  <a:schemeClr val="tx1"/>
                </a:solidFill>
              </a:rPr>
              <a:t>图</a:t>
            </a:r>
            <a:r>
              <a:rPr lang="en-US" altLang="zh-CN" sz="1050" b="1">
                <a:solidFill>
                  <a:schemeClr val="tx1"/>
                </a:solidFill>
              </a:rPr>
              <a:t>5</a:t>
            </a:r>
            <a:r>
              <a:rPr altLang="en-US" sz="1050" b="1">
                <a:solidFill>
                  <a:schemeClr val="tx1"/>
                </a:solidFill>
              </a:rPr>
              <a:t>：</a:t>
            </a:r>
            <a:r>
              <a:rPr sz="1050" b="1">
                <a:solidFill>
                  <a:schemeClr val="tx1"/>
                </a:solidFill>
              </a:rPr>
              <a:t>一般公共预算财政拨款支出决算变动情况图</a:t>
            </a:r>
            <a:endParaRPr sz="1050" b="1">
              <a:solidFill>
                <a:schemeClr val="tx1"/>
              </a:solidFill>
            </a:endParaRPr>
          </a:p>
          <a:p>
            <a:pPr defTabSz="914400">
              <a:defRPr lang="zh-CN" sz="1400" b="0" i="0" u="none" strike="noStrike" kern="1200" spc="0" baseline="0">
                <a:solidFill>
                  <a:schemeClr val="tx1">
                    <a:lumMod val="65000"/>
                    <a:lumOff val="35000"/>
                  </a:schemeClr>
                </a:solidFill>
                <a:latin typeface="+mn-lt"/>
                <a:ea typeface="+mn-ea"/>
                <a:cs typeface="+mn-cs"/>
              </a:defRPr>
            </a:pPr>
            <a:r>
              <a:rPr sz="800" b="1">
                <a:solidFill>
                  <a:schemeClr val="tx1"/>
                </a:solidFill>
              </a:rPr>
              <a:t>（单位：万元）</a:t>
            </a:r>
            <a:endParaRPr sz="800" b="1">
              <a:solidFill>
                <a:schemeClr val="tx1"/>
              </a:solidFill>
            </a:endParaRPr>
          </a:p>
        </c:rich>
      </c:tx>
      <c:layout/>
      <c:overlay val="0"/>
      <c:spPr>
        <a:noFill/>
        <a:ln>
          <a:noFill/>
        </a:ln>
        <a:effectLst/>
      </c:spPr>
    </c:title>
    <c:autoTitleDeleted val="0"/>
    <c:plotArea>
      <c:layout>
        <c:manualLayout>
          <c:layoutTarget val="inner"/>
          <c:xMode val="edge"/>
          <c:yMode val="edge"/>
          <c:x val="0.13939289881828"/>
          <c:y val="0.208647608312448"/>
          <c:w val="0.802575220076205"/>
          <c:h val="0.69247598719317"/>
        </c:manualLayout>
      </c:layout>
      <c:barChart>
        <c:barDir val="col"/>
        <c:grouping val="clustered"/>
        <c:varyColors val="0"/>
        <c:ser>
          <c:idx val="0"/>
          <c:order val="0"/>
          <c:spPr>
            <a:solidFill>
              <a:schemeClr val="accent1"/>
            </a:solidFill>
            <a:ln>
              <a:noFill/>
            </a:ln>
            <a:effectLst/>
          </c:spPr>
          <c:invertIfNegative val="0"/>
          <c:dPt>
            <c:idx val="1"/>
            <c:invertIfNegative val="0"/>
            <c:bubble3D val="0"/>
            <c:spPr>
              <a:solidFill>
                <a:schemeClr val="accent2"/>
              </a:solidFill>
              <a:ln>
                <a:no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2019年</c:v>
                </c:pt>
                <c:pt idx="1">
                  <c:v>2020年</c:v>
                </c:pt>
              </c:strCache>
            </c:strRef>
          </c:cat>
          <c:val>
            <c:numRef>
              <c:f>Sheet1!$B$2:$B$3</c:f>
              <c:numCache>
                <c:formatCode>#,##0.00</c:formatCode>
                <c:ptCount val="2"/>
                <c:pt idx="0">
                  <c:v>33249.61</c:v>
                </c:pt>
                <c:pt idx="1" c:formatCode="#,##0.00_ ">
                  <c:v>10508.6</c:v>
                </c:pt>
              </c:numCache>
            </c:numRef>
          </c:val>
        </c:ser>
        <c:dLbls>
          <c:showLegendKey val="0"/>
          <c:showVal val="1"/>
          <c:showCatName val="0"/>
          <c:showSerName val="0"/>
          <c:showPercent val="0"/>
          <c:showBubbleSize val="0"/>
        </c:dLbls>
        <c:gapWidth val="219"/>
        <c:overlap val="-27"/>
        <c:axId val="73969024"/>
        <c:axId val="73980544"/>
      </c:barChart>
      <c:catAx>
        <c:axId val="7396902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3980544"/>
        <c:crosses val="autoZero"/>
        <c:auto val="1"/>
        <c:lblAlgn val="ctr"/>
        <c:lblOffset val="100"/>
        <c:noMultiLvlLbl val="0"/>
      </c:catAx>
      <c:valAx>
        <c:axId val="7398054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3969024"/>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1050" b="1">
                <a:solidFill>
                  <a:schemeClr val="tx1"/>
                </a:solidFill>
              </a:rPr>
              <a:t>图6：一般公共预算财政拨款支出决算结构图</a:t>
            </a:r>
            <a:endParaRPr sz="1050" b="1">
              <a:solidFill>
                <a:schemeClr val="tx1"/>
              </a:solidFill>
            </a:endParaRPr>
          </a:p>
        </c:rich>
      </c:tx>
      <c:layout/>
      <c:overlay val="0"/>
      <c:spPr>
        <a:noFill/>
        <a:ln>
          <a:noFill/>
        </a:ln>
        <a:effectLst/>
      </c:spPr>
    </c:title>
    <c:autoTitleDeleted val="0"/>
    <c:plotArea>
      <c:layout/>
      <c:pieChart>
        <c:varyColors val="1"/>
        <c:ser>
          <c:idx val="0"/>
          <c:order val="0"/>
          <c:tx>
            <c:strRef>
              <c:f>Sheet1!$B$1</c:f>
              <c:strCache>
                <c:ptCount val="1"/>
                <c:pt idx="0">
                  <c:v>销售额</c:v>
                </c:pt>
              </c:strCache>
            </c:strRef>
          </c:tx>
          <c:spPr>
            <a:ln w="19050">
              <a:noFill/>
            </a:ln>
          </c:spPr>
          <c:explosion val="0"/>
          <c:dPt>
            <c:idx val="0"/>
            <c:bubble3D val="0"/>
            <c:spPr>
              <a:solidFill>
                <a:schemeClr val="accent1"/>
              </a:solidFill>
              <a:ln w="19050">
                <a:noFill/>
              </a:ln>
              <a:effectLst/>
            </c:spPr>
          </c:dPt>
          <c:dPt>
            <c:idx val="1"/>
            <c:bubble3D val="0"/>
            <c:spPr>
              <a:solidFill>
                <a:schemeClr val="accent2"/>
              </a:solidFill>
              <a:ln w="19050">
                <a:noFill/>
              </a:ln>
              <a:effectLst/>
            </c:spPr>
          </c:dPt>
          <c:dPt>
            <c:idx val="2"/>
            <c:bubble3D val="0"/>
            <c:spPr>
              <a:solidFill>
                <a:schemeClr val="accent3"/>
              </a:solidFill>
              <a:ln w="19050">
                <a:noFill/>
              </a:ln>
              <a:effectLst/>
            </c:spPr>
          </c:dPt>
          <c:dPt>
            <c:idx val="3"/>
            <c:bubble3D val="0"/>
            <c:spPr>
              <a:solidFill>
                <a:schemeClr val="accent4"/>
              </a:solidFill>
              <a:ln w="19050">
                <a:noFill/>
              </a:ln>
              <a:effectLst/>
            </c:spPr>
          </c:dPt>
          <c:dPt>
            <c:idx val="4"/>
            <c:bubble3D val="0"/>
            <c:spPr>
              <a:solidFill>
                <a:schemeClr val="accent5"/>
              </a:solidFill>
              <a:ln w="19050">
                <a:noFill/>
              </a:ln>
              <a:effectLst/>
            </c:spPr>
          </c:dPt>
          <c:dPt>
            <c:idx val="5"/>
            <c:bubble3D val="0"/>
            <c:spPr>
              <a:solidFill>
                <a:schemeClr val="accent6"/>
              </a:solidFill>
              <a:ln w="19050">
                <a:noFill/>
              </a:ln>
              <a:effectLst/>
            </c:spPr>
          </c:dPt>
          <c:dPt>
            <c:idx val="6"/>
            <c:bubble3D val="0"/>
            <c:spPr>
              <a:solidFill>
                <a:schemeClr val="bg2">
                  <a:lumMod val="90000"/>
                </a:schemeClr>
              </a:solidFill>
              <a:ln w="19050">
                <a:noFill/>
              </a:ln>
              <a:effectLst/>
            </c:spPr>
          </c:dPt>
          <c:dPt>
            <c:idx val="7"/>
            <c:bubble3D val="0"/>
            <c:spPr>
              <a:solidFill>
                <a:schemeClr val="accent2">
                  <a:lumMod val="20000"/>
                  <a:lumOff val="80000"/>
                </a:schemeClr>
              </a:solidFill>
              <a:ln w="19050">
                <a:noFill/>
              </a:ln>
              <a:effectLst/>
            </c:spPr>
          </c:dPt>
          <c:dPt>
            <c:idx val="8"/>
            <c:bubble3D val="0"/>
            <c:spPr>
              <a:solidFill>
                <a:schemeClr val="accent3">
                  <a:lumMod val="60000"/>
                </a:schemeClr>
              </a:solidFill>
              <a:ln w="19050">
                <a:noFill/>
              </a:ln>
              <a:effectLst/>
            </c:spPr>
          </c:dPt>
          <c:dPt>
            <c:idx val="9"/>
            <c:bubble3D val="0"/>
            <c:spPr>
              <a:solidFill>
                <a:srgbClr val="C505C7"/>
              </a:solidFill>
              <a:ln w="19050">
                <a:noFill/>
              </a:ln>
              <a:effectLst/>
            </c:spPr>
          </c:dPt>
          <c:dPt>
            <c:idx val="10"/>
            <c:bubble3D val="0"/>
            <c:spPr>
              <a:solidFill>
                <a:schemeClr val="accent5">
                  <a:lumMod val="60000"/>
                  <a:alpha val="29000"/>
                </a:schemeClr>
              </a:solidFill>
              <a:ln w="19050">
                <a:noFill/>
              </a:ln>
              <a:effectLst/>
            </c:spPr>
          </c:dPt>
          <c:dPt>
            <c:idx val="11"/>
            <c:bubble3D val="0"/>
            <c:spPr>
              <a:solidFill>
                <a:schemeClr val="accent6">
                  <a:lumMod val="60000"/>
                  <a:alpha val="38000"/>
                </a:schemeClr>
              </a:solidFill>
              <a:ln w="19050">
                <a:noFill/>
              </a:ln>
              <a:effectLst/>
            </c:spPr>
          </c:dPt>
          <c:dPt>
            <c:idx val="12"/>
            <c:bubble3D val="0"/>
            <c:spPr>
              <a:solidFill>
                <a:schemeClr val="tx2">
                  <a:lumMod val="40000"/>
                  <a:lumOff val="60000"/>
                </a:schemeClr>
              </a:solidFill>
              <a:ln w="19050">
                <a:noFill/>
              </a:ln>
              <a:effectLst/>
            </c:spPr>
          </c:dPt>
          <c:dLbls>
            <c:dLbl>
              <c:idx val="1"/>
              <c:layout>
                <c:manualLayout>
                  <c:x val="-0.0116468827427545"/>
                  <c:y val="-0.0926459831790457"/>
                </c:manualLayout>
              </c:layout>
              <c:dLblPos val="bestFit"/>
              <c:showLegendKey val="0"/>
              <c:showVal val="0"/>
              <c:showCatName val="0"/>
              <c:showSerName val="0"/>
              <c:showPercent val="1"/>
              <c:showBubbleSize val="0"/>
              <c:separator>
</c:separator>
              <c:extLst>
                <c:ext xmlns:c15="http://schemas.microsoft.com/office/drawing/2012/chart" uri="{CE6537A1-D6FC-4f65-9D91-7224C49458BB}">
                  <c15:layout/>
                </c:ext>
              </c:extLst>
            </c:dLbl>
            <c:dLbl>
              <c:idx val="11"/>
              <c:layout>
                <c:manualLayout>
                  <c:x val="0.0232767091676408"/>
                  <c:y val="0.122466177118075"/>
                </c:manualLayout>
              </c:layout>
              <c:dLblPos val="bestFit"/>
              <c:showLegendKey val="0"/>
              <c:showVal val="0"/>
              <c:showCatName val="0"/>
              <c:showSerName val="0"/>
              <c:showPercent val="1"/>
              <c:showBubbleSize val="0"/>
              <c:separator>
</c:separator>
              <c:extLst>
                <c:ext xmlns:c15="http://schemas.microsoft.com/office/drawing/2012/chart" uri="{CE6537A1-D6FC-4f65-9D91-7224C49458BB}">
                  <c15:layout/>
                </c:ext>
              </c:extLst>
            </c:dLbl>
            <c:numFmt formatCode="0.00%" sourceLinked="0"/>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0"/>
            <c:showSerName val="0"/>
            <c:showPercent val="1"/>
            <c:showBubbleSize val="0"/>
            <c:separator>
</c:separator>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Sheet1!$A$2:$A$14</c:f>
              <c:strCache>
                <c:ptCount val="13"/>
                <c:pt idx="0">
                  <c:v>一般公共服务支出</c:v>
                </c:pt>
                <c:pt idx="1">
                  <c:v>公共安全支出</c:v>
                </c:pt>
                <c:pt idx="2">
                  <c:v>教育支出</c:v>
                </c:pt>
                <c:pt idx="3">
                  <c:v>文化旅游体育与传媒支出</c:v>
                </c:pt>
                <c:pt idx="4">
                  <c:v>社会保障和就业支出</c:v>
                </c:pt>
                <c:pt idx="5">
                  <c:v>卫生健康支出</c:v>
                </c:pt>
                <c:pt idx="6">
                  <c:v>节能环保支出</c:v>
                </c:pt>
                <c:pt idx="7">
                  <c:v>城乡社区支出</c:v>
                </c:pt>
                <c:pt idx="8">
                  <c:v>农林水支出</c:v>
                </c:pt>
                <c:pt idx="9">
                  <c:v>交通运输支出</c:v>
                </c:pt>
                <c:pt idx="10">
                  <c:v>自然资源海洋气象等支出</c:v>
                </c:pt>
                <c:pt idx="11">
                  <c:v>住房保障支出</c:v>
                </c:pt>
                <c:pt idx="12">
                  <c:v>灾害防治及应急管理支出</c:v>
                </c:pt>
              </c:strCache>
            </c:strRef>
          </c:cat>
          <c:val>
            <c:numRef>
              <c:f>Sheet1!$B$2:$B$14</c:f>
              <c:numCache>
                <c:formatCode>#,##0.00_ </c:formatCode>
                <c:ptCount val="13"/>
                <c:pt idx="0">
                  <c:v>4784.62</c:v>
                </c:pt>
                <c:pt idx="1">
                  <c:v>386.71</c:v>
                </c:pt>
                <c:pt idx="2">
                  <c:v>414.2</c:v>
                </c:pt>
                <c:pt idx="3">
                  <c:v>625.28</c:v>
                </c:pt>
                <c:pt idx="4">
                  <c:v>246.24</c:v>
                </c:pt>
                <c:pt idx="5">
                  <c:v>420.28</c:v>
                </c:pt>
                <c:pt idx="6">
                  <c:v>149.95</c:v>
                </c:pt>
                <c:pt idx="7">
                  <c:v>1069.79</c:v>
                </c:pt>
                <c:pt idx="8">
                  <c:v>940.13</c:v>
                </c:pt>
                <c:pt idx="9">
                  <c:v>14.41</c:v>
                </c:pt>
                <c:pt idx="10">
                  <c:v>965.76</c:v>
                </c:pt>
                <c:pt idx="11">
                  <c:v>338.03</c:v>
                </c:pt>
                <c:pt idx="12">
                  <c:v>153.2</c:v>
                </c:pt>
              </c:numCache>
            </c:numRef>
          </c:val>
        </c:ser>
        <c:dLbls>
          <c:showLegendKey val="0"/>
          <c:showVal val="0"/>
          <c:showCatName val="0"/>
          <c:showSerName val="0"/>
          <c:showPercent val="1"/>
          <c:showBubbleSize val="0"/>
          <c:showLeaderLines val="0"/>
        </c:dLbls>
        <c:firstSliceAng val="0"/>
      </c:pieChart>
      <c:spPr>
        <a:noFill/>
        <a:ln>
          <a:noFill/>
        </a:ln>
        <a:effectLst/>
      </c:spPr>
    </c:plotArea>
    <c:legend>
      <c:legendPos val="r"/>
      <c:layout>
        <c:manualLayout>
          <c:xMode val="edge"/>
          <c:yMode val="edge"/>
          <c:x val="0.700145914396887"/>
          <c:y val="0.166465863453815"/>
          <c:w val="0.285262645914397"/>
          <c:h val="0.729518072289157"/>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no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AAAF4CF-2EAD-48A5-B534-FEC4B537E8E4}">
  <ds:schemaRefs/>
</ds:datastoreItem>
</file>

<file path=docProps/app.xml><?xml version="1.0" encoding="utf-8"?>
<Properties xmlns="http://schemas.openxmlformats.org/officeDocument/2006/extended-properties" xmlns:vt="http://schemas.openxmlformats.org/officeDocument/2006/docPropsVTypes">
  <Template>Normal</Template>
  <Pages>72</Pages>
  <Words>19604</Words>
  <Characters>30479</Characters>
  <Lines>254</Lines>
  <Paragraphs>71</Paragraphs>
  <TotalTime>0</TotalTime>
  <ScaleCrop>false</ScaleCrop>
  <LinksUpToDate>false</LinksUpToDate>
  <CharactersWithSpaces>31640</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2022-09-18T14:31:00Z</dcterms:created>
  <cp:lastPrinted>2021-09-28T02:26:00Z</cp:lastPrinted>
  <dcterms:modified xsi:type="dcterms:W3CDTF">2023-06-05T01:53:35Z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C42C7AF239D543248D9BC000B24DD8A6</vt:lpwstr>
  </property>
</Properties>
</file>