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荣成市交通运输局</w:t>
      </w:r>
    </w:p>
    <w:p>
      <w:pPr>
        <w:keepNext w:val="0"/>
        <w:keepLines w:val="0"/>
        <w:pageBreakBefore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“双随机、一公开”监管工作实施细则</w:t>
      </w:r>
    </w:p>
    <w:p>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outlineLvl w:val="9"/>
        <w:rPr>
          <w:rFonts w:hint="eastAsia" w:ascii="仿宋_GB2312" w:hAnsi="仿宋_GB2312" w:eastAsia="仿宋_GB2312" w:cs="仿宋_GB2312"/>
          <w:i w:val="0"/>
          <w:caps w:val="0"/>
          <w:color w:val="auto"/>
          <w:spacing w:val="0"/>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为全面推进交通运输领域“双随机、一公开”监管工作，加强交通运输系统监管效能，形成系统内各单位“双随机、一公开”监管各尽其责、协同高效的工作局面，结合实际，制定本工作细则。</w:t>
      </w:r>
    </w:p>
    <w:p>
      <w:pPr>
        <w:keepNext w:val="0"/>
        <w:keepLines w:val="0"/>
        <w:pageBreakBefore w:val="0"/>
        <w:widowControl w:val="0"/>
        <w:numPr>
          <w:ilvl w:val="0"/>
          <w:numId w:val="1"/>
        </w:numPr>
        <w:kinsoku/>
        <w:wordWrap/>
        <w:overflowPunct/>
        <w:topLinePunct w:val="0"/>
        <w:autoSpaceDE/>
        <w:autoSpaceDN/>
        <w:bidi w:val="0"/>
        <w:adjustRightInd/>
        <w:snapToGrid/>
        <w:spacing w:line="660" w:lineRule="exact"/>
        <w:ind w:firstLine="640" w:firstLineChars="200"/>
        <w:jc w:val="left"/>
        <w:textAlignment w:val="auto"/>
        <w:outlineLvl w:val="9"/>
        <w:rPr>
          <w:rFonts w:hint="eastAsia" w:ascii="黑体" w:hAnsi="黑体" w:eastAsia="黑体" w:cs="黑体"/>
          <w:i w:val="0"/>
          <w:caps w:val="0"/>
          <w:color w:val="auto"/>
          <w:spacing w:val="0"/>
          <w:sz w:val="32"/>
          <w:szCs w:val="32"/>
          <w:shd w:val="clear" w:color="auto" w:fill="FFFFFF"/>
          <w:lang w:eastAsia="zh-CN"/>
        </w:rPr>
      </w:pPr>
      <w:r>
        <w:rPr>
          <w:rFonts w:hint="eastAsia" w:ascii="黑体" w:hAnsi="黑体" w:eastAsia="黑体" w:cs="黑体"/>
          <w:i w:val="0"/>
          <w:caps w:val="0"/>
          <w:color w:val="auto"/>
          <w:spacing w:val="0"/>
          <w:sz w:val="32"/>
          <w:szCs w:val="32"/>
          <w:shd w:val="clear" w:color="auto" w:fill="FFFFFF"/>
          <w:lang w:eastAsia="zh-CN"/>
        </w:rPr>
        <w:t>机构设置</w:t>
      </w:r>
    </w:p>
    <w:p>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根据《荣成市人民政府关于在市场监管领域全面推行部门联合“双随机、一公开”监管的实施意见》要求，成立市交通运输局“双随机、一公开”监管工作领导小组（以下简称领导小组），领导小组下设办公室，办公室设在局政策法规科。领导小组负责统一组织、协调、推进我局“双随机、一公开”监管各项工作。</w:t>
      </w:r>
    </w:p>
    <w:p>
      <w:pPr>
        <w:keepNext w:val="0"/>
        <w:keepLines w:val="0"/>
        <w:pageBreakBefore w:val="0"/>
        <w:widowControl w:val="0"/>
        <w:numPr>
          <w:ilvl w:val="0"/>
          <w:numId w:val="0"/>
        </w:numPr>
        <w:kinsoku/>
        <w:wordWrap/>
        <w:overflowPunct/>
        <w:topLinePunct w:val="0"/>
        <w:autoSpaceDE/>
        <w:autoSpaceDN/>
        <w:bidi w:val="0"/>
        <w:adjustRightInd/>
        <w:snapToGrid/>
        <w:spacing w:line="660" w:lineRule="exact"/>
        <w:ind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黑体" w:hAnsi="黑体" w:eastAsia="黑体" w:cs="黑体"/>
          <w:sz w:val="32"/>
          <w:szCs w:val="32"/>
          <w:lang w:val="en-US" w:eastAsia="zh-CN"/>
        </w:rPr>
        <w:t>二、主要职责</w:t>
      </w:r>
    </w:p>
    <w:p>
      <w:pPr>
        <w:keepNext w:val="0"/>
        <w:keepLines w:val="0"/>
        <w:pageBreakBefore w:val="0"/>
        <w:widowControl w:val="0"/>
        <w:numPr>
          <w:ilvl w:val="0"/>
          <w:numId w:val="0"/>
        </w:numPr>
        <w:kinsoku/>
        <w:wordWrap/>
        <w:overflowPunct/>
        <w:topLinePunct w:val="0"/>
        <w:autoSpaceDE/>
        <w:autoSpaceDN/>
        <w:bidi w:val="0"/>
        <w:adjustRightInd/>
        <w:snapToGrid/>
        <w:spacing w:line="660" w:lineRule="exact"/>
        <w:ind w:firstLine="640" w:firstLineChars="200"/>
        <w:jc w:val="both"/>
        <w:textAlignment w:val="auto"/>
        <w:outlineLvl w:val="9"/>
        <w:rPr>
          <w:rFonts w:hint="eastAsia" w:ascii="仿宋_GB2312" w:hAnsi="仿宋_GB2312" w:eastAsia="仿宋_GB2312" w:cs="仿宋_GB2312"/>
          <w:i w:val="0"/>
          <w:caps w:val="0"/>
          <w:color w:val="auto"/>
          <w:spacing w:val="0"/>
          <w:sz w:val="32"/>
          <w:szCs w:val="32"/>
          <w:shd w:val="clear" w:color="auto" w:fill="FFFFFF"/>
          <w:lang w:eastAsia="zh-CN"/>
        </w:rPr>
      </w:pPr>
      <w:r>
        <w:rPr>
          <w:rFonts w:hint="eastAsia" w:ascii="仿宋_GB2312" w:hAnsi="仿宋_GB2312" w:eastAsia="仿宋_GB2312" w:cs="仿宋_GB2312"/>
          <w:i w:val="0"/>
          <w:caps w:val="0"/>
          <w:color w:val="auto"/>
          <w:spacing w:val="0"/>
          <w:sz w:val="32"/>
          <w:szCs w:val="32"/>
          <w:shd w:val="clear" w:color="auto" w:fill="FFFFFF"/>
          <w:lang w:val="en-US" w:eastAsia="zh-CN"/>
        </w:rPr>
        <w:t>（一）</w:t>
      </w:r>
      <w:r>
        <w:rPr>
          <w:rFonts w:hint="eastAsia" w:ascii="仿宋_GB2312" w:hAnsi="仿宋_GB2312" w:eastAsia="仿宋_GB2312" w:cs="仿宋_GB2312"/>
          <w:i w:val="0"/>
          <w:caps w:val="0"/>
          <w:color w:val="auto"/>
          <w:spacing w:val="0"/>
          <w:sz w:val="32"/>
          <w:szCs w:val="32"/>
          <w:shd w:val="clear" w:color="auto" w:fill="FFFFFF"/>
          <w:lang w:eastAsia="zh-CN"/>
        </w:rPr>
        <w:t>贯彻落实</w:t>
      </w:r>
      <w:r>
        <w:rPr>
          <w:rFonts w:hint="eastAsia" w:ascii="仿宋_GB2312" w:hAnsi="仿宋_GB2312" w:eastAsia="仿宋_GB2312" w:cs="仿宋_GB2312"/>
          <w:i w:val="0"/>
          <w:caps w:val="0"/>
          <w:color w:val="auto"/>
          <w:spacing w:val="0"/>
          <w:sz w:val="32"/>
          <w:szCs w:val="32"/>
          <w:shd w:val="clear" w:color="auto" w:fill="FFFFFF"/>
          <w:lang w:val="en-US" w:eastAsia="zh-CN"/>
        </w:rPr>
        <w:t>市委、市政府</w:t>
      </w:r>
      <w:r>
        <w:rPr>
          <w:rFonts w:hint="eastAsia" w:ascii="仿宋_GB2312" w:hAnsi="仿宋_GB2312" w:eastAsia="仿宋_GB2312" w:cs="仿宋_GB2312"/>
          <w:i w:val="0"/>
          <w:caps w:val="0"/>
          <w:color w:val="auto"/>
          <w:spacing w:val="0"/>
          <w:sz w:val="32"/>
          <w:szCs w:val="32"/>
          <w:shd w:val="clear" w:color="auto" w:fill="FFFFFF"/>
          <w:lang w:eastAsia="zh-CN"/>
        </w:rPr>
        <w:t>关于全面推行“双随机、一公开”的决策部署和工作安排，协调督促全面实施交通运输领域各单位联合“双随机、一公开”监管工作。</w:t>
      </w:r>
    </w:p>
    <w:p>
      <w:pPr>
        <w:keepNext w:val="0"/>
        <w:keepLines w:val="0"/>
        <w:pageBreakBefore w:val="0"/>
        <w:widowControl w:val="0"/>
        <w:numPr>
          <w:ilvl w:val="0"/>
          <w:numId w:val="0"/>
        </w:numPr>
        <w:kinsoku/>
        <w:wordWrap/>
        <w:overflowPunct/>
        <w:topLinePunct w:val="0"/>
        <w:autoSpaceDE/>
        <w:autoSpaceDN/>
        <w:bidi w:val="0"/>
        <w:adjustRightInd/>
        <w:snapToGrid/>
        <w:spacing w:line="660" w:lineRule="exact"/>
        <w:ind w:firstLine="640" w:firstLineChars="200"/>
        <w:jc w:val="both"/>
        <w:textAlignment w:val="auto"/>
        <w:outlineLvl w:val="9"/>
        <w:rPr>
          <w:rFonts w:hint="eastAsia" w:ascii="仿宋_GB2312" w:hAnsi="仿宋_GB2312" w:eastAsia="仿宋_GB2312" w:cs="仿宋_GB2312"/>
          <w:i w:val="0"/>
          <w:caps w:val="0"/>
          <w:color w:val="auto"/>
          <w:spacing w:val="0"/>
          <w:sz w:val="32"/>
          <w:szCs w:val="32"/>
          <w:shd w:val="clear" w:color="auto" w:fill="FFFFFF"/>
          <w:lang w:eastAsia="zh-CN"/>
        </w:rPr>
      </w:pPr>
      <w:r>
        <w:rPr>
          <w:rFonts w:hint="eastAsia" w:ascii="仿宋_GB2312" w:hAnsi="仿宋_GB2312" w:eastAsia="仿宋_GB2312" w:cs="仿宋_GB2312"/>
          <w:i w:val="0"/>
          <w:caps w:val="0"/>
          <w:color w:val="auto"/>
          <w:spacing w:val="0"/>
          <w:sz w:val="32"/>
          <w:szCs w:val="32"/>
          <w:shd w:val="clear" w:color="auto" w:fill="FFFFFF"/>
          <w:lang w:val="en-US" w:eastAsia="zh-CN"/>
        </w:rPr>
        <w:t>（二）</w:t>
      </w:r>
      <w:r>
        <w:rPr>
          <w:rFonts w:hint="eastAsia" w:ascii="仿宋_GB2312" w:hAnsi="仿宋_GB2312" w:eastAsia="仿宋_GB2312" w:cs="仿宋_GB2312"/>
          <w:i w:val="0"/>
          <w:caps w:val="0"/>
          <w:color w:val="auto"/>
          <w:spacing w:val="0"/>
          <w:sz w:val="32"/>
          <w:szCs w:val="32"/>
          <w:shd w:val="clear" w:color="auto" w:fill="FFFFFF"/>
          <w:lang w:eastAsia="zh-CN"/>
        </w:rPr>
        <w:t>审议审定市交通运输领域各单位联合“双随机、一公开”抽查年度计划和相关制度。</w:t>
      </w:r>
    </w:p>
    <w:p>
      <w:pPr>
        <w:keepNext w:val="0"/>
        <w:keepLines w:val="0"/>
        <w:pageBreakBefore w:val="0"/>
        <w:kinsoku/>
        <w:wordWrap/>
        <w:overflowPunct/>
        <w:topLinePunct w:val="0"/>
        <w:autoSpaceDE w:val="0"/>
        <w:autoSpaceDN/>
        <w:bidi w:val="0"/>
        <w:adjustRightInd/>
        <w:snapToGrid/>
        <w:spacing w:line="660" w:lineRule="exact"/>
        <w:ind w:firstLine="640" w:firstLineChars="200"/>
        <w:textAlignment w:val="auto"/>
        <w:rPr>
          <w:rFonts w:hint="eastAsia" w:ascii="仿宋_GB2312" w:hAnsi="仿宋_GB2312" w:eastAsia="仿宋_GB2312" w:cs="仿宋_GB2312"/>
          <w:i w:val="0"/>
          <w:caps w:val="0"/>
          <w:color w:val="auto"/>
          <w:spacing w:val="0"/>
          <w:sz w:val="32"/>
          <w:szCs w:val="32"/>
          <w:shd w:val="clear" w:color="auto" w:fill="FFFFFF"/>
          <w:lang w:eastAsia="zh-CN"/>
        </w:rPr>
      </w:pPr>
      <w:r>
        <w:rPr>
          <w:rFonts w:hint="eastAsia" w:ascii="仿宋_GB2312" w:hAnsi="仿宋_GB2312" w:eastAsia="仿宋_GB2312" w:cs="仿宋_GB2312"/>
          <w:i w:val="0"/>
          <w:caps w:val="0"/>
          <w:color w:val="auto"/>
          <w:spacing w:val="0"/>
          <w:sz w:val="32"/>
          <w:szCs w:val="32"/>
          <w:shd w:val="clear" w:color="auto" w:fill="FFFFFF"/>
          <w:lang w:val="en-US" w:eastAsia="zh-CN"/>
        </w:rPr>
        <w:t>（三）</w:t>
      </w:r>
      <w:r>
        <w:rPr>
          <w:rFonts w:hint="eastAsia" w:ascii="仿宋_GB2312" w:hAnsi="仿宋" w:eastAsia="仿宋_GB2312"/>
          <w:kern w:val="0"/>
          <w:sz w:val="32"/>
          <w:szCs w:val="32"/>
        </w:rPr>
        <w:t>加强与市联席会议成员单位的沟通联系，协调研究</w:t>
      </w:r>
      <w:r>
        <w:rPr>
          <w:rFonts w:hint="eastAsia" w:ascii="仿宋_GB2312" w:hAnsi="仿宋" w:eastAsia="仿宋_GB2312"/>
          <w:kern w:val="0"/>
          <w:sz w:val="32"/>
          <w:szCs w:val="32"/>
          <w:lang w:eastAsia="zh-CN"/>
        </w:rPr>
        <w:t>我局各</w:t>
      </w:r>
      <w:r>
        <w:rPr>
          <w:rFonts w:hint="eastAsia" w:ascii="仿宋_GB2312" w:hAnsi="仿宋" w:eastAsia="仿宋_GB2312"/>
          <w:kern w:val="0"/>
          <w:sz w:val="32"/>
          <w:szCs w:val="32"/>
        </w:rPr>
        <w:t>成员单位提出的“双随机、一公开”监管相关工作和问题，及时衔接好成员单位之间联合随机抽查检查的具体工作，调度工作进展情况</w:t>
      </w:r>
      <w:r>
        <w:rPr>
          <w:rFonts w:hint="eastAsia" w:ascii="仿宋_GB2312" w:hAnsi="仿宋" w:eastAsia="仿宋_GB2312"/>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60" w:lineRule="exact"/>
        <w:ind w:firstLine="651"/>
        <w:jc w:val="both"/>
        <w:textAlignment w:val="auto"/>
        <w:outlineLvl w:val="9"/>
        <w:rPr>
          <w:rFonts w:hint="eastAsia" w:ascii="黑体" w:hAnsi="黑体" w:eastAsia="黑体" w:cs="黑体"/>
          <w:i w:val="0"/>
          <w:caps w:val="0"/>
          <w:color w:val="auto"/>
          <w:spacing w:val="0"/>
          <w:sz w:val="32"/>
          <w:szCs w:val="32"/>
          <w:shd w:val="clear" w:color="auto" w:fill="FFFFFF"/>
          <w:lang w:eastAsia="zh-CN"/>
        </w:rPr>
      </w:pPr>
      <w:r>
        <w:rPr>
          <w:rFonts w:hint="eastAsia" w:ascii="黑体" w:hAnsi="黑体" w:eastAsia="黑体" w:cs="黑体"/>
          <w:i w:val="0"/>
          <w:caps w:val="0"/>
          <w:color w:val="auto"/>
          <w:spacing w:val="0"/>
          <w:sz w:val="32"/>
          <w:szCs w:val="32"/>
          <w:shd w:val="clear" w:color="auto" w:fill="FFFFFF"/>
          <w:lang w:eastAsia="zh-CN"/>
        </w:rPr>
        <w:t>三、抽查管理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kern w:val="0"/>
          <w:sz w:val="32"/>
          <w:szCs w:val="32"/>
          <w:lang w:val="en-US" w:eastAsia="zh-CN"/>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随机抽查工作实行全程电子化管理，依托省政府“双随机、一公开”监管工作平台（以下简称省工作平台）实施，确保高效便捷、责任可溯。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 w:eastAsia="仿宋_GB2312"/>
          <w:kern w:val="0"/>
          <w:sz w:val="32"/>
          <w:szCs w:val="32"/>
          <w:lang w:val="en-US" w:eastAsia="zh-CN"/>
        </w:rPr>
        <w:t>（二）实施抽查事项清单管理。</w:t>
      </w:r>
      <w:r>
        <w:rPr>
          <w:rFonts w:hint="eastAsia" w:ascii="仿宋_GB2312" w:hAnsi="仿宋_GB2312" w:eastAsia="仿宋_GB2312" w:cs="仿宋_GB2312"/>
          <w:sz w:val="32"/>
          <w:szCs w:val="32"/>
        </w:rPr>
        <w:t>制定局随机抽查事项清单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随机抽查事项清单应包括抽查事项名称、检查对象、抽查内容、事项类别、检查方式、抽查比例及频次、检查部门及实施层级、检查依据等内容</w:t>
      </w:r>
      <w:r>
        <w:rPr>
          <w:rFonts w:hint="eastAsia" w:ascii="仿宋_GB2312" w:hAnsi="仿宋_GB2312" w:eastAsia="仿宋_GB2312" w:cs="仿宋_GB2312"/>
          <w:sz w:val="32"/>
          <w:szCs w:val="32"/>
          <w:lang w:eastAsia="zh-CN"/>
        </w:rPr>
        <w:t>。随机抽查事项清单</w:t>
      </w:r>
      <w:r>
        <w:rPr>
          <w:rFonts w:hint="eastAsia" w:ascii="仿宋_GB2312" w:hAnsi="仿宋_GB2312" w:eastAsia="仿宋_GB2312" w:cs="仿宋_GB2312"/>
          <w:sz w:val="32"/>
          <w:szCs w:val="32"/>
        </w:rPr>
        <w:t>依据法律法规规章立改废释和监管工作实际实行动态调整。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建立“两库”并实行动态管理。按照“谁主管谁监管”的原则，对应局随机抽查事项清单建立检查对象名录库和执法检查人员名录库（统称“两库”）并实行动态管理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检查对象名录库由交通运输系统的项目、产品和行为及其相应的企业、个人等市场主体组成，检查对象信息应包括：检查对象名称、统一社会信用代码、住所/地址、主营业务、法定代表人/负责人姓名、联系方式等。执法检查人员名录库由交通运输行政机关公务员、具有行政执法资格且有行政执法证的工作人员和从事日常监管工作的人员组成。</w:t>
      </w:r>
    </w:p>
    <w:p>
      <w:pPr>
        <w:keepNext w:val="0"/>
        <w:keepLines w:val="0"/>
        <w:pageBreakBefore w:val="0"/>
        <w:kinsoku/>
        <w:wordWrap/>
        <w:overflowPunct/>
        <w:topLinePunct w:val="0"/>
        <w:autoSpaceDE w:val="0"/>
        <w:autoSpaceDN/>
        <w:bidi w:val="0"/>
        <w:adjustRightInd/>
        <w:snapToGrid/>
        <w:spacing w:line="660" w:lineRule="exact"/>
        <w:ind w:firstLine="640" w:firstLineChars="200"/>
        <w:textAlignment w:val="auto"/>
        <w:rPr>
          <w:rFonts w:hint="eastAsia" w:ascii="仿宋_GB2312" w:hAnsi="仿宋" w:eastAsia="仿宋_GB2312"/>
          <w:kern w:val="0"/>
          <w:sz w:val="32"/>
          <w:szCs w:val="32"/>
          <w:lang w:val="en-US" w:eastAsia="zh-CN"/>
        </w:rPr>
      </w:pPr>
      <w:r>
        <w:rPr>
          <w:rFonts w:hint="eastAsia" w:ascii="仿宋_GB2312" w:hAnsi="仿宋" w:eastAsia="仿宋_GB2312"/>
          <w:kern w:val="0"/>
          <w:sz w:val="32"/>
          <w:szCs w:val="32"/>
          <w:lang w:val="en-US" w:eastAsia="zh-CN"/>
        </w:rPr>
        <w:t>（四）</w:t>
      </w:r>
      <w:r>
        <w:rPr>
          <w:rFonts w:hint="eastAsia" w:ascii="仿宋_GB2312" w:hAnsi="仿宋_GB2312" w:eastAsia="仿宋_GB2312" w:cs="仿宋_GB2312"/>
          <w:sz w:val="32"/>
          <w:szCs w:val="32"/>
        </w:rPr>
        <w:t>编制年度随机抽查计划</w:t>
      </w:r>
      <w:r>
        <w:rPr>
          <w:rFonts w:hint="eastAsia" w:ascii="仿宋_GB2312" w:hAnsi="仿宋_GB2312" w:eastAsia="仿宋_GB2312" w:cs="仿宋_GB2312"/>
          <w:sz w:val="32"/>
          <w:szCs w:val="32"/>
          <w:lang w:eastAsia="zh-CN"/>
        </w:rPr>
        <w:t>。</w:t>
      </w:r>
      <w:r>
        <w:rPr>
          <w:rFonts w:hint="eastAsia" w:ascii="仿宋_GB2312" w:hAnsi="仿宋" w:eastAsia="仿宋_GB2312"/>
          <w:kern w:val="0"/>
          <w:sz w:val="32"/>
          <w:szCs w:val="32"/>
          <w:lang w:val="en-US" w:eastAsia="zh-CN"/>
        </w:rPr>
        <w:t>各科室（单位）依据工作职责以及省交通运输厅、威海市交通运输局抽查计划分别编制年度随机抽查计划。年度抽查计划应实现双随机抽查事项的全覆盖，明确抽查任务、被抽查对象的范围、抽查比例和频次、实施检查时间、牵头与配合部门等内容。各科室（单位）牵头实施的随机抽查计划要结合市“双随机、一公开”监管工作联席会议办公室以及上级主管部门工作部署要求，及时报局政策法规科汇总，研究确定后报市场监管局备案并按规定公开。年度抽查计划应明确抽查事项、检查对象的范围、抽查比例和频次、实施检查时间、发起与配合部门等内容。年度抽查计划可根据工作实际动态调整。</w:t>
      </w:r>
    </w:p>
    <w:p>
      <w:pPr>
        <w:keepNext w:val="0"/>
        <w:keepLines w:val="0"/>
        <w:pageBreakBefore w:val="0"/>
        <w:kinsoku/>
        <w:wordWrap/>
        <w:overflowPunct/>
        <w:topLinePunct w:val="0"/>
        <w:autoSpaceDE w:val="0"/>
        <w:autoSpaceDN/>
        <w:bidi w:val="0"/>
        <w:adjustRightInd/>
        <w:snapToGrid/>
        <w:spacing w:line="660" w:lineRule="exact"/>
        <w:ind w:firstLine="640" w:firstLineChars="200"/>
        <w:textAlignment w:val="auto"/>
        <w:rPr>
          <w:rFonts w:hint="eastAsia" w:ascii="仿宋_GB2312" w:hAnsi="仿宋" w:eastAsia="仿宋_GB2312"/>
          <w:kern w:val="0"/>
          <w:sz w:val="32"/>
          <w:szCs w:val="32"/>
          <w:lang w:val="en-US" w:eastAsia="zh-CN"/>
        </w:rPr>
      </w:pPr>
      <w:r>
        <w:rPr>
          <w:rFonts w:hint="eastAsia" w:ascii="仿宋_GB2312" w:hAnsi="仿宋" w:eastAsia="仿宋_GB2312"/>
          <w:kern w:val="0"/>
          <w:sz w:val="32"/>
          <w:szCs w:val="32"/>
          <w:lang w:val="en-US" w:eastAsia="zh-CN"/>
        </w:rPr>
        <w:t>（五）涉及部门联合随机抽查，牵头发起科室（单位）要积极与配合部门协商沟通，编制部门联合随机抽查计划和实施方案。涉及配合部门较多的，牵头发起科室（单位）可申请市“双随机、一公开”监管工作联席会议协调解决。部门联合抽查工作要严格按照联合抽查年度计划时间截点，由各牵头发起科室（单位）与配合部门及时协商沟通，登录</w:t>
      </w:r>
      <w:r>
        <w:rPr>
          <w:rFonts w:hint="eastAsia" w:ascii="仿宋_GB2312" w:hAnsi="仿宋_GB2312" w:eastAsia="仿宋_GB2312" w:cs="仿宋_GB2312"/>
          <w:sz w:val="32"/>
          <w:szCs w:val="32"/>
        </w:rPr>
        <w:t>省工作</w:t>
      </w:r>
      <w:r>
        <w:rPr>
          <w:rFonts w:hint="eastAsia" w:ascii="仿宋_GB2312" w:hAnsi="仿宋" w:eastAsia="仿宋_GB2312"/>
          <w:kern w:val="0"/>
          <w:sz w:val="32"/>
          <w:szCs w:val="32"/>
          <w:lang w:val="en-US" w:eastAsia="zh-CN"/>
        </w:rPr>
        <w:t>平台协调相关配合单位发起联合抽查计划，并牵头做好联合抽查工作。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 w:eastAsia="仿宋_GB2312"/>
          <w:kern w:val="0"/>
          <w:sz w:val="32"/>
          <w:szCs w:val="32"/>
          <w:lang w:val="en-US" w:eastAsia="zh-CN"/>
        </w:rPr>
        <w:t>（六）</w:t>
      </w:r>
      <w:r>
        <w:rPr>
          <w:rFonts w:hint="eastAsia" w:ascii="仿宋_GB2312" w:hAnsi="仿宋_GB2312" w:eastAsia="仿宋_GB2312" w:cs="仿宋_GB2312"/>
          <w:sz w:val="32"/>
          <w:szCs w:val="32"/>
        </w:rPr>
        <w:t>随机抽查流程。根据抽查计划制定抽查工作实施方案——确定抽查任务——随机抽取检查对象、随机抽取执法检查人员——实施抽查检查——录入检查结果并公示，依法对检查中发现的问题进行后续处理。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制</w:t>
      </w:r>
      <w:r>
        <w:rPr>
          <w:rFonts w:hint="eastAsia" w:ascii="仿宋_GB2312" w:hAnsi="仿宋_GB2312" w:eastAsia="仿宋_GB2312" w:cs="仿宋_GB2312"/>
          <w:sz w:val="32"/>
          <w:szCs w:val="32"/>
        </w:rPr>
        <w:t>定抽查工作实施方案。发起科室（单位）按照抽查计划，及时制定具体抽查工作实施方案，明确工作原则及目标、抽查范围及内容、检查时间及检查人员组成、现场检查工作实施及相关工作要求等。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确定抽</w:t>
      </w:r>
      <w:r>
        <w:rPr>
          <w:rFonts w:hint="eastAsia" w:ascii="仿宋_GB2312" w:hAnsi="仿宋_GB2312" w:eastAsia="仿宋_GB2312" w:cs="仿宋_GB2312"/>
          <w:sz w:val="32"/>
          <w:szCs w:val="32"/>
        </w:rPr>
        <w:t>查任务。发起科室（单位）通过省工作平台创建抽查任务，明确任务名称、执行时间、参与检查的具体部门等事宜。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随机抽取检查对象、随机抽取执法检查人员。抽查任务设置完成后，启动省工作平台中的随机摇号程序，按照预定的比例从检查对象名录库中抽取检查对象名单，抽取产生的检查对象名单一经锁定不得更改。针对任务要求调配执法力量，随机抽取执法检查人员进行匹配。已抽取的执法检查人员原则上不得更换，但因岗位调整、工作冲突、健康状况、执法回避等特殊情况无法履行检查任务的，经科室（单位）负责人同意后，可调整更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执法检查人员实施检查。执法检查人员应当严格对照交通运输行业标准开展检查活动，依法履行监督检查职责，一次性完成本次抽查事项清单中所有内容的检查工作。执行抽查任务时，一般应当对被检查对象进行实地检查，并可根据任务需要综合采取书面检查、网络监测等其它方法。</w:t>
      </w:r>
      <w:r>
        <w:rPr>
          <w:rFonts w:hint="eastAsia" w:ascii="仿宋_GB2312" w:hAnsi="仿宋" w:eastAsia="仿宋_GB2312"/>
          <w:kern w:val="0"/>
          <w:sz w:val="32"/>
          <w:szCs w:val="32"/>
          <w:lang w:val="en-US" w:eastAsia="zh-CN"/>
        </w:rPr>
        <w:t>检查小组应当在现场检查前以书面或电话、传真等形式，告知被检查对象检查的时间及配合检查的相关要求，提示准备好相关资料。其中，检查活动或检查事项不宜告知通知的，不得向企业透露情况，不发放部门联合检查告知书。</w:t>
      </w:r>
      <w:r>
        <w:rPr>
          <w:rFonts w:hint="eastAsia" w:ascii="仿宋_GB2312" w:hAnsi="仿宋_GB2312" w:eastAsia="仿宋_GB2312" w:cs="仿宋_GB2312"/>
          <w:sz w:val="32"/>
          <w:szCs w:val="32"/>
        </w:rPr>
        <w:t>检查中发现违法违规等异常情况，可视情采取责令当事人停止违法活动、督促当事人整改等相应监管措施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并将检查情况记录于《“双随机、一公开”抽查检查记录表》中，由被检查对象签字或盖章。被检查对象拒绝签字或盖章的，由执法检查人员在表上作出说明。检查结束后，检查小组全体成员在</w:t>
      </w:r>
      <w:r>
        <w:rPr>
          <w:rFonts w:hint="eastAsia" w:ascii="仿宋_GB2312" w:hAnsi="仿宋_GB2312" w:eastAsia="仿宋_GB2312" w:cs="仿宋_GB2312"/>
          <w:sz w:val="32"/>
          <w:szCs w:val="32"/>
        </w:rPr>
        <w:t>双随机检查记录</w:t>
      </w:r>
      <w:r>
        <w:rPr>
          <w:rFonts w:hint="eastAsia" w:ascii="仿宋_GB2312" w:hAnsi="仿宋_GB2312" w:eastAsia="仿宋_GB2312" w:cs="仿宋_GB2312"/>
          <w:sz w:val="32"/>
          <w:szCs w:val="32"/>
          <w:lang w:val="en-US" w:eastAsia="zh-CN"/>
        </w:rPr>
        <w:t>表上签字确认。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形成检查结果。执法检查人员汇总检查情况，讨论确认双随机检查情况汇总表的相关检查结论，并形成书面检查结果，双随机检查情况汇总表由检查小组全体成员签字确认。</w:t>
      </w:r>
    </w:p>
    <w:p>
      <w:pPr>
        <w:keepNext w:val="0"/>
        <w:keepLines w:val="0"/>
        <w:pageBreakBefore w:val="0"/>
        <w:kinsoku/>
        <w:wordWrap/>
        <w:overflowPunct/>
        <w:topLinePunct w:val="0"/>
        <w:autoSpaceDE w:val="0"/>
        <w:autoSpaceDN/>
        <w:bidi w:val="0"/>
        <w:adjustRightInd/>
        <w:snapToGrid/>
        <w:spacing w:line="660" w:lineRule="exact"/>
        <w:ind w:firstLine="640" w:firstLineChars="200"/>
        <w:textAlignment w:val="auto"/>
        <w:rPr>
          <w:rFonts w:hint="eastAsia" w:ascii="仿宋_GB2312" w:hAnsi="仿宋" w:eastAsia="仿宋_GB2312"/>
          <w:kern w:val="0"/>
          <w:sz w:val="32"/>
          <w:szCs w:val="32"/>
          <w:lang w:val="en-US" w:eastAsia="zh-CN"/>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结果审核与公示。检查结果经科室（单位）负责人审核认定，并按照“谁检查、谁录入、谁公示”的原则，于检查结束20个工作日内由相关执法检查人员录入省工作平台</w:t>
      </w:r>
      <w:r>
        <w:rPr>
          <w:rFonts w:hint="eastAsia" w:ascii="仿宋_GB2312" w:hAnsi="仿宋_GB2312" w:eastAsia="仿宋_GB2312" w:cs="仿宋_GB2312"/>
          <w:sz w:val="32"/>
          <w:szCs w:val="32"/>
          <w:lang w:eastAsia="zh-CN"/>
        </w:rPr>
        <w:t>，并</w:t>
      </w:r>
      <w:r>
        <w:rPr>
          <w:rFonts w:hint="eastAsia" w:ascii="仿宋_GB2312" w:hAnsi="仿宋" w:eastAsia="仿宋_GB2312"/>
          <w:kern w:val="0"/>
          <w:sz w:val="32"/>
          <w:szCs w:val="32"/>
          <w:lang w:val="en-US" w:eastAsia="zh-CN"/>
        </w:rPr>
        <w:t>将检查过程中涉及的相关材料及时整理，归档保存。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kern w:val="0"/>
          <w:sz w:val="32"/>
          <w:szCs w:val="32"/>
          <w:lang w:eastAsia="zh-CN"/>
        </w:rPr>
        <w:t>四、</w:t>
      </w:r>
      <w:r>
        <w:rPr>
          <w:rFonts w:hint="eastAsia" w:ascii="黑体" w:hAnsi="黑体" w:eastAsia="黑体" w:cs="黑体"/>
          <w:sz w:val="32"/>
          <w:szCs w:val="32"/>
          <w:lang w:eastAsia="zh-CN"/>
        </w:rPr>
        <w:t>抽查检查</w:t>
      </w:r>
      <w:r>
        <w:rPr>
          <w:rFonts w:hint="eastAsia" w:ascii="黑体" w:hAnsi="黑体" w:eastAsia="黑体" w:cs="黑体"/>
          <w:sz w:val="32"/>
          <w:szCs w:val="32"/>
        </w:rPr>
        <w:t>结果后续处理</w:t>
      </w:r>
      <w:r>
        <w:rPr>
          <w:rFonts w:hint="eastAsia" w:ascii="黑体" w:hAnsi="黑体" w:eastAsia="黑体" w:cs="黑体"/>
          <w:sz w:val="32"/>
          <w:szCs w:val="32"/>
          <w:lang w:eastAsia="zh-CN"/>
        </w:rPr>
        <w:t>及应用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对检查中发现存在问题的检查对象，应当依法采取列入经营异常名录或重点关注对象名单、立案调查、问题线索移交移送等后续处理措施。对检查对象不予配合的信息、适用一般程序作出的行政处罚信息、法定抽查检查未通过的结果信息，应当作为失信记录共享至国家企业信用信息公示系统（山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检查结果是被检查对象在该次抽查时实际情况的客观体现，一经公示不得擅自改变。但事后发现检查结果确有错误的，经本部门主要负责人签字确认后应当予以更正。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检查结果运用。将抽查检查及后续处理结果信息纳入交通运输系统市场主体信用评价。强化联合惩戒，对有相关违法失信记录的企业和负有责任的企业高管依法予以限制或禁入，构筑“一处违法、处处受限”的社会共治格局。</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黑体" w:hAnsi="黑体" w:eastAsia="黑体" w:cs="黑体"/>
          <w:sz w:val="32"/>
          <w:szCs w:val="32"/>
          <w:lang w:val="en-US" w:eastAsia="zh-CN"/>
        </w:rPr>
        <w:t xml:space="preserve"> 五、抽查</w:t>
      </w:r>
      <w:bookmarkStart w:id="0" w:name="_GoBack"/>
      <w:bookmarkEnd w:id="0"/>
      <w:r>
        <w:rPr>
          <w:rFonts w:hint="eastAsia" w:ascii="黑体" w:hAnsi="黑体" w:eastAsia="黑体" w:cs="黑体"/>
          <w:sz w:val="32"/>
          <w:szCs w:val="32"/>
          <w:lang w:val="en-US" w:eastAsia="zh-CN"/>
        </w:rPr>
        <w:t>监管工作要求</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各监管科室（单位）要</w:t>
      </w:r>
      <w:r>
        <w:rPr>
          <w:rFonts w:hint="eastAsia" w:ascii="仿宋_GB2312" w:hAnsi="仿宋_GB2312" w:eastAsia="仿宋_GB2312" w:cs="仿宋_GB2312"/>
          <w:sz w:val="32"/>
          <w:szCs w:val="32"/>
        </w:rPr>
        <w:t>进一步强化责任意识，落实随机抽查监管工作机制，大力推进随机抽查监管方式在日常检查工作中广泛运用。</w:t>
      </w:r>
      <w:r>
        <w:rPr>
          <w:rFonts w:hint="eastAsia" w:ascii="仿宋_GB2312" w:hAnsi="仿宋_GB2312" w:eastAsia="仿宋_GB2312" w:cs="仿宋_GB2312"/>
          <w:sz w:val="32"/>
          <w:szCs w:val="32"/>
          <w:lang w:eastAsia="zh-CN"/>
        </w:rPr>
        <w:t>积极</w:t>
      </w:r>
      <w:r>
        <w:rPr>
          <w:rFonts w:hint="eastAsia" w:ascii="仿宋_GB2312" w:hAnsi="仿宋_GB2312" w:eastAsia="仿宋_GB2312" w:cs="仿宋_GB2312"/>
          <w:sz w:val="32"/>
          <w:szCs w:val="32"/>
        </w:rPr>
        <w:t>加强与</w:t>
      </w:r>
      <w:r>
        <w:rPr>
          <w:rFonts w:hint="eastAsia" w:ascii="仿宋_GB2312" w:hAnsi="仿宋_GB2312" w:eastAsia="仿宋_GB2312" w:cs="仿宋_GB2312"/>
          <w:sz w:val="32"/>
          <w:szCs w:val="32"/>
          <w:lang w:eastAsia="zh-CN"/>
        </w:rPr>
        <w:t>系统内职能科室（单位）以及</w:t>
      </w:r>
      <w:r>
        <w:rPr>
          <w:rFonts w:hint="eastAsia" w:ascii="仿宋_GB2312" w:hAnsi="仿宋_GB2312" w:eastAsia="仿宋_GB2312" w:cs="仿宋_GB2312"/>
          <w:sz w:val="32"/>
          <w:szCs w:val="32"/>
        </w:rPr>
        <w:t>其他</w:t>
      </w:r>
      <w:r>
        <w:rPr>
          <w:rFonts w:hint="eastAsia" w:ascii="仿宋_GB2312" w:hAnsi="仿宋_GB2312" w:eastAsia="仿宋_GB2312" w:cs="仿宋_GB2312"/>
          <w:sz w:val="32"/>
          <w:szCs w:val="32"/>
          <w:lang w:eastAsia="zh-CN"/>
        </w:rPr>
        <w:t>市直</w:t>
      </w:r>
      <w:r>
        <w:rPr>
          <w:rFonts w:hint="eastAsia" w:ascii="仿宋_GB2312" w:hAnsi="仿宋_GB2312" w:eastAsia="仿宋_GB2312" w:cs="仿宋_GB2312"/>
          <w:sz w:val="32"/>
          <w:szCs w:val="32"/>
        </w:rPr>
        <w:t>部门的沟通联系，建立跨部门协同配合机制，适时协调开展联合抽查。</w:t>
      </w:r>
      <w:r>
        <w:rPr>
          <w:rFonts w:hint="eastAsia" w:ascii="仿宋_GB2312" w:hAnsi="仿宋_GB2312" w:eastAsia="仿宋_GB2312" w:cs="仿宋_GB2312"/>
          <w:sz w:val="32"/>
          <w:szCs w:val="32"/>
          <w:lang w:eastAsia="zh-CN"/>
        </w:rPr>
        <w:t>要</w:t>
      </w:r>
      <w:r>
        <w:rPr>
          <w:rFonts w:hint="eastAsia" w:ascii="仿宋_GB2312" w:hAnsi="仿宋_GB2312" w:eastAsia="仿宋_GB2312" w:cs="仿宋_GB2312"/>
          <w:sz w:val="32"/>
          <w:szCs w:val="32"/>
        </w:rPr>
        <w:t>注重随机抽查工作的组织协调、督促落实和监督检查，</w:t>
      </w:r>
      <w:r>
        <w:rPr>
          <w:rFonts w:hint="eastAsia" w:ascii="仿宋_GB2312" w:hAnsi="仿宋_GB2312" w:eastAsia="仿宋_GB2312" w:cs="仿宋_GB2312"/>
          <w:sz w:val="32"/>
          <w:szCs w:val="32"/>
          <w:lang w:eastAsia="zh-CN"/>
        </w:rPr>
        <w:t>安排专人负责</w:t>
      </w:r>
      <w:r>
        <w:rPr>
          <w:rFonts w:hint="eastAsia" w:ascii="仿宋_GB2312" w:hAnsi="仿宋_GB2312" w:eastAsia="仿宋_GB2312" w:cs="仿宋_GB2312"/>
          <w:sz w:val="32"/>
          <w:szCs w:val="32"/>
        </w:rPr>
        <w:t>做好</w:t>
      </w:r>
      <w:r>
        <w:rPr>
          <w:rFonts w:hint="eastAsia" w:ascii="仿宋_GB2312" w:hAnsi="仿宋_GB2312" w:eastAsia="仿宋_GB2312" w:cs="仿宋_GB2312"/>
          <w:sz w:val="32"/>
          <w:szCs w:val="32"/>
          <w:lang w:eastAsia="zh-CN"/>
        </w:rPr>
        <w:t>随机抽查</w:t>
      </w:r>
      <w:r>
        <w:rPr>
          <w:rFonts w:hint="eastAsia" w:ascii="仿宋_GB2312" w:hAnsi="仿宋_GB2312" w:eastAsia="仿宋_GB2312" w:cs="仿宋_GB2312"/>
          <w:sz w:val="32"/>
          <w:szCs w:val="32"/>
        </w:rPr>
        <w:t>工作台账</w:t>
      </w:r>
      <w:r>
        <w:rPr>
          <w:rFonts w:hint="eastAsia" w:ascii="仿宋_GB2312" w:hAnsi="仿宋_GB2312" w:eastAsia="仿宋_GB2312" w:cs="仿宋_GB2312"/>
          <w:sz w:val="32"/>
          <w:szCs w:val="32"/>
          <w:lang w:eastAsia="zh-CN"/>
        </w:rPr>
        <w:t>记录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及时</w:t>
      </w:r>
      <w:r>
        <w:rPr>
          <w:rFonts w:hint="eastAsia" w:ascii="仿宋_GB2312" w:hAnsi="仿宋_GB2312" w:eastAsia="仿宋_GB2312" w:cs="仿宋_GB2312"/>
          <w:sz w:val="32"/>
          <w:szCs w:val="32"/>
        </w:rPr>
        <w:t>完善</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资料和</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照片</w:t>
      </w:r>
      <w:r>
        <w:rPr>
          <w:rFonts w:hint="eastAsia" w:ascii="仿宋_GB2312" w:hAnsi="仿宋_GB2312" w:eastAsia="仿宋_GB2312" w:cs="仿宋_GB2312"/>
          <w:sz w:val="32"/>
          <w:szCs w:val="32"/>
          <w:lang w:eastAsia="zh-CN"/>
        </w:rPr>
        <w:t>，多措并举，确保随机抽查工作落实到位。</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600" w:lineRule="exact"/>
        <w:textAlignment w:val="auto"/>
        <w:rPr>
          <w:rFonts w:hint="eastAsia" w:ascii="方正小标宋简体" w:hAnsi="方正小标宋简体" w:eastAsia="方正小标宋简体" w:cs="方正小标宋简体"/>
          <w:sz w:val="44"/>
          <w:szCs w:val="4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nsolas">
    <w:panose1 w:val="020B0609020204030204"/>
    <w:charset w:val="00"/>
    <w:family w:val="auto"/>
    <w:pitch w:val="default"/>
    <w:sig w:usb0="E10002FF" w:usb1="4000FCFF" w:usb2="00000009" w:usb3="00000000" w:csb0="6000019F" w:csb1="DFD7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1FC27A"/>
    <w:multiLevelType w:val="singleLevel"/>
    <w:tmpl w:val="AB1FC27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FjNGUyOTNkMmU0MDE2ODFmNzFkZDdlNGNmMzI3Y2IifQ=="/>
  </w:docVars>
  <w:rsids>
    <w:rsidRoot w:val="7EDB6F66"/>
    <w:rsid w:val="00216A51"/>
    <w:rsid w:val="009E3E82"/>
    <w:rsid w:val="00D52FD6"/>
    <w:rsid w:val="011B7094"/>
    <w:rsid w:val="0289586F"/>
    <w:rsid w:val="02F004C6"/>
    <w:rsid w:val="03106446"/>
    <w:rsid w:val="05602959"/>
    <w:rsid w:val="06FC36F3"/>
    <w:rsid w:val="080350F5"/>
    <w:rsid w:val="082129A0"/>
    <w:rsid w:val="08817E5B"/>
    <w:rsid w:val="088D2926"/>
    <w:rsid w:val="0A2D1D97"/>
    <w:rsid w:val="0A3679BF"/>
    <w:rsid w:val="0A52487E"/>
    <w:rsid w:val="0AF31172"/>
    <w:rsid w:val="0B1F23E9"/>
    <w:rsid w:val="0C900DA5"/>
    <w:rsid w:val="1012673B"/>
    <w:rsid w:val="10296D7C"/>
    <w:rsid w:val="10A20448"/>
    <w:rsid w:val="113A5B8F"/>
    <w:rsid w:val="11CF557E"/>
    <w:rsid w:val="132B3F4D"/>
    <w:rsid w:val="14447054"/>
    <w:rsid w:val="14E61257"/>
    <w:rsid w:val="15004172"/>
    <w:rsid w:val="167C335F"/>
    <w:rsid w:val="168C7090"/>
    <w:rsid w:val="16AA2EEE"/>
    <w:rsid w:val="185D2CC3"/>
    <w:rsid w:val="187D7D6E"/>
    <w:rsid w:val="1ABB1761"/>
    <w:rsid w:val="1B5F4E04"/>
    <w:rsid w:val="1B6D5B9E"/>
    <w:rsid w:val="1B707745"/>
    <w:rsid w:val="1B93402A"/>
    <w:rsid w:val="1C0309E8"/>
    <w:rsid w:val="1D2E6E8C"/>
    <w:rsid w:val="1E895719"/>
    <w:rsid w:val="1F7173C1"/>
    <w:rsid w:val="20564929"/>
    <w:rsid w:val="208063C5"/>
    <w:rsid w:val="20A3189D"/>
    <w:rsid w:val="216755CB"/>
    <w:rsid w:val="2168395E"/>
    <w:rsid w:val="22257E16"/>
    <w:rsid w:val="22C264D4"/>
    <w:rsid w:val="22DE46BE"/>
    <w:rsid w:val="2336107A"/>
    <w:rsid w:val="25844CA2"/>
    <w:rsid w:val="276D3D3D"/>
    <w:rsid w:val="2856090D"/>
    <w:rsid w:val="288E5075"/>
    <w:rsid w:val="2AC375D4"/>
    <w:rsid w:val="2ACB713F"/>
    <w:rsid w:val="2BF641F9"/>
    <w:rsid w:val="2D696F65"/>
    <w:rsid w:val="2E2C254F"/>
    <w:rsid w:val="2E4906B6"/>
    <w:rsid w:val="2F6F4D92"/>
    <w:rsid w:val="322A6249"/>
    <w:rsid w:val="328B7B44"/>
    <w:rsid w:val="32DC3BAC"/>
    <w:rsid w:val="33853798"/>
    <w:rsid w:val="33C03D5D"/>
    <w:rsid w:val="3480760B"/>
    <w:rsid w:val="34866908"/>
    <w:rsid w:val="35905F47"/>
    <w:rsid w:val="377E3A08"/>
    <w:rsid w:val="379A605D"/>
    <w:rsid w:val="37EE6BB0"/>
    <w:rsid w:val="383F2E85"/>
    <w:rsid w:val="38410240"/>
    <w:rsid w:val="39006CF5"/>
    <w:rsid w:val="39142380"/>
    <w:rsid w:val="3940035D"/>
    <w:rsid w:val="39466300"/>
    <w:rsid w:val="3A3D2A9D"/>
    <w:rsid w:val="3B2B2F9D"/>
    <w:rsid w:val="3B302BBF"/>
    <w:rsid w:val="3B7B5038"/>
    <w:rsid w:val="3BD25F12"/>
    <w:rsid w:val="3C1259B3"/>
    <w:rsid w:val="3CD04C82"/>
    <w:rsid w:val="3EAB595F"/>
    <w:rsid w:val="3EEB28DB"/>
    <w:rsid w:val="406263C9"/>
    <w:rsid w:val="40DE4096"/>
    <w:rsid w:val="40E775D5"/>
    <w:rsid w:val="4178088B"/>
    <w:rsid w:val="41AD4584"/>
    <w:rsid w:val="425B2E92"/>
    <w:rsid w:val="429C558E"/>
    <w:rsid w:val="42C13449"/>
    <w:rsid w:val="430D222F"/>
    <w:rsid w:val="44594AA9"/>
    <w:rsid w:val="4496085A"/>
    <w:rsid w:val="478022B7"/>
    <w:rsid w:val="47BB14BD"/>
    <w:rsid w:val="47E13C25"/>
    <w:rsid w:val="481D0DDB"/>
    <w:rsid w:val="4A343B56"/>
    <w:rsid w:val="4A7136D4"/>
    <w:rsid w:val="4CB51078"/>
    <w:rsid w:val="4DA325BA"/>
    <w:rsid w:val="50791AF6"/>
    <w:rsid w:val="533C097A"/>
    <w:rsid w:val="53722BF7"/>
    <w:rsid w:val="54DD38D0"/>
    <w:rsid w:val="57980C70"/>
    <w:rsid w:val="58313CD2"/>
    <w:rsid w:val="5863165F"/>
    <w:rsid w:val="5888366A"/>
    <w:rsid w:val="5A3C762C"/>
    <w:rsid w:val="5A4C3FA2"/>
    <w:rsid w:val="5AD331B7"/>
    <w:rsid w:val="5B042480"/>
    <w:rsid w:val="5BEB73BA"/>
    <w:rsid w:val="5C2C2599"/>
    <w:rsid w:val="5DAF3D3A"/>
    <w:rsid w:val="5FFF250A"/>
    <w:rsid w:val="60CF11DA"/>
    <w:rsid w:val="62390E40"/>
    <w:rsid w:val="627221DB"/>
    <w:rsid w:val="629C78E8"/>
    <w:rsid w:val="632C23F7"/>
    <w:rsid w:val="635429C1"/>
    <w:rsid w:val="63AA2496"/>
    <w:rsid w:val="65C62181"/>
    <w:rsid w:val="678760C6"/>
    <w:rsid w:val="68106C7F"/>
    <w:rsid w:val="69FA7091"/>
    <w:rsid w:val="6BB52089"/>
    <w:rsid w:val="6EEA49A4"/>
    <w:rsid w:val="6F723753"/>
    <w:rsid w:val="70337EAE"/>
    <w:rsid w:val="70DA02FF"/>
    <w:rsid w:val="71C544BD"/>
    <w:rsid w:val="729232D6"/>
    <w:rsid w:val="72FB4926"/>
    <w:rsid w:val="73B243E5"/>
    <w:rsid w:val="741A1664"/>
    <w:rsid w:val="74EE4546"/>
    <w:rsid w:val="75A75EAF"/>
    <w:rsid w:val="766679FA"/>
    <w:rsid w:val="76B64E0C"/>
    <w:rsid w:val="771E6CFC"/>
    <w:rsid w:val="77206C5D"/>
    <w:rsid w:val="772F6397"/>
    <w:rsid w:val="77686288"/>
    <w:rsid w:val="7803322E"/>
    <w:rsid w:val="78DB6BEE"/>
    <w:rsid w:val="79407C99"/>
    <w:rsid w:val="7961767C"/>
    <w:rsid w:val="79B17EF4"/>
    <w:rsid w:val="7B4F7BD7"/>
    <w:rsid w:val="7B987A24"/>
    <w:rsid w:val="7C8A2D74"/>
    <w:rsid w:val="7C8E151B"/>
    <w:rsid w:val="7CFA37FA"/>
    <w:rsid w:val="7D806D11"/>
    <w:rsid w:val="7D974DBE"/>
    <w:rsid w:val="7E1500C2"/>
    <w:rsid w:val="7EA542D9"/>
    <w:rsid w:val="7EDB6F66"/>
    <w:rsid w:val="7F27759A"/>
    <w:rsid w:val="7F564619"/>
    <w:rsid w:val="7F6054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widowControl/>
      <w:spacing w:before="100" w:beforeLines="0" w:beforeAutospacing="1" w:after="100" w:afterLines="0" w:afterAutospacing="1"/>
      <w:jc w:val="left"/>
    </w:pPr>
    <w:rPr>
      <w:rFonts w:ascii="宋体" w:hAnsi="宋体" w:cs="宋体"/>
      <w:kern w:val="0"/>
      <w:sz w:val="24"/>
    </w:rPr>
  </w:style>
  <w:style w:type="character" w:styleId="5">
    <w:name w:val="Strong"/>
    <w:basedOn w:val="4"/>
    <w:qFormat/>
    <w:uiPriority w:val="0"/>
    <w:rPr>
      <w:b/>
    </w:rPr>
  </w:style>
  <w:style w:type="character" w:styleId="6">
    <w:name w:val="FollowedHyperlink"/>
    <w:basedOn w:val="4"/>
    <w:qFormat/>
    <w:uiPriority w:val="0"/>
    <w:rPr>
      <w:color w:val="333333"/>
      <w:u w:val="none"/>
    </w:rPr>
  </w:style>
  <w:style w:type="character" w:styleId="7">
    <w:name w:val="HTML Definition"/>
    <w:basedOn w:val="4"/>
    <w:qFormat/>
    <w:uiPriority w:val="0"/>
    <w:rPr>
      <w:i/>
    </w:rPr>
  </w:style>
  <w:style w:type="character" w:styleId="8">
    <w:name w:val="HTML Acronym"/>
    <w:basedOn w:val="4"/>
    <w:qFormat/>
    <w:uiPriority w:val="0"/>
  </w:style>
  <w:style w:type="character" w:styleId="9">
    <w:name w:val="Hyperlink"/>
    <w:basedOn w:val="4"/>
    <w:qFormat/>
    <w:uiPriority w:val="0"/>
    <w:rPr>
      <w:color w:val="333333"/>
      <w:u w:val="none"/>
    </w:rPr>
  </w:style>
  <w:style w:type="character" w:styleId="10">
    <w:name w:val="HTML Code"/>
    <w:basedOn w:val="4"/>
    <w:qFormat/>
    <w:uiPriority w:val="0"/>
    <w:rPr>
      <w:rFonts w:ascii="Consolas" w:hAnsi="Consolas" w:eastAsia="Consolas" w:cs="Consolas"/>
      <w:color w:val="C7254E"/>
      <w:sz w:val="21"/>
      <w:szCs w:val="21"/>
      <w:shd w:val="clear" w:fill="F9F2F4"/>
    </w:rPr>
  </w:style>
  <w:style w:type="character" w:styleId="11">
    <w:name w:val="HTML Keyboard"/>
    <w:basedOn w:val="4"/>
    <w:qFormat/>
    <w:uiPriority w:val="0"/>
    <w:rPr>
      <w:rFonts w:hint="default" w:ascii="Consolas" w:hAnsi="Consolas" w:eastAsia="Consolas" w:cs="Consolas"/>
      <w:color w:val="FFFFFF"/>
      <w:sz w:val="21"/>
      <w:szCs w:val="21"/>
      <w:shd w:val="clear" w:fill="333333"/>
    </w:rPr>
  </w:style>
  <w:style w:type="character" w:styleId="12">
    <w:name w:val="HTML Sample"/>
    <w:basedOn w:val="4"/>
    <w:qFormat/>
    <w:uiPriority w:val="0"/>
    <w:rPr>
      <w:rFonts w:hint="default" w:ascii="Consolas" w:hAnsi="Consolas" w:eastAsia="Consolas" w:cs="Consolas"/>
      <w:sz w:val="21"/>
      <w:szCs w:val="21"/>
    </w:rPr>
  </w:style>
  <w:style w:type="paragraph" w:customStyle="1" w:styleId="13">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character" w:customStyle="1" w:styleId="14">
    <w:name w:val="wx-space"/>
    <w:basedOn w:val="4"/>
    <w:qFormat/>
    <w:uiPriority w:val="0"/>
  </w:style>
  <w:style w:type="character" w:customStyle="1" w:styleId="15">
    <w:name w:val="wx-space1"/>
    <w:basedOn w:val="4"/>
    <w:qFormat/>
    <w:uiPriority w:val="0"/>
  </w:style>
  <w:style w:type="character" w:customStyle="1" w:styleId="16">
    <w:name w:val="direct"/>
    <w:basedOn w:val="4"/>
    <w:qFormat/>
    <w:uiPriority w:val="0"/>
  </w:style>
  <w:style w:type="character" w:customStyle="1" w:styleId="17">
    <w:name w:val="hover5"/>
    <w:basedOn w:val="4"/>
    <w:qFormat/>
    <w:uiPriority w:val="0"/>
    <w:rPr>
      <w:color w:val="000000"/>
      <w:shd w:val="clear" w:fill="FFFFFF"/>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2020-07-17T00:20:00Z</dcterms:created>
  <dc:creator>高小菟</dc:creator>
  <cp:lastModifiedBy>L太太 </cp:lastModifiedBy>
  <cp:lastPrinted>2021-01-26T01:02:00Z</cp:lastPrinted>
  <dcterms:modified xsi:type="dcterms:W3CDTF">2023-11-07T00:28:08Z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3280434194E54C32B0E2FD575375DA20</vt:lpwstr>
  </property>
</Properties>
</file>