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336817">
      <w:pPr>
        <w:jc w:val="center"/>
        <w:rPr>
          <w:rFonts w:ascii="方正小标宋简体" w:hAnsi="黑体" w:eastAsia="方正小标宋简体" w:cs="宋体"/>
          <w:color w:val="000000"/>
          <w:kern w:val="0"/>
          <w:sz w:val="48"/>
          <w:szCs w:val="48"/>
        </w:rPr>
      </w:pPr>
      <w:r>
        <w:rPr>
          <w:rFonts w:hint="eastAsia" w:ascii="方正小标宋简体" w:hAnsi="黑体" w:eastAsia="方正小标宋简体" w:cs="宋体"/>
          <w:color w:val="000000"/>
          <w:kern w:val="0"/>
          <w:sz w:val="48"/>
          <w:szCs w:val="48"/>
          <w:lang w:val="en-US" w:eastAsia="zh-CN"/>
        </w:rPr>
        <w:t>荣成市</w:t>
      </w:r>
      <w:r>
        <w:rPr>
          <w:rFonts w:hint="eastAsia" w:ascii="方正小标宋简体" w:hAnsi="黑体" w:eastAsia="方正小标宋简体" w:cs="宋体"/>
          <w:color w:val="000000"/>
          <w:kern w:val="0"/>
          <w:sz w:val="48"/>
          <w:szCs w:val="48"/>
          <w:lang w:eastAsia="zh-CN"/>
        </w:rPr>
        <w:t>教育</w:t>
      </w:r>
      <w:r>
        <w:rPr>
          <w:rFonts w:hint="eastAsia" w:ascii="方正小标宋简体" w:hAnsi="黑体" w:eastAsia="方正小标宋简体" w:cs="宋体"/>
          <w:color w:val="000000"/>
          <w:kern w:val="0"/>
          <w:sz w:val="48"/>
          <w:szCs w:val="48"/>
          <w:lang w:val="en-US" w:eastAsia="zh-CN"/>
        </w:rPr>
        <w:t>和体育</w:t>
      </w:r>
      <w:r>
        <w:rPr>
          <w:rFonts w:hint="eastAsia" w:ascii="方正小标宋简体" w:hAnsi="黑体" w:eastAsia="方正小标宋简体" w:cs="宋体"/>
          <w:color w:val="000000"/>
          <w:kern w:val="0"/>
          <w:sz w:val="48"/>
          <w:szCs w:val="48"/>
          <w:lang w:eastAsia="zh-CN"/>
        </w:rPr>
        <w:t>局</w:t>
      </w:r>
      <w:r>
        <w:rPr>
          <w:rFonts w:hint="eastAsia" w:ascii="方正小标宋简体" w:hAnsi="黑体" w:eastAsia="方正小标宋简体" w:cs="宋体"/>
          <w:color w:val="000000"/>
          <w:kern w:val="0"/>
          <w:sz w:val="48"/>
          <w:szCs w:val="48"/>
        </w:rPr>
        <w:t>“双随机</w:t>
      </w:r>
      <w:r>
        <w:rPr>
          <w:rFonts w:hint="eastAsia" w:ascii="方正小标宋简体" w:hAnsi="黑体" w:eastAsia="方正小标宋简体" w:cs="宋体"/>
          <w:color w:val="000000"/>
          <w:kern w:val="0"/>
          <w:sz w:val="48"/>
          <w:szCs w:val="48"/>
          <w:lang w:eastAsia="zh-CN"/>
        </w:rPr>
        <w:t>、</w:t>
      </w:r>
      <w:r>
        <w:rPr>
          <w:rFonts w:hint="eastAsia" w:ascii="方正小标宋简体" w:hAnsi="黑体" w:eastAsia="方正小标宋简体" w:cs="宋体"/>
          <w:color w:val="000000"/>
          <w:kern w:val="0"/>
          <w:sz w:val="48"/>
          <w:szCs w:val="48"/>
        </w:rPr>
        <w:t>一公开”监管随机抽查事项清单</w:t>
      </w:r>
    </w:p>
    <w:p w14:paraId="424A1B92">
      <w:pPr>
        <w:ind w:left="98" w:leftChars="-328" w:hanging="787" w:hangingChars="328"/>
        <w:rPr>
          <w:rFonts w:ascii="汉仪书宋一简" w:hAnsi="等线" w:eastAsia="汉仪书宋一简"/>
          <w:color w:val="000000"/>
          <w:sz w:val="24"/>
        </w:rPr>
      </w:pPr>
      <w:r>
        <w:rPr>
          <w:rFonts w:hint="eastAsia" w:ascii="汉仪书宋一简" w:eastAsia="汉仪书宋一简"/>
          <w:color w:val="000000"/>
          <w:sz w:val="24"/>
        </w:rPr>
        <w:t xml:space="preserve">                                                                       </w:t>
      </w:r>
    </w:p>
    <w:tbl>
      <w:tblPr>
        <w:tblStyle w:val="5"/>
        <w:tblW w:w="15298" w:type="dxa"/>
        <w:tblInd w:w="-87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1312"/>
        <w:gridCol w:w="806"/>
        <w:gridCol w:w="1838"/>
        <w:gridCol w:w="1144"/>
        <w:gridCol w:w="1256"/>
        <w:gridCol w:w="1575"/>
        <w:gridCol w:w="1537"/>
        <w:gridCol w:w="5098"/>
      </w:tblGrid>
      <w:tr w14:paraId="35E28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trPr>
        <w:tc>
          <w:tcPr>
            <w:tcW w:w="732" w:type="dxa"/>
            <w:tcBorders>
              <w:top w:val="single" w:color="auto" w:sz="4" w:space="0"/>
              <w:left w:val="single" w:color="auto" w:sz="4" w:space="0"/>
              <w:bottom w:val="single" w:color="auto" w:sz="4" w:space="0"/>
              <w:right w:val="single" w:color="auto" w:sz="4" w:space="0"/>
            </w:tcBorders>
            <w:vAlign w:val="center"/>
          </w:tcPr>
          <w:p w14:paraId="44D804B2">
            <w:pPr>
              <w:widowControl/>
              <w:spacing w:line="340" w:lineRule="exact"/>
              <w:jc w:val="center"/>
              <w:rPr>
                <w:rFonts w:ascii="黑体" w:hAnsi="黑体" w:eastAsia="黑体" w:cs="宋体"/>
                <w:color w:val="000000"/>
                <w:kern w:val="0"/>
                <w:sz w:val="24"/>
              </w:rPr>
            </w:pPr>
            <w:r>
              <w:rPr>
                <w:rFonts w:hint="eastAsia" w:ascii="黑体" w:hAnsi="黑体" w:eastAsia="黑体" w:cs="宋体"/>
                <w:color w:val="000000"/>
                <w:kern w:val="0"/>
                <w:sz w:val="24"/>
              </w:rPr>
              <w:t>序号</w:t>
            </w:r>
          </w:p>
        </w:tc>
        <w:tc>
          <w:tcPr>
            <w:tcW w:w="1312" w:type="dxa"/>
            <w:tcBorders>
              <w:top w:val="single" w:color="auto" w:sz="4" w:space="0"/>
              <w:left w:val="single" w:color="auto" w:sz="4" w:space="0"/>
              <w:bottom w:val="single" w:color="auto" w:sz="4" w:space="0"/>
              <w:right w:val="single" w:color="auto" w:sz="4" w:space="0"/>
            </w:tcBorders>
            <w:vAlign w:val="center"/>
          </w:tcPr>
          <w:p w14:paraId="15ED2B07">
            <w:pPr>
              <w:widowControl/>
              <w:spacing w:line="3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抽查事项</w:t>
            </w:r>
          </w:p>
        </w:tc>
        <w:tc>
          <w:tcPr>
            <w:tcW w:w="806" w:type="dxa"/>
            <w:tcBorders>
              <w:top w:val="single" w:color="auto" w:sz="4" w:space="0"/>
              <w:left w:val="single" w:color="auto" w:sz="4" w:space="0"/>
              <w:bottom w:val="single" w:color="auto" w:sz="4" w:space="0"/>
              <w:right w:val="single" w:color="auto" w:sz="4" w:space="0"/>
            </w:tcBorders>
            <w:vAlign w:val="center"/>
          </w:tcPr>
          <w:p w14:paraId="674053EF">
            <w:pPr>
              <w:widowControl/>
              <w:spacing w:line="3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抽查对象</w:t>
            </w:r>
          </w:p>
        </w:tc>
        <w:tc>
          <w:tcPr>
            <w:tcW w:w="1838" w:type="dxa"/>
            <w:tcBorders>
              <w:top w:val="single" w:color="auto" w:sz="4" w:space="0"/>
              <w:left w:val="single" w:color="auto" w:sz="4" w:space="0"/>
              <w:bottom w:val="single" w:color="auto" w:sz="4" w:space="0"/>
              <w:right w:val="single" w:color="auto" w:sz="4" w:space="0"/>
            </w:tcBorders>
            <w:vAlign w:val="center"/>
          </w:tcPr>
          <w:p w14:paraId="23D33DA1">
            <w:pPr>
              <w:widowControl/>
              <w:spacing w:line="3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抽查内容</w:t>
            </w:r>
          </w:p>
        </w:tc>
        <w:tc>
          <w:tcPr>
            <w:tcW w:w="1144" w:type="dxa"/>
            <w:tcBorders>
              <w:top w:val="single" w:color="auto" w:sz="4" w:space="0"/>
              <w:left w:val="single" w:color="auto" w:sz="4" w:space="0"/>
              <w:bottom w:val="single" w:color="auto" w:sz="4" w:space="0"/>
              <w:right w:val="single" w:color="auto" w:sz="4" w:space="0"/>
            </w:tcBorders>
            <w:vAlign w:val="center"/>
          </w:tcPr>
          <w:p w14:paraId="593A7190">
            <w:pPr>
              <w:widowControl/>
              <w:spacing w:line="3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事项类别</w:t>
            </w:r>
          </w:p>
        </w:tc>
        <w:tc>
          <w:tcPr>
            <w:tcW w:w="1256" w:type="dxa"/>
            <w:tcBorders>
              <w:top w:val="single" w:color="auto" w:sz="4" w:space="0"/>
              <w:left w:val="single" w:color="auto" w:sz="4" w:space="0"/>
              <w:bottom w:val="single" w:color="auto" w:sz="4" w:space="0"/>
              <w:right w:val="single" w:color="auto" w:sz="4" w:space="0"/>
            </w:tcBorders>
            <w:vAlign w:val="center"/>
          </w:tcPr>
          <w:p w14:paraId="6885D12C">
            <w:pPr>
              <w:widowControl/>
              <w:spacing w:line="3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抽查方式</w:t>
            </w:r>
          </w:p>
        </w:tc>
        <w:tc>
          <w:tcPr>
            <w:tcW w:w="1575" w:type="dxa"/>
            <w:tcBorders>
              <w:top w:val="single" w:color="auto" w:sz="4" w:space="0"/>
              <w:left w:val="single" w:color="auto" w:sz="4" w:space="0"/>
              <w:bottom w:val="single" w:color="auto" w:sz="4" w:space="0"/>
              <w:right w:val="single" w:color="auto" w:sz="4" w:space="0"/>
            </w:tcBorders>
            <w:vAlign w:val="center"/>
          </w:tcPr>
          <w:p w14:paraId="744BF6B2">
            <w:pPr>
              <w:widowControl/>
              <w:spacing w:line="3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抽查比例和频次</w:t>
            </w:r>
          </w:p>
        </w:tc>
        <w:tc>
          <w:tcPr>
            <w:tcW w:w="1537" w:type="dxa"/>
            <w:tcBorders>
              <w:top w:val="single" w:color="auto" w:sz="4" w:space="0"/>
              <w:left w:val="single" w:color="auto" w:sz="4" w:space="0"/>
              <w:bottom w:val="single" w:color="auto" w:sz="4" w:space="0"/>
              <w:right w:val="single" w:color="auto" w:sz="4" w:space="0"/>
            </w:tcBorders>
            <w:vAlign w:val="center"/>
          </w:tcPr>
          <w:p w14:paraId="08E8DC98">
            <w:pPr>
              <w:widowControl/>
              <w:spacing w:line="3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检查部门</w:t>
            </w:r>
            <w:r>
              <w:rPr>
                <w:rFonts w:hint="eastAsia" w:ascii="黑体" w:hAnsi="黑体" w:eastAsia="黑体" w:cs="宋体"/>
                <w:bCs/>
                <w:color w:val="000000"/>
                <w:kern w:val="0"/>
                <w:sz w:val="24"/>
                <w:lang w:val="en-US" w:eastAsia="zh-CN"/>
              </w:rPr>
              <w:t>及</w:t>
            </w:r>
            <w:r>
              <w:rPr>
                <w:rFonts w:hint="eastAsia" w:ascii="黑体" w:hAnsi="黑体" w:eastAsia="黑体" w:cs="宋体"/>
                <w:bCs/>
                <w:color w:val="000000"/>
                <w:kern w:val="0"/>
                <w:sz w:val="24"/>
              </w:rPr>
              <w:t>实施层级</w:t>
            </w:r>
          </w:p>
        </w:tc>
        <w:tc>
          <w:tcPr>
            <w:tcW w:w="5098" w:type="dxa"/>
            <w:tcBorders>
              <w:top w:val="single" w:color="auto" w:sz="4" w:space="0"/>
              <w:left w:val="single" w:color="auto" w:sz="4" w:space="0"/>
              <w:bottom w:val="single" w:color="auto" w:sz="4" w:space="0"/>
              <w:right w:val="single" w:color="auto" w:sz="4" w:space="0"/>
            </w:tcBorders>
            <w:vAlign w:val="center"/>
          </w:tcPr>
          <w:p w14:paraId="13750DD4">
            <w:pPr>
              <w:widowControl/>
              <w:spacing w:line="3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抽查依据</w:t>
            </w:r>
          </w:p>
        </w:tc>
      </w:tr>
      <w:tr w14:paraId="7C5C0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3" w:hRule="atLeast"/>
        </w:trPr>
        <w:tc>
          <w:tcPr>
            <w:tcW w:w="732" w:type="dxa"/>
            <w:tcBorders>
              <w:top w:val="single" w:color="auto" w:sz="4" w:space="0"/>
              <w:left w:val="single" w:color="auto" w:sz="4" w:space="0"/>
              <w:bottom w:val="single" w:color="auto" w:sz="4" w:space="0"/>
              <w:right w:val="single" w:color="auto" w:sz="4" w:space="0"/>
            </w:tcBorders>
            <w:vAlign w:val="center"/>
          </w:tcPr>
          <w:p w14:paraId="6DC8FB8C">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1</w:t>
            </w:r>
          </w:p>
        </w:tc>
        <w:tc>
          <w:tcPr>
            <w:tcW w:w="1312" w:type="dxa"/>
            <w:tcBorders>
              <w:top w:val="single" w:color="auto" w:sz="4" w:space="0"/>
              <w:left w:val="single" w:color="auto" w:sz="4" w:space="0"/>
              <w:bottom w:val="single" w:color="auto" w:sz="4" w:space="0"/>
              <w:right w:val="single" w:color="auto" w:sz="4" w:space="0"/>
            </w:tcBorders>
            <w:vAlign w:val="center"/>
          </w:tcPr>
          <w:p w14:paraId="573917A4">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学校教育教学用语用字的管理和监督</w:t>
            </w:r>
          </w:p>
        </w:tc>
        <w:tc>
          <w:tcPr>
            <w:tcW w:w="806" w:type="dxa"/>
            <w:tcBorders>
              <w:top w:val="single" w:color="auto" w:sz="4" w:space="0"/>
              <w:left w:val="single" w:color="auto" w:sz="4" w:space="0"/>
              <w:bottom w:val="single" w:color="auto" w:sz="4" w:space="0"/>
              <w:right w:val="single" w:color="auto" w:sz="4" w:space="0"/>
            </w:tcBorders>
            <w:vAlign w:val="center"/>
          </w:tcPr>
          <w:p w14:paraId="37EEBE79">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各级各类学校中上报的备查学校</w:t>
            </w:r>
          </w:p>
        </w:tc>
        <w:tc>
          <w:tcPr>
            <w:tcW w:w="1838" w:type="dxa"/>
            <w:tcBorders>
              <w:top w:val="single" w:color="auto" w:sz="4" w:space="0"/>
              <w:left w:val="single" w:color="auto" w:sz="4" w:space="0"/>
              <w:bottom w:val="single" w:color="auto" w:sz="4" w:space="0"/>
              <w:right w:val="single" w:color="auto" w:sz="4" w:space="0"/>
            </w:tcBorders>
            <w:vAlign w:val="center"/>
          </w:tcPr>
          <w:p w14:paraId="59CBB2A9">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学校教育教学用语用字是否规范</w:t>
            </w:r>
          </w:p>
        </w:tc>
        <w:tc>
          <w:tcPr>
            <w:tcW w:w="1144" w:type="dxa"/>
            <w:tcBorders>
              <w:top w:val="single" w:color="auto" w:sz="4" w:space="0"/>
              <w:left w:val="single" w:color="auto" w:sz="4" w:space="0"/>
              <w:bottom w:val="single" w:color="auto" w:sz="4" w:space="0"/>
              <w:right w:val="single" w:color="auto" w:sz="4" w:space="0"/>
            </w:tcBorders>
            <w:vAlign w:val="center"/>
          </w:tcPr>
          <w:p w14:paraId="375934AE">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一般检查事项</w:t>
            </w:r>
          </w:p>
        </w:tc>
        <w:tc>
          <w:tcPr>
            <w:tcW w:w="1256" w:type="dxa"/>
            <w:tcBorders>
              <w:top w:val="single" w:color="auto" w:sz="4" w:space="0"/>
              <w:left w:val="single" w:color="auto" w:sz="4" w:space="0"/>
              <w:bottom w:val="single" w:color="auto" w:sz="4" w:space="0"/>
              <w:right w:val="single" w:color="auto" w:sz="4" w:space="0"/>
            </w:tcBorders>
            <w:vAlign w:val="center"/>
          </w:tcPr>
          <w:p w14:paraId="2D335BE8">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现场检查</w:t>
            </w:r>
          </w:p>
        </w:tc>
        <w:tc>
          <w:tcPr>
            <w:tcW w:w="1575" w:type="dxa"/>
            <w:tcBorders>
              <w:top w:val="single" w:color="auto" w:sz="4" w:space="0"/>
              <w:left w:val="single" w:color="auto" w:sz="4" w:space="0"/>
              <w:bottom w:val="single" w:color="auto" w:sz="4" w:space="0"/>
              <w:right w:val="single" w:color="auto" w:sz="4" w:space="0"/>
            </w:tcBorders>
            <w:vAlign w:val="center"/>
          </w:tcPr>
          <w:p w14:paraId="5F5D9CC4">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全年抽查比例不低于5%，抽查频次根据工作需要确定</w:t>
            </w:r>
          </w:p>
        </w:tc>
        <w:tc>
          <w:tcPr>
            <w:tcW w:w="1537" w:type="dxa"/>
            <w:tcBorders>
              <w:top w:val="single" w:color="auto" w:sz="4" w:space="0"/>
              <w:left w:val="single" w:color="auto" w:sz="4" w:space="0"/>
              <w:bottom w:val="single" w:color="auto" w:sz="4" w:space="0"/>
              <w:right w:val="single" w:color="auto" w:sz="4" w:space="0"/>
            </w:tcBorders>
            <w:vAlign w:val="center"/>
          </w:tcPr>
          <w:p w14:paraId="5B6CA0A2">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省、市、县级教</w:t>
            </w:r>
            <w:bookmarkStart w:id="0" w:name="_GoBack"/>
            <w:bookmarkEnd w:id="0"/>
            <w:r>
              <w:rPr>
                <w:rFonts w:hint="eastAsia" w:ascii="仿宋_GB2312" w:hAnsi="宋体" w:eastAsia="仿宋_GB2312" w:cs="宋体"/>
                <w:color w:val="000000"/>
                <w:kern w:val="0"/>
                <w:sz w:val="24"/>
                <w:lang w:bidi="ar"/>
              </w:rPr>
              <w:t>育部门</w:t>
            </w:r>
          </w:p>
        </w:tc>
        <w:tc>
          <w:tcPr>
            <w:tcW w:w="5098" w:type="dxa"/>
            <w:tcBorders>
              <w:top w:val="single" w:color="auto" w:sz="4" w:space="0"/>
              <w:left w:val="single" w:color="auto" w:sz="4" w:space="0"/>
              <w:bottom w:val="single" w:color="auto" w:sz="4" w:space="0"/>
              <w:right w:val="single" w:color="auto" w:sz="4" w:space="0"/>
            </w:tcBorders>
            <w:vAlign w:val="center"/>
          </w:tcPr>
          <w:p w14:paraId="726FD799">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《中华人民共和国国家通用语言文字法》（2000年10月公布）第二十二条。</w:t>
            </w:r>
          </w:p>
        </w:tc>
      </w:tr>
      <w:tr w14:paraId="3C078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4" w:hRule="atLeast"/>
        </w:trPr>
        <w:tc>
          <w:tcPr>
            <w:tcW w:w="732" w:type="dxa"/>
            <w:tcBorders>
              <w:top w:val="single" w:color="auto" w:sz="4" w:space="0"/>
              <w:left w:val="single" w:color="auto" w:sz="4" w:space="0"/>
              <w:bottom w:val="single" w:color="auto" w:sz="4" w:space="0"/>
              <w:right w:val="single" w:color="auto" w:sz="4" w:space="0"/>
            </w:tcBorders>
            <w:vAlign w:val="center"/>
          </w:tcPr>
          <w:p w14:paraId="17A6B9CB">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2</w:t>
            </w:r>
          </w:p>
        </w:tc>
        <w:tc>
          <w:tcPr>
            <w:tcW w:w="1312" w:type="dxa"/>
            <w:tcBorders>
              <w:top w:val="single" w:color="auto" w:sz="4" w:space="0"/>
              <w:left w:val="single" w:color="auto" w:sz="4" w:space="0"/>
              <w:bottom w:val="single" w:color="auto" w:sz="4" w:space="0"/>
              <w:right w:val="single" w:color="auto" w:sz="4" w:space="0"/>
            </w:tcBorders>
            <w:vAlign w:val="center"/>
          </w:tcPr>
          <w:p w14:paraId="659267FF">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学校安全管理工作的监督检查</w:t>
            </w:r>
          </w:p>
        </w:tc>
        <w:tc>
          <w:tcPr>
            <w:tcW w:w="806" w:type="dxa"/>
            <w:tcBorders>
              <w:top w:val="single" w:color="auto" w:sz="4" w:space="0"/>
              <w:left w:val="single" w:color="auto" w:sz="4" w:space="0"/>
              <w:bottom w:val="single" w:color="auto" w:sz="4" w:space="0"/>
              <w:right w:val="single" w:color="auto" w:sz="4" w:space="0"/>
            </w:tcBorders>
            <w:vAlign w:val="center"/>
          </w:tcPr>
          <w:p w14:paraId="15686C7B">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各级各类学校</w:t>
            </w:r>
          </w:p>
        </w:tc>
        <w:tc>
          <w:tcPr>
            <w:tcW w:w="1838" w:type="dxa"/>
            <w:tcBorders>
              <w:top w:val="single" w:color="auto" w:sz="4" w:space="0"/>
              <w:left w:val="single" w:color="auto" w:sz="4" w:space="0"/>
              <w:bottom w:val="single" w:color="auto" w:sz="4" w:space="0"/>
              <w:right w:val="single" w:color="auto" w:sz="4" w:space="0"/>
            </w:tcBorders>
            <w:vAlign w:val="center"/>
          </w:tcPr>
          <w:p w14:paraId="534FFA11">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学校风险防控机制建立情况、安全教育及演练情况、安全管理制度建立情况、“三防”建设情况、校车安全管理情况、学校安全事故应急预案建立情况、校内设施设备安全状况</w:t>
            </w:r>
          </w:p>
        </w:tc>
        <w:tc>
          <w:tcPr>
            <w:tcW w:w="1144" w:type="dxa"/>
            <w:tcBorders>
              <w:top w:val="single" w:color="auto" w:sz="4" w:space="0"/>
              <w:left w:val="single" w:color="auto" w:sz="4" w:space="0"/>
              <w:bottom w:val="single" w:color="auto" w:sz="4" w:space="0"/>
              <w:right w:val="single" w:color="auto" w:sz="4" w:space="0"/>
            </w:tcBorders>
            <w:vAlign w:val="center"/>
          </w:tcPr>
          <w:p w14:paraId="57716EF2">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一般检查事项</w:t>
            </w:r>
          </w:p>
        </w:tc>
        <w:tc>
          <w:tcPr>
            <w:tcW w:w="1256" w:type="dxa"/>
            <w:tcBorders>
              <w:top w:val="single" w:color="auto" w:sz="4" w:space="0"/>
              <w:left w:val="single" w:color="auto" w:sz="4" w:space="0"/>
              <w:bottom w:val="single" w:color="auto" w:sz="4" w:space="0"/>
              <w:right w:val="single" w:color="auto" w:sz="4" w:space="0"/>
            </w:tcBorders>
            <w:vAlign w:val="center"/>
          </w:tcPr>
          <w:p w14:paraId="32B7062F">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随机抽查、实地检查、台账查验</w:t>
            </w:r>
          </w:p>
        </w:tc>
        <w:tc>
          <w:tcPr>
            <w:tcW w:w="1575" w:type="dxa"/>
            <w:tcBorders>
              <w:top w:val="single" w:color="auto" w:sz="4" w:space="0"/>
              <w:left w:val="single" w:color="auto" w:sz="4" w:space="0"/>
              <w:bottom w:val="single" w:color="auto" w:sz="4" w:space="0"/>
              <w:right w:val="single" w:color="auto" w:sz="4" w:space="0"/>
            </w:tcBorders>
            <w:vAlign w:val="center"/>
          </w:tcPr>
          <w:p w14:paraId="58E9A03C">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全年抽查比例不低于5%，抽查频次根据工作需要确定</w:t>
            </w:r>
          </w:p>
        </w:tc>
        <w:tc>
          <w:tcPr>
            <w:tcW w:w="1537" w:type="dxa"/>
            <w:tcBorders>
              <w:top w:val="single" w:color="auto" w:sz="4" w:space="0"/>
              <w:left w:val="single" w:color="auto" w:sz="4" w:space="0"/>
              <w:bottom w:val="single" w:color="auto" w:sz="4" w:space="0"/>
              <w:right w:val="single" w:color="auto" w:sz="4" w:space="0"/>
            </w:tcBorders>
            <w:vAlign w:val="center"/>
          </w:tcPr>
          <w:p w14:paraId="1F060E5C">
            <w:pPr>
              <w:widowControl/>
              <w:jc w:val="left"/>
              <w:textAlignment w:val="center"/>
              <w:rPr>
                <w:rFonts w:ascii="仿宋_GB2312" w:hAnsi="宋体" w:eastAsia="仿宋_GB2312" w:cs="宋体"/>
                <w:color w:val="000000"/>
                <w:kern w:val="0"/>
                <w:sz w:val="24"/>
                <w:lang w:bidi="ar"/>
              </w:rPr>
            </w:pPr>
            <w:r>
              <w:rPr>
                <w:rFonts w:hint="eastAsia"/>
              </w:rPr>
              <w:t>省、市、县级教育行政部门</w:t>
            </w:r>
          </w:p>
        </w:tc>
        <w:tc>
          <w:tcPr>
            <w:tcW w:w="5098" w:type="dxa"/>
            <w:tcBorders>
              <w:top w:val="single" w:color="auto" w:sz="4" w:space="0"/>
              <w:left w:val="single" w:color="auto" w:sz="4" w:space="0"/>
              <w:bottom w:val="single" w:color="auto" w:sz="4" w:space="0"/>
              <w:right w:val="single" w:color="auto" w:sz="4" w:space="0"/>
            </w:tcBorders>
            <w:vAlign w:val="center"/>
          </w:tcPr>
          <w:p w14:paraId="4A783C26">
            <w:pPr>
              <w:widowControl/>
              <w:jc w:val="left"/>
              <w:textAlignment w:val="center"/>
              <w:rPr>
                <w:rFonts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《山东省学校安全条例》（2018年11月通过）第六条。</w:t>
            </w:r>
          </w:p>
        </w:tc>
      </w:tr>
      <w:tr w14:paraId="10DE2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4" w:hRule="atLeast"/>
        </w:trPr>
        <w:tc>
          <w:tcPr>
            <w:tcW w:w="732" w:type="dxa"/>
            <w:tcBorders>
              <w:top w:val="single" w:color="auto" w:sz="4" w:space="0"/>
              <w:left w:val="single" w:color="auto" w:sz="4" w:space="0"/>
              <w:bottom w:val="single" w:color="auto" w:sz="4" w:space="0"/>
              <w:right w:val="single" w:color="auto" w:sz="4" w:space="0"/>
            </w:tcBorders>
            <w:vAlign w:val="center"/>
          </w:tcPr>
          <w:p w14:paraId="597B7050">
            <w:pPr>
              <w:jc w:val="center"/>
              <w:rPr>
                <w:rFonts w:ascii="仿宋_GB2312" w:hAnsi="宋体" w:eastAsia="仿宋_GB2312" w:cs="宋体"/>
                <w:kern w:val="0"/>
                <w:sz w:val="24"/>
              </w:rPr>
            </w:pPr>
            <w:r>
              <w:rPr>
                <w:rFonts w:hint="eastAsia" w:ascii="仿宋_GB2312" w:eastAsia="仿宋_GB2312"/>
                <w:sz w:val="24"/>
              </w:rPr>
              <w:t>3</w:t>
            </w:r>
          </w:p>
        </w:tc>
        <w:tc>
          <w:tcPr>
            <w:tcW w:w="1312" w:type="dxa"/>
            <w:tcBorders>
              <w:top w:val="single" w:color="auto" w:sz="4" w:space="0"/>
              <w:left w:val="single" w:color="auto" w:sz="4" w:space="0"/>
              <w:bottom w:val="single" w:color="auto" w:sz="4" w:space="0"/>
              <w:right w:val="single" w:color="auto" w:sz="4" w:space="0"/>
            </w:tcBorders>
            <w:vAlign w:val="center"/>
          </w:tcPr>
          <w:p w14:paraId="1E4A57C7">
            <w:pPr>
              <w:jc w:val="center"/>
              <w:rPr>
                <w:rFonts w:ascii="仿宋_GB2312" w:hAnsi="宋体" w:eastAsia="仿宋_GB2312" w:cs="宋体"/>
                <w:kern w:val="0"/>
                <w:sz w:val="24"/>
              </w:rPr>
            </w:pPr>
            <w:r>
              <w:rPr>
                <w:rFonts w:hint="eastAsia" w:ascii="仿宋_GB2312" w:hAnsi="仿宋_GB2312" w:eastAsia="仿宋_GB2312" w:cs="仿宋_GB2312"/>
                <w:sz w:val="24"/>
              </w:rPr>
              <w:t>校外培训机构办学情况检查</w:t>
            </w:r>
          </w:p>
        </w:tc>
        <w:tc>
          <w:tcPr>
            <w:tcW w:w="806" w:type="dxa"/>
            <w:tcBorders>
              <w:top w:val="single" w:color="auto" w:sz="4" w:space="0"/>
              <w:left w:val="single" w:color="auto" w:sz="4" w:space="0"/>
              <w:bottom w:val="single" w:color="auto" w:sz="4" w:space="0"/>
              <w:right w:val="single" w:color="auto" w:sz="4" w:space="0"/>
            </w:tcBorders>
            <w:vAlign w:val="center"/>
          </w:tcPr>
          <w:p w14:paraId="0C2DDEB6">
            <w:pPr>
              <w:jc w:val="center"/>
              <w:rPr>
                <w:rFonts w:ascii="仿宋_GB2312" w:hAnsi="宋体" w:eastAsia="仿宋_GB2312" w:cs="宋体"/>
                <w:kern w:val="0"/>
                <w:sz w:val="24"/>
              </w:rPr>
            </w:pPr>
            <w:r>
              <w:rPr>
                <w:rFonts w:hint="eastAsia" w:ascii="仿宋_GB2312" w:hAnsi="仿宋_GB2312" w:eastAsia="仿宋_GB2312" w:cs="仿宋_GB2312"/>
                <w:sz w:val="24"/>
              </w:rPr>
              <w:t>校外培训机构</w:t>
            </w:r>
          </w:p>
        </w:tc>
        <w:tc>
          <w:tcPr>
            <w:tcW w:w="1838" w:type="dxa"/>
            <w:tcBorders>
              <w:top w:val="single" w:color="auto" w:sz="4" w:space="0"/>
              <w:left w:val="single" w:color="auto" w:sz="4" w:space="0"/>
              <w:bottom w:val="single" w:color="auto" w:sz="4" w:space="0"/>
              <w:right w:val="single" w:color="auto" w:sz="4" w:space="0"/>
            </w:tcBorders>
            <w:vAlign w:val="center"/>
          </w:tcPr>
          <w:p w14:paraId="5A5660EC">
            <w:pPr>
              <w:jc w:val="center"/>
              <w:rPr>
                <w:rFonts w:ascii="仿宋_GB2312" w:hAnsi="宋体" w:eastAsia="仿宋_GB2312" w:cs="宋体"/>
                <w:kern w:val="0"/>
                <w:sz w:val="24"/>
              </w:rPr>
            </w:pPr>
            <w:r>
              <w:rPr>
                <w:rFonts w:hint="eastAsia" w:ascii="仿宋_GB2312" w:hAnsi="仿宋_GB2312" w:eastAsia="仿宋_GB2312" w:cs="仿宋_GB2312"/>
                <w:sz w:val="24"/>
              </w:rPr>
              <w:t>在各自职责范围内对校外培训机构办学行为、办学内容等进行检查</w:t>
            </w:r>
          </w:p>
        </w:tc>
        <w:tc>
          <w:tcPr>
            <w:tcW w:w="1144" w:type="dxa"/>
            <w:tcBorders>
              <w:top w:val="single" w:color="auto" w:sz="4" w:space="0"/>
              <w:left w:val="single" w:color="auto" w:sz="4" w:space="0"/>
              <w:bottom w:val="single" w:color="auto" w:sz="4" w:space="0"/>
              <w:right w:val="single" w:color="auto" w:sz="4" w:space="0"/>
            </w:tcBorders>
            <w:vAlign w:val="center"/>
          </w:tcPr>
          <w:p w14:paraId="3F542217">
            <w:pPr>
              <w:jc w:val="center"/>
              <w:rPr>
                <w:rFonts w:ascii="仿宋_GB2312" w:hAnsi="宋体" w:eastAsia="仿宋_GB2312" w:cs="宋体"/>
                <w:kern w:val="0"/>
                <w:sz w:val="24"/>
              </w:rPr>
            </w:pPr>
            <w:r>
              <w:rPr>
                <w:rFonts w:hint="eastAsia" w:ascii="仿宋_GB2312" w:hAnsi="仿宋_GB2312" w:eastAsia="仿宋_GB2312" w:cs="仿宋_GB2312"/>
                <w:sz w:val="24"/>
              </w:rPr>
              <w:t>一般检查事项</w:t>
            </w:r>
          </w:p>
        </w:tc>
        <w:tc>
          <w:tcPr>
            <w:tcW w:w="1256" w:type="dxa"/>
            <w:tcBorders>
              <w:top w:val="single" w:color="auto" w:sz="4" w:space="0"/>
              <w:left w:val="single" w:color="auto" w:sz="4" w:space="0"/>
              <w:bottom w:val="single" w:color="auto" w:sz="4" w:space="0"/>
              <w:right w:val="single" w:color="auto" w:sz="4" w:space="0"/>
            </w:tcBorders>
            <w:vAlign w:val="center"/>
          </w:tcPr>
          <w:p w14:paraId="3E9846C3">
            <w:pPr>
              <w:jc w:val="left"/>
              <w:rPr>
                <w:rFonts w:ascii="仿宋_GB2312" w:hAnsi="宋体" w:eastAsia="仿宋_GB2312" w:cs="宋体"/>
                <w:kern w:val="0"/>
                <w:sz w:val="24"/>
              </w:rPr>
            </w:pPr>
            <w:r>
              <w:rPr>
                <w:rFonts w:hint="eastAsia" w:ascii="仿宋_GB2312" w:hAnsi="仿宋_GB2312" w:eastAsia="仿宋_GB2312" w:cs="仿宋_GB2312"/>
                <w:sz w:val="24"/>
              </w:rPr>
              <w:t>书面检查、现场检查</w:t>
            </w:r>
          </w:p>
        </w:tc>
        <w:tc>
          <w:tcPr>
            <w:tcW w:w="1575" w:type="dxa"/>
            <w:tcBorders>
              <w:top w:val="single" w:color="auto" w:sz="4" w:space="0"/>
              <w:left w:val="single" w:color="auto" w:sz="4" w:space="0"/>
              <w:bottom w:val="single" w:color="auto" w:sz="4" w:space="0"/>
              <w:right w:val="single" w:color="auto" w:sz="4" w:space="0"/>
            </w:tcBorders>
            <w:vAlign w:val="center"/>
          </w:tcPr>
          <w:p w14:paraId="700756CC">
            <w:pPr>
              <w:jc w:val="left"/>
              <w:rPr>
                <w:rFonts w:ascii="仿宋_GB2312" w:hAnsi="宋体" w:eastAsia="仿宋_GB2312" w:cs="宋体"/>
                <w:kern w:val="0"/>
                <w:sz w:val="24"/>
              </w:rPr>
            </w:pPr>
            <w:r>
              <w:rPr>
                <w:rFonts w:hint="eastAsia" w:ascii="仿宋_GB2312" w:hAnsi="宋体" w:eastAsia="仿宋_GB2312" w:cs="宋体"/>
                <w:kern w:val="0"/>
                <w:sz w:val="24"/>
              </w:rPr>
              <w:t>全年抽查比例不低于10%，抽查频次根据监管需要确定</w:t>
            </w:r>
          </w:p>
        </w:tc>
        <w:tc>
          <w:tcPr>
            <w:tcW w:w="1537" w:type="dxa"/>
            <w:tcBorders>
              <w:top w:val="single" w:color="auto" w:sz="4" w:space="0"/>
              <w:left w:val="single" w:color="auto" w:sz="4" w:space="0"/>
              <w:bottom w:val="single" w:color="auto" w:sz="4" w:space="0"/>
              <w:right w:val="single" w:color="auto" w:sz="4" w:space="0"/>
            </w:tcBorders>
            <w:vAlign w:val="center"/>
          </w:tcPr>
          <w:p w14:paraId="625E9754">
            <w:pPr>
              <w:jc w:val="left"/>
              <w:rPr>
                <w:rFonts w:ascii="仿宋_GB2312" w:hAnsi="宋体" w:eastAsia="仿宋_GB2312" w:cs="宋体"/>
                <w:kern w:val="0"/>
                <w:sz w:val="24"/>
              </w:rPr>
            </w:pPr>
            <w:r>
              <w:rPr>
                <w:rFonts w:hint="eastAsia" w:ascii="仿宋_GB2312" w:hAnsi="仿宋_GB2312" w:eastAsia="仿宋_GB2312" w:cs="仿宋_GB2312"/>
                <w:sz w:val="24"/>
              </w:rPr>
              <w:t>县级教育行政部门</w:t>
            </w:r>
          </w:p>
        </w:tc>
        <w:tc>
          <w:tcPr>
            <w:tcW w:w="5098" w:type="dxa"/>
            <w:tcBorders>
              <w:top w:val="single" w:color="auto" w:sz="4" w:space="0"/>
              <w:left w:val="single" w:color="auto" w:sz="4" w:space="0"/>
              <w:bottom w:val="single" w:color="auto" w:sz="4" w:space="0"/>
              <w:right w:val="single" w:color="auto" w:sz="4" w:space="0"/>
            </w:tcBorders>
            <w:vAlign w:val="center"/>
          </w:tcPr>
          <w:p w14:paraId="09144CDD">
            <w:pPr>
              <w:jc w:val="left"/>
              <w:rPr>
                <w:rFonts w:hint="eastAsia" w:ascii="仿宋_GB2312" w:hAnsi="仿宋_GB2312" w:eastAsia="仿宋_GB2312" w:cs="仿宋_GB2312"/>
                <w:color w:val="333333"/>
                <w:sz w:val="24"/>
                <w:shd w:val="clear" w:color="auto" w:fill="FFFFFF"/>
              </w:rPr>
            </w:pPr>
            <w:r>
              <w:rPr>
                <w:rFonts w:hint="eastAsia" w:ascii="仿宋_GB2312" w:hAnsi="仿宋_GB2312" w:eastAsia="仿宋_GB2312" w:cs="仿宋_GB2312"/>
                <w:color w:val="333333"/>
                <w:sz w:val="24"/>
                <w:shd w:val="clear" w:color="auto" w:fill="FFFFFF"/>
              </w:rPr>
              <w:t>1.《教师资格条例》（国务院令188号）第二条。</w:t>
            </w:r>
          </w:p>
          <w:p w14:paraId="0528FE3C">
            <w:pPr>
              <w:jc w:val="left"/>
              <w:rPr>
                <w:rFonts w:hint="eastAsia" w:ascii="仿宋_GB2312" w:hAnsi="仿宋_GB2312" w:eastAsia="仿宋_GB2312" w:cs="仿宋_GB2312"/>
                <w:color w:val="333333"/>
                <w:sz w:val="24"/>
                <w:shd w:val="clear" w:color="auto" w:fill="FFFFFF"/>
              </w:rPr>
            </w:pPr>
            <w:r>
              <w:rPr>
                <w:rFonts w:hint="eastAsia" w:ascii="仿宋_GB2312" w:hAnsi="仿宋_GB2312" w:eastAsia="仿宋_GB2312" w:cs="仿宋_GB2312"/>
                <w:color w:val="333333"/>
                <w:sz w:val="24"/>
                <w:shd w:val="clear" w:color="auto" w:fill="FFFFFF"/>
              </w:rPr>
              <w:t>2.《山东省学生体质健康促进条例》（2018年9月通过）第四十三条。</w:t>
            </w:r>
          </w:p>
          <w:p w14:paraId="679CD143">
            <w:pPr>
              <w:jc w:val="left"/>
              <w:rPr>
                <w:rFonts w:hint="eastAsia" w:ascii="仿宋_GB2312" w:hAnsi="仿宋_GB2312" w:eastAsia="仿宋_GB2312" w:cs="仿宋_GB2312"/>
                <w:color w:val="333333"/>
                <w:sz w:val="24"/>
                <w:shd w:val="clear" w:color="auto" w:fill="FFFFFF"/>
              </w:rPr>
            </w:pPr>
            <w:r>
              <w:rPr>
                <w:rFonts w:hint="eastAsia" w:ascii="仿宋_GB2312" w:hAnsi="仿宋_GB2312" w:eastAsia="仿宋_GB2312" w:cs="仿宋_GB2312"/>
                <w:color w:val="333333"/>
                <w:sz w:val="24"/>
                <w:shd w:val="clear" w:color="auto" w:fill="FFFFFF"/>
              </w:rPr>
              <w:t>3.《中华人民共和国未成年人保护法》（2021年6月1日起施行）第三十三条第三款。</w:t>
            </w:r>
          </w:p>
          <w:p w14:paraId="1562707D">
            <w:pPr>
              <w:jc w:val="left"/>
              <w:rPr>
                <w:rFonts w:ascii="仿宋_GB2312" w:hAnsi="宋体" w:eastAsia="仿宋_GB2312" w:cs="宋体"/>
                <w:kern w:val="0"/>
                <w:sz w:val="24"/>
              </w:rPr>
            </w:pPr>
            <w:r>
              <w:rPr>
                <w:rFonts w:hint="eastAsia" w:ascii="仿宋_GB2312" w:hAnsi="仿宋_GB2312" w:eastAsia="仿宋_GB2312" w:cs="仿宋_GB2312"/>
                <w:color w:val="333333"/>
                <w:sz w:val="24"/>
                <w:shd w:val="clear" w:color="auto" w:fill="FFFFFF"/>
              </w:rPr>
              <w:t>4.《中华人民共和国民办教育促进法》（2018年12月29日修订）第六十二条。</w:t>
            </w:r>
          </w:p>
        </w:tc>
      </w:tr>
      <w:tr w14:paraId="5E89D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7" w:hRule="atLeast"/>
        </w:trPr>
        <w:tc>
          <w:tcPr>
            <w:tcW w:w="732" w:type="dxa"/>
            <w:tcBorders>
              <w:top w:val="single" w:color="auto" w:sz="4" w:space="0"/>
              <w:left w:val="single" w:color="auto" w:sz="4" w:space="0"/>
              <w:bottom w:val="single" w:color="auto" w:sz="4" w:space="0"/>
              <w:right w:val="single" w:color="auto" w:sz="4" w:space="0"/>
            </w:tcBorders>
            <w:vAlign w:val="center"/>
          </w:tcPr>
          <w:p w14:paraId="6D6C9F0A">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4</w:t>
            </w:r>
          </w:p>
        </w:tc>
        <w:tc>
          <w:tcPr>
            <w:tcW w:w="1312" w:type="dxa"/>
            <w:tcBorders>
              <w:top w:val="single" w:color="auto" w:sz="4" w:space="0"/>
              <w:left w:val="single" w:color="auto" w:sz="4" w:space="0"/>
              <w:bottom w:val="single" w:color="auto" w:sz="4" w:space="0"/>
              <w:right w:val="single" w:color="auto" w:sz="4" w:space="0"/>
            </w:tcBorders>
            <w:vAlign w:val="center"/>
          </w:tcPr>
          <w:p w14:paraId="7F576CF9">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中小学规范办学行为检查</w:t>
            </w:r>
          </w:p>
        </w:tc>
        <w:tc>
          <w:tcPr>
            <w:tcW w:w="806" w:type="dxa"/>
            <w:tcBorders>
              <w:top w:val="single" w:color="auto" w:sz="4" w:space="0"/>
              <w:left w:val="single" w:color="auto" w:sz="4" w:space="0"/>
              <w:bottom w:val="single" w:color="auto" w:sz="4" w:space="0"/>
              <w:right w:val="single" w:color="auto" w:sz="4" w:space="0"/>
            </w:tcBorders>
            <w:vAlign w:val="center"/>
          </w:tcPr>
          <w:p w14:paraId="3205A5C9">
            <w:pPr>
              <w:widowControl/>
              <w:spacing w:line="400" w:lineRule="exact"/>
              <w:jc w:val="left"/>
              <w:rPr>
                <w:rFonts w:ascii="仿宋_GB2312" w:hAnsi="宋体" w:eastAsia="仿宋_GB2312" w:cs="宋体"/>
                <w:kern w:val="0"/>
                <w:sz w:val="24"/>
              </w:rPr>
            </w:pPr>
            <w:r>
              <w:rPr>
                <w:rFonts w:hint="eastAsia" w:ascii="仿宋_GB2312" w:hAnsi="宋体" w:eastAsia="仿宋_GB2312" w:cs="宋体"/>
                <w:kern w:val="0"/>
                <w:sz w:val="24"/>
              </w:rPr>
              <w:t>市、县级教育行政部门和中小学校</w:t>
            </w:r>
          </w:p>
        </w:tc>
        <w:tc>
          <w:tcPr>
            <w:tcW w:w="1838" w:type="dxa"/>
            <w:tcBorders>
              <w:top w:val="single" w:color="auto" w:sz="4" w:space="0"/>
              <w:left w:val="single" w:color="auto" w:sz="4" w:space="0"/>
              <w:bottom w:val="single" w:color="auto" w:sz="4" w:space="0"/>
              <w:right w:val="single" w:color="auto" w:sz="4" w:space="0"/>
            </w:tcBorders>
            <w:vAlign w:val="center"/>
          </w:tcPr>
          <w:p w14:paraId="643E1DFB">
            <w:pPr>
              <w:widowControl/>
              <w:spacing w:line="400" w:lineRule="exact"/>
              <w:rPr>
                <w:rFonts w:ascii="仿宋_GB2312" w:hAnsi="宋体" w:eastAsia="仿宋_GB2312" w:cs="宋体"/>
                <w:kern w:val="0"/>
                <w:sz w:val="24"/>
              </w:rPr>
            </w:pPr>
            <w:r>
              <w:rPr>
                <w:rFonts w:hint="eastAsia" w:ascii="仿宋_GB2312" w:hAnsi="宋体" w:eastAsia="仿宋_GB2312" w:cs="宋体"/>
                <w:kern w:val="0"/>
                <w:sz w:val="24"/>
              </w:rPr>
              <w:t>市、县教育行政部门管理教育、中小学教育组织教学等办学行为是否符合要求</w:t>
            </w:r>
          </w:p>
        </w:tc>
        <w:tc>
          <w:tcPr>
            <w:tcW w:w="1144" w:type="dxa"/>
            <w:tcBorders>
              <w:top w:val="single" w:color="auto" w:sz="4" w:space="0"/>
              <w:left w:val="single" w:color="auto" w:sz="4" w:space="0"/>
              <w:bottom w:val="single" w:color="auto" w:sz="4" w:space="0"/>
              <w:right w:val="single" w:color="auto" w:sz="4" w:space="0"/>
            </w:tcBorders>
            <w:vAlign w:val="center"/>
          </w:tcPr>
          <w:p w14:paraId="1A1EABA0">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一般检查事项</w:t>
            </w:r>
          </w:p>
        </w:tc>
        <w:tc>
          <w:tcPr>
            <w:tcW w:w="1256" w:type="dxa"/>
            <w:tcBorders>
              <w:top w:val="single" w:color="auto" w:sz="4" w:space="0"/>
              <w:left w:val="single" w:color="auto" w:sz="4" w:space="0"/>
              <w:bottom w:val="single" w:color="auto" w:sz="4" w:space="0"/>
              <w:right w:val="single" w:color="auto" w:sz="4" w:space="0"/>
            </w:tcBorders>
            <w:vAlign w:val="center"/>
          </w:tcPr>
          <w:p w14:paraId="77A1BA58">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现场检查、网络检查</w:t>
            </w:r>
          </w:p>
        </w:tc>
        <w:tc>
          <w:tcPr>
            <w:tcW w:w="1575" w:type="dxa"/>
            <w:tcBorders>
              <w:top w:val="single" w:color="auto" w:sz="4" w:space="0"/>
              <w:left w:val="single" w:color="auto" w:sz="4" w:space="0"/>
              <w:bottom w:val="single" w:color="auto" w:sz="4" w:space="0"/>
              <w:right w:val="single" w:color="auto" w:sz="4" w:space="0"/>
            </w:tcBorders>
            <w:vAlign w:val="center"/>
          </w:tcPr>
          <w:p w14:paraId="4B1A0537">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全年抽查比例不低于5%，抽查频次根据监管需要确定</w:t>
            </w:r>
          </w:p>
        </w:tc>
        <w:tc>
          <w:tcPr>
            <w:tcW w:w="1537" w:type="dxa"/>
            <w:tcBorders>
              <w:top w:val="single" w:color="auto" w:sz="4" w:space="0"/>
              <w:left w:val="single" w:color="auto" w:sz="4" w:space="0"/>
              <w:bottom w:val="single" w:color="auto" w:sz="4" w:space="0"/>
              <w:right w:val="single" w:color="auto" w:sz="4" w:space="0"/>
            </w:tcBorders>
            <w:vAlign w:val="center"/>
          </w:tcPr>
          <w:p w14:paraId="0521002D">
            <w:pPr>
              <w:widowControl/>
              <w:spacing w:line="400" w:lineRule="exact"/>
              <w:rPr>
                <w:rFonts w:ascii="仿宋_GB2312" w:hAnsi="宋体" w:eastAsia="仿宋_GB2312" w:cs="宋体"/>
                <w:kern w:val="0"/>
                <w:sz w:val="24"/>
              </w:rPr>
            </w:pPr>
            <w:r>
              <w:rPr>
                <w:rFonts w:hint="eastAsia" w:ascii="仿宋_GB2312" w:hAnsi="宋体" w:eastAsia="仿宋_GB2312" w:cs="宋体"/>
                <w:kern w:val="0"/>
                <w:sz w:val="24"/>
              </w:rPr>
              <w:t>省、市、县级教育行政部门</w:t>
            </w:r>
          </w:p>
        </w:tc>
        <w:tc>
          <w:tcPr>
            <w:tcW w:w="5098" w:type="dxa"/>
            <w:tcBorders>
              <w:top w:val="single" w:color="auto" w:sz="4" w:space="0"/>
              <w:left w:val="single" w:color="auto" w:sz="4" w:space="0"/>
              <w:bottom w:val="single" w:color="auto" w:sz="4" w:space="0"/>
              <w:right w:val="single" w:color="auto" w:sz="4" w:space="0"/>
            </w:tcBorders>
            <w:vAlign w:val="center"/>
          </w:tcPr>
          <w:p w14:paraId="143DB127">
            <w:pPr>
              <w:widowControl/>
              <w:spacing w:line="360" w:lineRule="exact"/>
              <w:rPr>
                <w:rFonts w:hint="eastAsia" w:ascii="仿宋_GB2312" w:hAnsi="宋体" w:eastAsia="仿宋_GB2312" w:cs="宋体"/>
                <w:kern w:val="0"/>
                <w:sz w:val="24"/>
              </w:rPr>
            </w:pPr>
            <w:r>
              <w:rPr>
                <w:rFonts w:hint="eastAsia" w:ascii="仿宋_GB2312" w:hAnsi="宋体" w:eastAsia="仿宋_GB2312" w:cs="宋体"/>
                <w:kern w:val="0"/>
                <w:sz w:val="24"/>
              </w:rPr>
              <w:t>1.《山东省义务教育条例》（2009年11月通过）第五十二条。</w:t>
            </w:r>
          </w:p>
          <w:p w14:paraId="194DD58C">
            <w:pPr>
              <w:widowControl/>
              <w:spacing w:line="360" w:lineRule="exact"/>
              <w:rPr>
                <w:rFonts w:hint="eastAsia" w:ascii="仿宋_GB2312" w:hAnsi="宋体" w:eastAsia="仿宋_GB2312" w:cs="宋体"/>
                <w:kern w:val="0"/>
                <w:sz w:val="24"/>
              </w:rPr>
            </w:pPr>
            <w:r>
              <w:rPr>
                <w:rFonts w:hint="eastAsia" w:ascii="仿宋_GB2312" w:hAnsi="宋体" w:eastAsia="仿宋_GB2312" w:cs="宋体"/>
                <w:kern w:val="0"/>
                <w:sz w:val="24"/>
              </w:rPr>
              <w:t>2.《山东省对违规从事普通中小学办学行为责任追究办法》（省政府令第255 号）。</w:t>
            </w:r>
          </w:p>
          <w:p w14:paraId="17DD7C8B">
            <w:pPr>
              <w:widowControl/>
              <w:spacing w:line="360" w:lineRule="exact"/>
              <w:rPr>
                <w:rFonts w:ascii="仿宋_GB2312" w:hAnsi="宋体" w:eastAsia="仿宋_GB2312" w:cs="宋体"/>
                <w:kern w:val="0"/>
                <w:sz w:val="24"/>
              </w:rPr>
            </w:pPr>
            <w:r>
              <w:rPr>
                <w:rFonts w:hint="eastAsia" w:ascii="仿宋_GB2312" w:hAnsi="宋体" w:eastAsia="仿宋_GB2312" w:cs="宋体"/>
                <w:kern w:val="0"/>
                <w:sz w:val="24"/>
              </w:rPr>
              <w:t>3.《山东省教育厅关于印发〈山东省普通中小学办学基本规范〉的通知》第四条。</w:t>
            </w:r>
          </w:p>
        </w:tc>
      </w:tr>
      <w:tr w14:paraId="33785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1" w:hRule="atLeast"/>
        </w:trPr>
        <w:tc>
          <w:tcPr>
            <w:tcW w:w="732" w:type="dxa"/>
            <w:tcBorders>
              <w:top w:val="single" w:color="auto" w:sz="4" w:space="0"/>
              <w:left w:val="single" w:color="auto" w:sz="4" w:space="0"/>
              <w:bottom w:val="single" w:color="auto" w:sz="4" w:space="0"/>
              <w:right w:val="single" w:color="auto" w:sz="4" w:space="0"/>
            </w:tcBorders>
            <w:vAlign w:val="center"/>
          </w:tcPr>
          <w:p w14:paraId="2A4B6487">
            <w:pPr>
              <w:widowControl/>
              <w:spacing w:line="340" w:lineRule="exact"/>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5</w:t>
            </w:r>
          </w:p>
        </w:tc>
        <w:tc>
          <w:tcPr>
            <w:tcW w:w="1312" w:type="dxa"/>
            <w:tcBorders>
              <w:top w:val="single" w:color="auto" w:sz="4" w:space="0"/>
              <w:left w:val="single" w:color="auto" w:sz="4" w:space="0"/>
              <w:bottom w:val="single" w:color="auto" w:sz="4" w:space="0"/>
              <w:right w:val="single" w:color="auto" w:sz="4" w:space="0"/>
            </w:tcBorders>
            <w:vAlign w:val="center"/>
          </w:tcPr>
          <w:p w14:paraId="51189DF4">
            <w:pPr>
              <w:widowControl/>
              <w:spacing w:line="400" w:lineRule="exact"/>
              <w:jc w:val="center"/>
              <w:rPr>
                <w:rFonts w:hint="eastAsia" w:ascii="仿宋_GB2312" w:hAnsi="宋体" w:eastAsia="仿宋_GB2312" w:cs="宋体"/>
                <w:kern w:val="0"/>
                <w:sz w:val="24"/>
                <w:lang w:eastAsia="zh-CN"/>
              </w:rPr>
            </w:pPr>
            <w:r>
              <w:rPr>
                <w:rFonts w:hint="eastAsia" w:ascii="仿宋_GB2312" w:hAnsi="宋体" w:eastAsia="仿宋_GB2312" w:cs="宋体"/>
                <w:kern w:val="0"/>
                <w:sz w:val="24"/>
              </w:rPr>
              <w:t>对幼儿园保育、教育工作的监督、评估</w:t>
            </w:r>
          </w:p>
        </w:tc>
        <w:tc>
          <w:tcPr>
            <w:tcW w:w="806" w:type="dxa"/>
            <w:tcBorders>
              <w:top w:val="single" w:color="auto" w:sz="4" w:space="0"/>
              <w:left w:val="single" w:color="auto" w:sz="4" w:space="0"/>
              <w:bottom w:val="single" w:color="auto" w:sz="4" w:space="0"/>
              <w:right w:val="single" w:color="auto" w:sz="4" w:space="0"/>
            </w:tcBorders>
            <w:vAlign w:val="center"/>
          </w:tcPr>
          <w:p w14:paraId="3433A7A1">
            <w:pPr>
              <w:widowControl/>
              <w:spacing w:line="400" w:lineRule="exact"/>
              <w:jc w:val="left"/>
              <w:rPr>
                <w:rFonts w:ascii="仿宋_GB2312" w:hAnsi="宋体" w:eastAsia="仿宋_GB2312" w:cs="宋体"/>
                <w:kern w:val="0"/>
                <w:sz w:val="24"/>
              </w:rPr>
            </w:pPr>
            <w:r>
              <w:rPr>
                <w:rFonts w:hint="eastAsia" w:ascii="仿宋_GB2312" w:hAnsi="宋体" w:eastAsia="仿宋_GB2312" w:cs="宋体"/>
                <w:kern w:val="0"/>
                <w:sz w:val="24"/>
              </w:rPr>
              <w:t>市、县级教育行政部幼儿园中小学校</w:t>
            </w:r>
          </w:p>
        </w:tc>
        <w:tc>
          <w:tcPr>
            <w:tcW w:w="1838" w:type="dxa"/>
            <w:tcBorders>
              <w:top w:val="single" w:color="auto" w:sz="4" w:space="0"/>
              <w:left w:val="single" w:color="auto" w:sz="4" w:space="0"/>
              <w:bottom w:val="single" w:color="auto" w:sz="4" w:space="0"/>
              <w:right w:val="single" w:color="auto" w:sz="4" w:space="0"/>
            </w:tcBorders>
            <w:vAlign w:val="center"/>
          </w:tcPr>
          <w:p w14:paraId="73FE3EDC">
            <w:pPr>
              <w:widowControl/>
              <w:spacing w:line="400" w:lineRule="exact"/>
              <w:jc w:val="left"/>
              <w:rPr>
                <w:rFonts w:ascii="仿宋_GB2312" w:hAnsi="宋体" w:eastAsia="仿宋_GB2312" w:cs="宋体"/>
                <w:kern w:val="0"/>
                <w:sz w:val="24"/>
              </w:rPr>
            </w:pPr>
            <w:r>
              <w:rPr>
                <w:rFonts w:hint="eastAsia" w:ascii="仿宋_GB2312" w:hAnsi="宋体" w:eastAsia="仿宋_GB2312" w:cs="宋体"/>
                <w:kern w:val="0"/>
                <w:sz w:val="24"/>
              </w:rPr>
              <w:t>幼儿园办园行为是否符合要求</w:t>
            </w:r>
          </w:p>
        </w:tc>
        <w:tc>
          <w:tcPr>
            <w:tcW w:w="1144" w:type="dxa"/>
            <w:tcBorders>
              <w:top w:val="single" w:color="auto" w:sz="4" w:space="0"/>
              <w:left w:val="single" w:color="auto" w:sz="4" w:space="0"/>
              <w:bottom w:val="single" w:color="auto" w:sz="4" w:space="0"/>
              <w:right w:val="single" w:color="auto" w:sz="4" w:space="0"/>
            </w:tcBorders>
            <w:vAlign w:val="center"/>
          </w:tcPr>
          <w:p w14:paraId="2FF49A0E">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一般检查事项</w:t>
            </w:r>
          </w:p>
        </w:tc>
        <w:tc>
          <w:tcPr>
            <w:tcW w:w="1256" w:type="dxa"/>
            <w:tcBorders>
              <w:top w:val="single" w:color="auto" w:sz="4" w:space="0"/>
              <w:left w:val="single" w:color="auto" w:sz="4" w:space="0"/>
              <w:bottom w:val="single" w:color="auto" w:sz="4" w:space="0"/>
              <w:right w:val="single" w:color="auto" w:sz="4" w:space="0"/>
            </w:tcBorders>
            <w:vAlign w:val="center"/>
          </w:tcPr>
          <w:p w14:paraId="4E1D0D86">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现场检查、网络查验</w:t>
            </w:r>
          </w:p>
        </w:tc>
        <w:tc>
          <w:tcPr>
            <w:tcW w:w="1575" w:type="dxa"/>
            <w:tcBorders>
              <w:top w:val="single" w:color="auto" w:sz="4" w:space="0"/>
              <w:left w:val="single" w:color="auto" w:sz="4" w:space="0"/>
              <w:bottom w:val="single" w:color="auto" w:sz="4" w:space="0"/>
              <w:right w:val="single" w:color="auto" w:sz="4" w:space="0"/>
            </w:tcBorders>
            <w:vAlign w:val="center"/>
          </w:tcPr>
          <w:p w14:paraId="0FBA7A22">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全年抽查比例不低于5%，抽查频次根据监管需要确定</w:t>
            </w:r>
          </w:p>
        </w:tc>
        <w:tc>
          <w:tcPr>
            <w:tcW w:w="1537" w:type="dxa"/>
            <w:tcBorders>
              <w:top w:val="single" w:color="auto" w:sz="4" w:space="0"/>
              <w:left w:val="single" w:color="auto" w:sz="4" w:space="0"/>
              <w:bottom w:val="single" w:color="auto" w:sz="4" w:space="0"/>
              <w:right w:val="single" w:color="auto" w:sz="4" w:space="0"/>
            </w:tcBorders>
            <w:vAlign w:val="center"/>
          </w:tcPr>
          <w:p w14:paraId="5E9B64A3">
            <w:pPr>
              <w:widowControl/>
              <w:spacing w:line="400" w:lineRule="exact"/>
              <w:jc w:val="center"/>
              <w:rPr>
                <w:rFonts w:ascii="仿宋_GB2312" w:hAnsi="宋体" w:eastAsia="仿宋_GB2312" w:cs="宋体"/>
                <w:kern w:val="0"/>
                <w:sz w:val="24"/>
              </w:rPr>
            </w:pPr>
            <w:r>
              <w:rPr>
                <w:rFonts w:hint="eastAsia" w:ascii="仿宋_GB2312" w:hAnsi="宋体" w:eastAsia="仿宋_GB2312" w:cs="宋体"/>
                <w:kern w:val="0"/>
                <w:sz w:val="24"/>
              </w:rPr>
              <w:t>省、市、县级教育行政部门</w:t>
            </w:r>
          </w:p>
        </w:tc>
        <w:tc>
          <w:tcPr>
            <w:tcW w:w="5098" w:type="dxa"/>
            <w:tcBorders>
              <w:top w:val="single" w:color="auto" w:sz="4" w:space="0"/>
              <w:left w:val="single" w:color="auto" w:sz="4" w:space="0"/>
              <w:bottom w:val="single" w:color="auto" w:sz="4" w:space="0"/>
              <w:right w:val="single" w:color="auto" w:sz="4" w:space="0"/>
            </w:tcBorders>
            <w:vAlign w:val="center"/>
          </w:tcPr>
          <w:p w14:paraId="7F0E69AE">
            <w:pPr>
              <w:widowControl/>
              <w:spacing w:line="400" w:lineRule="exact"/>
              <w:jc w:val="left"/>
              <w:rPr>
                <w:rFonts w:hint="eastAsia" w:ascii="仿宋_GB2312" w:hAnsi="宋体" w:eastAsia="仿宋_GB2312" w:cs="宋体"/>
                <w:kern w:val="0"/>
                <w:sz w:val="24"/>
              </w:rPr>
            </w:pPr>
            <w:r>
              <w:rPr>
                <w:rFonts w:hint="eastAsia" w:ascii="仿宋_GB2312" w:hAnsi="宋体" w:eastAsia="仿宋_GB2312" w:cs="宋体"/>
                <w:kern w:val="0"/>
                <w:sz w:val="24"/>
              </w:rPr>
              <w:t>1.《山东省学前教育条例》第七十四条。</w:t>
            </w:r>
          </w:p>
          <w:p w14:paraId="11F2158A">
            <w:pPr>
              <w:widowControl/>
              <w:spacing w:line="400" w:lineRule="exact"/>
              <w:jc w:val="left"/>
              <w:rPr>
                <w:rFonts w:ascii="仿宋_GB2312" w:hAnsi="宋体" w:eastAsia="仿宋_GB2312" w:cs="宋体"/>
                <w:kern w:val="0"/>
                <w:sz w:val="24"/>
              </w:rPr>
            </w:pPr>
            <w:r>
              <w:rPr>
                <w:rFonts w:hint="eastAsia" w:ascii="仿宋_GB2312" w:hAnsi="宋体" w:eastAsia="仿宋_GB2312" w:cs="宋体"/>
                <w:kern w:val="0"/>
                <w:sz w:val="24"/>
              </w:rPr>
              <w:t>2.《山东省幼儿园办园行为督导评估实施方案》。</w:t>
            </w:r>
          </w:p>
        </w:tc>
      </w:tr>
      <w:tr w14:paraId="66BEC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1" w:hRule="atLeast"/>
        </w:trPr>
        <w:tc>
          <w:tcPr>
            <w:tcW w:w="732" w:type="dxa"/>
            <w:tcBorders>
              <w:top w:val="single" w:color="auto" w:sz="4" w:space="0"/>
              <w:left w:val="single" w:color="auto" w:sz="4" w:space="0"/>
              <w:bottom w:val="single" w:color="auto" w:sz="4" w:space="0"/>
              <w:right w:val="single" w:color="auto" w:sz="4" w:space="0"/>
            </w:tcBorders>
            <w:vAlign w:val="center"/>
          </w:tcPr>
          <w:p w14:paraId="785C1AD7">
            <w:pPr>
              <w:widowControl/>
              <w:spacing w:line="340" w:lineRule="exact"/>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6</w:t>
            </w:r>
          </w:p>
        </w:tc>
        <w:tc>
          <w:tcPr>
            <w:tcW w:w="1312" w:type="dxa"/>
            <w:tcBorders>
              <w:top w:val="single" w:color="auto" w:sz="4" w:space="0"/>
              <w:left w:val="single" w:color="auto" w:sz="4" w:space="0"/>
              <w:bottom w:val="single" w:color="auto" w:sz="4" w:space="0"/>
              <w:right w:val="single" w:color="auto" w:sz="4" w:space="0"/>
            </w:tcBorders>
            <w:vAlign w:val="center"/>
          </w:tcPr>
          <w:p w14:paraId="30DDDE6B">
            <w:pPr>
              <w:widowControl/>
              <w:spacing w:line="340" w:lineRule="exact"/>
              <w:jc w:val="left"/>
              <w:rPr>
                <w:rFonts w:ascii="仿宋_GB2312" w:hAnsi="宋体" w:eastAsia="仿宋_GB2312" w:cs="宋体"/>
                <w:color w:val="000000"/>
                <w:kern w:val="0"/>
                <w:sz w:val="24"/>
              </w:rPr>
            </w:pPr>
            <w:r>
              <w:rPr>
                <w:rFonts w:hint="eastAsia" w:ascii="仿宋_GB2312" w:hAnsi="宋体" w:eastAsia="仿宋_GB2312" w:cs="宋体"/>
                <w:color w:val="000000"/>
                <w:kern w:val="0"/>
                <w:sz w:val="24"/>
              </w:rPr>
              <w:t>对残疾儿童、少年实施义务教育工作的监督、指导、检查</w:t>
            </w:r>
          </w:p>
        </w:tc>
        <w:tc>
          <w:tcPr>
            <w:tcW w:w="806" w:type="dxa"/>
            <w:tcBorders>
              <w:top w:val="single" w:color="auto" w:sz="4" w:space="0"/>
              <w:left w:val="single" w:color="auto" w:sz="4" w:space="0"/>
              <w:bottom w:val="single" w:color="auto" w:sz="4" w:space="0"/>
              <w:right w:val="single" w:color="auto" w:sz="4" w:space="0"/>
            </w:tcBorders>
            <w:vAlign w:val="center"/>
          </w:tcPr>
          <w:p w14:paraId="73F61222">
            <w:pPr>
              <w:widowControl/>
              <w:spacing w:line="340" w:lineRule="exact"/>
              <w:jc w:val="left"/>
              <w:rPr>
                <w:rFonts w:ascii="仿宋_GB2312" w:hAnsi="宋体" w:eastAsia="仿宋_GB2312" w:cs="宋体"/>
                <w:color w:val="000000"/>
                <w:kern w:val="0"/>
                <w:sz w:val="24"/>
              </w:rPr>
            </w:pPr>
            <w:r>
              <w:rPr>
                <w:rFonts w:hint="eastAsia" w:ascii="仿宋_GB2312" w:hAnsi="宋体" w:eastAsia="仿宋_GB2312" w:cs="宋体"/>
                <w:color w:val="000000"/>
                <w:kern w:val="0"/>
                <w:sz w:val="24"/>
              </w:rPr>
              <w:t>市、县级教育行政部门和中小学校</w:t>
            </w:r>
          </w:p>
        </w:tc>
        <w:tc>
          <w:tcPr>
            <w:tcW w:w="1838" w:type="dxa"/>
            <w:tcBorders>
              <w:top w:val="single" w:color="auto" w:sz="4" w:space="0"/>
              <w:left w:val="single" w:color="auto" w:sz="4" w:space="0"/>
              <w:bottom w:val="single" w:color="auto" w:sz="4" w:space="0"/>
              <w:right w:val="single" w:color="auto" w:sz="4" w:space="0"/>
            </w:tcBorders>
            <w:vAlign w:val="center"/>
          </w:tcPr>
          <w:p w14:paraId="0C3C83C8">
            <w:pPr>
              <w:widowControl/>
              <w:spacing w:line="340" w:lineRule="exact"/>
              <w:rPr>
                <w:rFonts w:ascii="仿宋_GB2312" w:hAnsi="宋体" w:eastAsia="仿宋_GB2312" w:cs="宋体"/>
                <w:color w:val="000000"/>
                <w:kern w:val="0"/>
                <w:sz w:val="24"/>
              </w:rPr>
            </w:pPr>
            <w:r>
              <w:rPr>
                <w:rFonts w:hint="eastAsia" w:ascii="仿宋_GB2312" w:hAnsi="宋体" w:eastAsia="仿宋_GB2312" w:cs="宋体"/>
                <w:color w:val="000000"/>
                <w:kern w:val="0"/>
                <w:sz w:val="24"/>
              </w:rPr>
              <w:t>所有具备接受教育能力的适龄残疾儿童少年是否都已接受义务教育</w:t>
            </w:r>
          </w:p>
        </w:tc>
        <w:tc>
          <w:tcPr>
            <w:tcW w:w="1144" w:type="dxa"/>
            <w:tcBorders>
              <w:top w:val="single" w:color="auto" w:sz="4" w:space="0"/>
              <w:left w:val="single" w:color="auto" w:sz="4" w:space="0"/>
              <w:bottom w:val="single" w:color="auto" w:sz="4" w:space="0"/>
              <w:right w:val="single" w:color="auto" w:sz="4" w:space="0"/>
            </w:tcBorders>
            <w:vAlign w:val="center"/>
          </w:tcPr>
          <w:p w14:paraId="2BBB61B1">
            <w:pPr>
              <w:widowControl/>
              <w:spacing w:line="340" w:lineRule="exact"/>
              <w:jc w:val="left"/>
              <w:rPr>
                <w:rFonts w:ascii="仿宋_GB2312" w:hAnsi="宋体" w:eastAsia="仿宋_GB2312" w:cs="宋体"/>
                <w:color w:val="000000"/>
                <w:kern w:val="0"/>
                <w:sz w:val="24"/>
              </w:rPr>
            </w:pPr>
            <w:r>
              <w:rPr>
                <w:rFonts w:hint="eastAsia" w:ascii="仿宋_GB2312" w:hAnsi="宋体" w:eastAsia="仿宋_GB2312" w:cs="宋体"/>
                <w:color w:val="000000"/>
                <w:kern w:val="0"/>
                <w:sz w:val="24"/>
              </w:rPr>
              <w:t>一般检查事项</w:t>
            </w:r>
          </w:p>
        </w:tc>
        <w:tc>
          <w:tcPr>
            <w:tcW w:w="1256" w:type="dxa"/>
            <w:tcBorders>
              <w:top w:val="single" w:color="auto" w:sz="4" w:space="0"/>
              <w:left w:val="single" w:color="auto" w:sz="4" w:space="0"/>
              <w:bottom w:val="single" w:color="auto" w:sz="4" w:space="0"/>
              <w:right w:val="single" w:color="auto" w:sz="4" w:space="0"/>
            </w:tcBorders>
            <w:vAlign w:val="center"/>
          </w:tcPr>
          <w:p w14:paraId="18EDFC7E">
            <w:pPr>
              <w:widowControl/>
              <w:spacing w:line="340" w:lineRule="exact"/>
              <w:jc w:val="left"/>
              <w:rPr>
                <w:rFonts w:ascii="仿宋_GB2312" w:hAnsi="宋体" w:eastAsia="仿宋_GB2312" w:cs="宋体"/>
                <w:color w:val="000000"/>
                <w:kern w:val="0"/>
                <w:sz w:val="24"/>
              </w:rPr>
            </w:pPr>
            <w:r>
              <w:rPr>
                <w:rFonts w:hint="eastAsia" w:ascii="仿宋_GB2312" w:hAnsi="宋体" w:eastAsia="仿宋_GB2312" w:cs="宋体"/>
                <w:color w:val="000000"/>
                <w:kern w:val="0"/>
                <w:sz w:val="24"/>
              </w:rPr>
              <w:t>现场检查、网络查验</w:t>
            </w:r>
          </w:p>
        </w:tc>
        <w:tc>
          <w:tcPr>
            <w:tcW w:w="1575" w:type="dxa"/>
            <w:tcBorders>
              <w:top w:val="single" w:color="auto" w:sz="4" w:space="0"/>
              <w:left w:val="single" w:color="auto" w:sz="4" w:space="0"/>
              <w:bottom w:val="single" w:color="auto" w:sz="4" w:space="0"/>
              <w:right w:val="single" w:color="auto" w:sz="4" w:space="0"/>
            </w:tcBorders>
            <w:vAlign w:val="center"/>
          </w:tcPr>
          <w:p w14:paraId="17495B0F">
            <w:pPr>
              <w:widowControl/>
              <w:spacing w:line="340" w:lineRule="exact"/>
              <w:jc w:val="left"/>
              <w:rPr>
                <w:rFonts w:ascii="仿宋_GB2312" w:hAnsi="宋体" w:eastAsia="仿宋_GB2312" w:cs="宋体"/>
                <w:color w:val="000000"/>
                <w:kern w:val="0"/>
                <w:sz w:val="24"/>
              </w:rPr>
            </w:pPr>
            <w:r>
              <w:rPr>
                <w:rFonts w:hint="eastAsia" w:ascii="仿宋_GB2312" w:hAnsi="宋体" w:eastAsia="仿宋_GB2312" w:cs="宋体"/>
                <w:kern w:val="0"/>
                <w:sz w:val="24"/>
              </w:rPr>
              <w:t>全年抽查比例不低于5%，抽查频次根据监管需要确定</w:t>
            </w:r>
          </w:p>
        </w:tc>
        <w:tc>
          <w:tcPr>
            <w:tcW w:w="1537" w:type="dxa"/>
            <w:tcBorders>
              <w:top w:val="single" w:color="auto" w:sz="4" w:space="0"/>
              <w:left w:val="single" w:color="auto" w:sz="4" w:space="0"/>
              <w:bottom w:val="single" w:color="auto" w:sz="4" w:space="0"/>
              <w:right w:val="single" w:color="auto" w:sz="4" w:space="0"/>
            </w:tcBorders>
            <w:vAlign w:val="center"/>
          </w:tcPr>
          <w:p w14:paraId="7CA3CE97">
            <w:pPr>
              <w:widowControl/>
              <w:spacing w:line="340" w:lineRule="exact"/>
              <w:jc w:val="left"/>
              <w:rPr>
                <w:rFonts w:ascii="仿宋_GB2312" w:hAnsi="宋体" w:eastAsia="仿宋_GB2312" w:cs="宋体"/>
                <w:color w:val="000000"/>
                <w:kern w:val="0"/>
                <w:sz w:val="24"/>
              </w:rPr>
            </w:pPr>
            <w:r>
              <w:rPr>
                <w:rFonts w:hint="eastAsia" w:ascii="仿宋_GB2312" w:hAnsi="宋体" w:eastAsia="仿宋_GB2312" w:cs="宋体"/>
                <w:color w:val="000000"/>
                <w:kern w:val="0"/>
                <w:sz w:val="24"/>
                <w:lang w:eastAsia="zh-CN"/>
              </w:rPr>
              <w:t>省、市、县级教育行政部门</w:t>
            </w:r>
          </w:p>
        </w:tc>
        <w:tc>
          <w:tcPr>
            <w:tcW w:w="5098" w:type="dxa"/>
            <w:tcBorders>
              <w:top w:val="single" w:color="auto" w:sz="4" w:space="0"/>
              <w:left w:val="single" w:color="auto" w:sz="4" w:space="0"/>
              <w:bottom w:val="single" w:color="auto" w:sz="4" w:space="0"/>
              <w:right w:val="single" w:color="auto" w:sz="4" w:space="0"/>
            </w:tcBorders>
            <w:vAlign w:val="center"/>
          </w:tcPr>
          <w:p w14:paraId="402E766B">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1.《残疾人教育条例》第七条。</w:t>
            </w:r>
          </w:p>
          <w:p w14:paraId="717C79DB">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2.《山东省义务教育条例》第二十条。</w:t>
            </w:r>
          </w:p>
          <w:p w14:paraId="6F95A1C4">
            <w:pPr>
              <w:widowControl/>
              <w:spacing w:line="340" w:lineRule="exact"/>
              <w:jc w:val="left"/>
              <w:rPr>
                <w:rFonts w:ascii="仿宋_GB2312" w:hAnsi="宋体" w:eastAsia="仿宋_GB2312" w:cs="宋体"/>
                <w:color w:val="000000"/>
                <w:kern w:val="0"/>
                <w:sz w:val="24"/>
              </w:rPr>
            </w:pPr>
            <w:r>
              <w:rPr>
                <w:rFonts w:hint="eastAsia" w:ascii="仿宋_GB2312" w:hAnsi="宋体" w:eastAsia="仿宋_GB2312" w:cs="宋体"/>
                <w:color w:val="000000"/>
                <w:kern w:val="0"/>
                <w:sz w:val="24"/>
              </w:rPr>
              <w:t>3.《关于做好全国适龄残疾儿童少年入学情况监测系统应用和管理工作的通知》（鲁教司函〔2020〕13号）。</w:t>
            </w:r>
          </w:p>
        </w:tc>
      </w:tr>
      <w:tr w14:paraId="28E88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1" w:hRule="atLeast"/>
        </w:trPr>
        <w:tc>
          <w:tcPr>
            <w:tcW w:w="732" w:type="dxa"/>
            <w:tcBorders>
              <w:top w:val="single" w:color="auto" w:sz="4" w:space="0"/>
              <w:left w:val="single" w:color="auto" w:sz="4" w:space="0"/>
              <w:bottom w:val="single" w:color="auto" w:sz="4" w:space="0"/>
              <w:right w:val="single" w:color="auto" w:sz="4" w:space="0"/>
            </w:tcBorders>
            <w:vAlign w:val="center"/>
          </w:tcPr>
          <w:p w14:paraId="6D278871">
            <w:pPr>
              <w:widowControl/>
              <w:spacing w:line="340" w:lineRule="exact"/>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lang w:val="en-US" w:eastAsia="zh-CN"/>
              </w:rPr>
              <w:t>7</w:t>
            </w:r>
          </w:p>
        </w:tc>
        <w:tc>
          <w:tcPr>
            <w:tcW w:w="1312" w:type="dxa"/>
            <w:tcBorders>
              <w:top w:val="single" w:color="auto" w:sz="4" w:space="0"/>
              <w:left w:val="single" w:color="auto" w:sz="4" w:space="0"/>
              <w:bottom w:val="single" w:color="auto" w:sz="4" w:space="0"/>
              <w:right w:val="single" w:color="auto" w:sz="4" w:space="0"/>
            </w:tcBorders>
            <w:vAlign w:val="center"/>
          </w:tcPr>
          <w:p w14:paraId="26103974">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对外籍人员子女学校教职员及学生名册、教材等情况的检查</w:t>
            </w:r>
          </w:p>
        </w:tc>
        <w:tc>
          <w:tcPr>
            <w:tcW w:w="806" w:type="dxa"/>
            <w:tcBorders>
              <w:top w:val="single" w:color="auto" w:sz="4" w:space="0"/>
              <w:left w:val="single" w:color="auto" w:sz="4" w:space="0"/>
              <w:bottom w:val="single" w:color="auto" w:sz="4" w:space="0"/>
              <w:right w:val="single" w:color="auto" w:sz="4" w:space="0"/>
            </w:tcBorders>
            <w:vAlign w:val="center"/>
          </w:tcPr>
          <w:p w14:paraId="506051B1">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外籍人员子女学校</w:t>
            </w:r>
          </w:p>
        </w:tc>
        <w:tc>
          <w:tcPr>
            <w:tcW w:w="1838" w:type="dxa"/>
            <w:tcBorders>
              <w:top w:val="single" w:color="auto" w:sz="4" w:space="0"/>
              <w:left w:val="single" w:color="auto" w:sz="4" w:space="0"/>
              <w:bottom w:val="single" w:color="auto" w:sz="4" w:space="0"/>
              <w:right w:val="single" w:color="auto" w:sz="4" w:space="0"/>
            </w:tcBorders>
            <w:vAlign w:val="center"/>
          </w:tcPr>
          <w:p w14:paraId="5DF3D9A8">
            <w:pPr>
              <w:widowControl/>
              <w:spacing w:line="340" w:lineRule="exac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学校教职员及学生名册、教材</w:t>
            </w:r>
          </w:p>
        </w:tc>
        <w:tc>
          <w:tcPr>
            <w:tcW w:w="1144" w:type="dxa"/>
            <w:tcBorders>
              <w:top w:val="single" w:color="auto" w:sz="4" w:space="0"/>
              <w:left w:val="single" w:color="auto" w:sz="4" w:space="0"/>
              <w:bottom w:val="single" w:color="auto" w:sz="4" w:space="0"/>
              <w:right w:val="single" w:color="auto" w:sz="4" w:space="0"/>
            </w:tcBorders>
            <w:vAlign w:val="center"/>
          </w:tcPr>
          <w:p w14:paraId="5D0C38D5">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一般检查事项</w:t>
            </w:r>
          </w:p>
        </w:tc>
        <w:tc>
          <w:tcPr>
            <w:tcW w:w="1256" w:type="dxa"/>
            <w:tcBorders>
              <w:top w:val="single" w:color="auto" w:sz="4" w:space="0"/>
              <w:left w:val="single" w:color="auto" w:sz="4" w:space="0"/>
              <w:bottom w:val="single" w:color="auto" w:sz="4" w:space="0"/>
              <w:right w:val="single" w:color="auto" w:sz="4" w:space="0"/>
            </w:tcBorders>
            <w:vAlign w:val="center"/>
          </w:tcPr>
          <w:p w14:paraId="28D036E2">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现场检查</w:t>
            </w:r>
          </w:p>
        </w:tc>
        <w:tc>
          <w:tcPr>
            <w:tcW w:w="1575" w:type="dxa"/>
            <w:tcBorders>
              <w:top w:val="single" w:color="auto" w:sz="4" w:space="0"/>
              <w:left w:val="single" w:color="auto" w:sz="4" w:space="0"/>
              <w:bottom w:val="single" w:color="auto" w:sz="4" w:space="0"/>
              <w:right w:val="single" w:color="auto" w:sz="4" w:space="0"/>
            </w:tcBorders>
            <w:vAlign w:val="center"/>
          </w:tcPr>
          <w:p w14:paraId="018BBBC8">
            <w:pPr>
              <w:widowControl/>
              <w:spacing w:line="340" w:lineRule="exact"/>
              <w:jc w:val="left"/>
              <w:rPr>
                <w:rFonts w:hint="eastAsia" w:ascii="仿宋_GB2312" w:hAnsi="宋体" w:eastAsia="仿宋_GB2312" w:cs="宋体"/>
                <w:kern w:val="0"/>
                <w:sz w:val="24"/>
              </w:rPr>
            </w:pPr>
            <w:r>
              <w:rPr>
                <w:rFonts w:hint="eastAsia" w:ascii="仿宋_GB2312" w:hAnsi="宋体" w:eastAsia="仿宋_GB2312" w:cs="宋体"/>
                <w:kern w:val="0"/>
                <w:sz w:val="24"/>
              </w:rPr>
              <w:t>全年抽查比例不低于5%，每年1次</w:t>
            </w:r>
          </w:p>
        </w:tc>
        <w:tc>
          <w:tcPr>
            <w:tcW w:w="1537" w:type="dxa"/>
            <w:tcBorders>
              <w:top w:val="single" w:color="auto" w:sz="4" w:space="0"/>
              <w:left w:val="single" w:color="auto" w:sz="4" w:space="0"/>
              <w:bottom w:val="single" w:color="auto" w:sz="4" w:space="0"/>
              <w:right w:val="single" w:color="auto" w:sz="4" w:space="0"/>
            </w:tcBorders>
            <w:vAlign w:val="center"/>
          </w:tcPr>
          <w:p w14:paraId="2E935987">
            <w:pPr>
              <w:widowControl/>
              <w:spacing w:line="340" w:lineRule="exact"/>
              <w:jc w:val="left"/>
              <w:rPr>
                <w:rFonts w:hint="eastAsia" w:ascii="仿宋_GB2312" w:hAnsi="宋体" w:eastAsia="仿宋_GB2312" w:cs="宋体"/>
                <w:color w:val="000000"/>
                <w:kern w:val="0"/>
                <w:sz w:val="24"/>
                <w:lang w:eastAsia="zh-CN"/>
              </w:rPr>
            </w:pPr>
            <w:r>
              <w:rPr>
                <w:rFonts w:hint="eastAsia" w:ascii="仿宋_GB2312" w:hAnsi="宋体" w:eastAsia="仿宋_GB2312" w:cs="宋体"/>
                <w:color w:val="000000"/>
                <w:kern w:val="0"/>
                <w:sz w:val="24"/>
                <w:lang w:eastAsia="zh-CN"/>
              </w:rPr>
              <w:t>市、县级教育行政部门</w:t>
            </w:r>
          </w:p>
        </w:tc>
        <w:tc>
          <w:tcPr>
            <w:tcW w:w="5098" w:type="dxa"/>
            <w:tcBorders>
              <w:top w:val="single" w:color="auto" w:sz="4" w:space="0"/>
              <w:left w:val="single" w:color="auto" w:sz="4" w:space="0"/>
              <w:bottom w:val="single" w:color="auto" w:sz="4" w:space="0"/>
              <w:right w:val="single" w:color="auto" w:sz="4" w:space="0"/>
            </w:tcBorders>
            <w:vAlign w:val="center"/>
          </w:tcPr>
          <w:p w14:paraId="400DA659">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1.《国家教育委员会关于开办外籍人员子女学校的暂行管理办法》（教外综〔1995〕130号）第十六条。</w:t>
            </w:r>
          </w:p>
          <w:p w14:paraId="7FDFF47A">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2.《山东省外籍人员子女学校管理办法》第二十一条、第二十二条。</w:t>
            </w:r>
          </w:p>
        </w:tc>
      </w:tr>
      <w:tr w14:paraId="38171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1" w:hRule="atLeast"/>
        </w:trPr>
        <w:tc>
          <w:tcPr>
            <w:tcW w:w="732" w:type="dxa"/>
            <w:tcBorders>
              <w:top w:val="single" w:color="auto" w:sz="4" w:space="0"/>
              <w:left w:val="single" w:color="auto" w:sz="4" w:space="0"/>
              <w:bottom w:val="single" w:color="auto" w:sz="4" w:space="0"/>
              <w:right w:val="single" w:color="auto" w:sz="4" w:space="0"/>
            </w:tcBorders>
            <w:vAlign w:val="center"/>
          </w:tcPr>
          <w:p w14:paraId="45E1E57F">
            <w:pPr>
              <w:widowControl/>
              <w:spacing w:line="340" w:lineRule="exact"/>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lang w:val="en-US" w:eastAsia="zh-CN"/>
              </w:rPr>
              <w:t>8</w:t>
            </w:r>
          </w:p>
        </w:tc>
        <w:tc>
          <w:tcPr>
            <w:tcW w:w="1312" w:type="dxa"/>
            <w:tcBorders>
              <w:top w:val="single" w:color="auto" w:sz="4" w:space="0"/>
              <w:left w:val="single" w:color="auto" w:sz="4" w:space="0"/>
              <w:bottom w:val="single" w:color="auto" w:sz="4" w:space="0"/>
              <w:right w:val="single" w:color="auto" w:sz="4" w:space="0"/>
            </w:tcBorders>
            <w:vAlign w:val="center"/>
          </w:tcPr>
          <w:p w14:paraId="7962BFBA">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对学生体质健康促进工作的监督检查</w:t>
            </w:r>
          </w:p>
        </w:tc>
        <w:tc>
          <w:tcPr>
            <w:tcW w:w="806" w:type="dxa"/>
            <w:tcBorders>
              <w:top w:val="single" w:color="auto" w:sz="4" w:space="0"/>
              <w:left w:val="single" w:color="auto" w:sz="4" w:space="0"/>
              <w:bottom w:val="single" w:color="auto" w:sz="4" w:space="0"/>
              <w:right w:val="single" w:color="auto" w:sz="4" w:space="0"/>
            </w:tcBorders>
            <w:vAlign w:val="center"/>
          </w:tcPr>
          <w:p w14:paraId="4710D8BD">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各级各类学校</w:t>
            </w:r>
          </w:p>
        </w:tc>
        <w:tc>
          <w:tcPr>
            <w:tcW w:w="1838" w:type="dxa"/>
            <w:tcBorders>
              <w:top w:val="single" w:color="auto" w:sz="4" w:space="0"/>
              <w:left w:val="single" w:color="auto" w:sz="4" w:space="0"/>
              <w:bottom w:val="single" w:color="auto" w:sz="4" w:space="0"/>
              <w:right w:val="single" w:color="auto" w:sz="4" w:space="0"/>
            </w:tcBorders>
            <w:vAlign w:val="center"/>
          </w:tcPr>
          <w:p w14:paraId="40763D7D">
            <w:pPr>
              <w:widowControl/>
              <w:spacing w:line="340" w:lineRule="exac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学校依法履行学生体质健康促进工作职责情况，体育课程开设、体育教师配备、体育场馆建设、学生体质健康测试以及学生健康体检、视力状况检测、食品安全管理等工作情况</w:t>
            </w:r>
          </w:p>
        </w:tc>
        <w:tc>
          <w:tcPr>
            <w:tcW w:w="1144" w:type="dxa"/>
            <w:tcBorders>
              <w:top w:val="single" w:color="auto" w:sz="4" w:space="0"/>
              <w:left w:val="single" w:color="auto" w:sz="4" w:space="0"/>
              <w:bottom w:val="single" w:color="auto" w:sz="4" w:space="0"/>
              <w:right w:val="single" w:color="auto" w:sz="4" w:space="0"/>
            </w:tcBorders>
            <w:vAlign w:val="center"/>
          </w:tcPr>
          <w:p w14:paraId="4B19AE29">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一般检查事项</w:t>
            </w:r>
          </w:p>
        </w:tc>
        <w:tc>
          <w:tcPr>
            <w:tcW w:w="1256" w:type="dxa"/>
            <w:tcBorders>
              <w:top w:val="single" w:color="auto" w:sz="4" w:space="0"/>
              <w:left w:val="single" w:color="auto" w:sz="4" w:space="0"/>
              <w:bottom w:val="single" w:color="auto" w:sz="4" w:space="0"/>
              <w:right w:val="single" w:color="auto" w:sz="4" w:space="0"/>
            </w:tcBorders>
            <w:vAlign w:val="center"/>
          </w:tcPr>
          <w:p w14:paraId="4849C241">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现场检查</w:t>
            </w:r>
          </w:p>
        </w:tc>
        <w:tc>
          <w:tcPr>
            <w:tcW w:w="1575" w:type="dxa"/>
            <w:tcBorders>
              <w:top w:val="single" w:color="auto" w:sz="4" w:space="0"/>
              <w:left w:val="single" w:color="auto" w:sz="4" w:space="0"/>
              <w:bottom w:val="single" w:color="auto" w:sz="4" w:space="0"/>
              <w:right w:val="single" w:color="auto" w:sz="4" w:space="0"/>
            </w:tcBorders>
            <w:vAlign w:val="center"/>
          </w:tcPr>
          <w:p w14:paraId="418DB252">
            <w:pPr>
              <w:widowControl/>
              <w:spacing w:line="340" w:lineRule="exact"/>
              <w:jc w:val="left"/>
              <w:rPr>
                <w:rFonts w:hint="eastAsia" w:ascii="仿宋_GB2312" w:hAnsi="宋体" w:eastAsia="仿宋_GB2312" w:cs="宋体"/>
                <w:kern w:val="0"/>
                <w:sz w:val="24"/>
              </w:rPr>
            </w:pPr>
            <w:r>
              <w:rPr>
                <w:rFonts w:hint="eastAsia" w:ascii="仿宋_GB2312" w:hAnsi="宋体" w:eastAsia="仿宋_GB2312" w:cs="宋体"/>
                <w:kern w:val="0"/>
                <w:sz w:val="24"/>
              </w:rPr>
              <w:t>全年抽查比例不低于5%，每年1次</w:t>
            </w:r>
          </w:p>
        </w:tc>
        <w:tc>
          <w:tcPr>
            <w:tcW w:w="1537" w:type="dxa"/>
            <w:tcBorders>
              <w:top w:val="single" w:color="auto" w:sz="4" w:space="0"/>
              <w:left w:val="single" w:color="auto" w:sz="4" w:space="0"/>
              <w:bottom w:val="single" w:color="auto" w:sz="4" w:space="0"/>
              <w:right w:val="single" w:color="auto" w:sz="4" w:space="0"/>
            </w:tcBorders>
            <w:vAlign w:val="center"/>
          </w:tcPr>
          <w:p w14:paraId="4CF1A819">
            <w:pPr>
              <w:widowControl/>
              <w:spacing w:line="340" w:lineRule="exact"/>
              <w:jc w:val="left"/>
              <w:rPr>
                <w:rFonts w:hint="eastAsia" w:ascii="仿宋_GB2312" w:hAnsi="宋体" w:eastAsia="仿宋_GB2312" w:cs="宋体"/>
                <w:color w:val="000000"/>
                <w:kern w:val="0"/>
                <w:sz w:val="24"/>
                <w:lang w:eastAsia="zh-CN"/>
              </w:rPr>
            </w:pPr>
            <w:r>
              <w:rPr>
                <w:rFonts w:hint="eastAsia" w:ascii="仿宋_GB2312" w:hAnsi="宋体" w:eastAsia="仿宋_GB2312" w:cs="宋体"/>
                <w:color w:val="000000"/>
                <w:kern w:val="0"/>
                <w:sz w:val="24"/>
                <w:lang w:eastAsia="zh-CN"/>
              </w:rPr>
              <w:t>省、市、县级教育行政部门</w:t>
            </w:r>
          </w:p>
        </w:tc>
        <w:tc>
          <w:tcPr>
            <w:tcW w:w="5098" w:type="dxa"/>
            <w:tcBorders>
              <w:top w:val="single" w:color="auto" w:sz="4" w:space="0"/>
              <w:left w:val="single" w:color="auto" w:sz="4" w:space="0"/>
              <w:bottom w:val="single" w:color="auto" w:sz="4" w:space="0"/>
              <w:right w:val="single" w:color="auto" w:sz="4" w:space="0"/>
            </w:tcBorders>
            <w:vAlign w:val="center"/>
          </w:tcPr>
          <w:p w14:paraId="744ABDA8">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《山东省学生体质健康促进条例》（2018年9月通过）第五条。</w:t>
            </w:r>
          </w:p>
        </w:tc>
      </w:tr>
      <w:tr w14:paraId="4BE68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0" w:hRule="atLeast"/>
        </w:trPr>
        <w:tc>
          <w:tcPr>
            <w:tcW w:w="732" w:type="dxa"/>
            <w:tcBorders>
              <w:top w:val="single" w:color="auto" w:sz="4" w:space="0"/>
              <w:left w:val="single" w:color="auto" w:sz="4" w:space="0"/>
              <w:bottom w:val="single" w:color="auto" w:sz="4" w:space="0"/>
              <w:right w:val="single" w:color="auto" w:sz="4" w:space="0"/>
            </w:tcBorders>
            <w:vAlign w:val="center"/>
          </w:tcPr>
          <w:p w14:paraId="113947BB">
            <w:pPr>
              <w:widowControl/>
              <w:spacing w:line="340" w:lineRule="exact"/>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lang w:val="en-US" w:eastAsia="zh-CN"/>
              </w:rPr>
              <w:t>9</w:t>
            </w:r>
          </w:p>
        </w:tc>
        <w:tc>
          <w:tcPr>
            <w:tcW w:w="1312" w:type="dxa"/>
            <w:tcBorders>
              <w:top w:val="single" w:color="auto" w:sz="4" w:space="0"/>
              <w:left w:val="single" w:color="auto" w:sz="4" w:space="0"/>
              <w:bottom w:val="single" w:color="auto" w:sz="4" w:space="0"/>
              <w:right w:val="single" w:color="auto" w:sz="4" w:space="0"/>
            </w:tcBorders>
            <w:vAlign w:val="center"/>
          </w:tcPr>
          <w:p w14:paraId="08C56CC8">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中小学教育装备产品（含文体教育用品、教学仪器、校服等）、学校絮用纤维制品检查</w:t>
            </w:r>
          </w:p>
        </w:tc>
        <w:tc>
          <w:tcPr>
            <w:tcW w:w="806" w:type="dxa"/>
            <w:tcBorders>
              <w:top w:val="single" w:color="auto" w:sz="4" w:space="0"/>
              <w:left w:val="single" w:color="auto" w:sz="4" w:space="0"/>
              <w:bottom w:val="single" w:color="auto" w:sz="4" w:space="0"/>
              <w:right w:val="single" w:color="auto" w:sz="4" w:space="0"/>
            </w:tcBorders>
            <w:vAlign w:val="center"/>
          </w:tcPr>
          <w:p w14:paraId="3DEDDD14">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各类学校</w:t>
            </w:r>
          </w:p>
        </w:tc>
        <w:tc>
          <w:tcPr>
            <w:tcW w:w="1838" w:type="dxa"/>
            <w:tcBorders>
              <w:top w:val="single" w:color="auto" w:sz="4" w:space="0"/>
              <w:left w:val="single" w:color="auto" w:sz="4" w:space="0"/>
              <w:bottom w:val="single" w:color="auto" w:sz="4" w:space="0"/>
              <w:right w:val="single" w:color="auto" w:sz="4" w:space="0"/>
            </w:tcBorders>
            <w:vAlign w:val="center"/>
          </w:tcPr>
          <w:p w14:paraId="666CC2C5">
            <w:pPr>
              <w:widowControl/>
              <w:spacing w:line="340" w:lineRule="exac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随机抽取配备目录要求的文体教育用品、教学仪器，对学校的装备质量、装备条件、装备管理、装备应用等进行检查；学生服、学校絮用纤维制品招标、采购及管理情况；学校建立并执行絮用纤维制品进货检查验收和记录制度情况、学校絮用纤维制品的产品标识是否规范及产品质量状况。</w:t>
            </w:r>
          </w:p>
        </w:tc>
        <w:tc>
          <w:tcPr>
            <w:tcW w:w="1144" w:type="dxa"/>
            <w:tcBorders>
              <w:top w:val="single" w:color="auto" w:sz="4" w:space="0"/>
              <w:left w:val="single" w:color="auto" w:sz="4" w:space="0"/>
              <w:bottom w:val="single" w:color="auto" w:sz="4" w:space="0"/>
              <w:right w:val="single" w:color="auto" w:sz="4" w:space="0"/>
            </w:tcBorders>
            <w:vAlign w:val="center"/>
          </w:tcPr>
          <w:p w14:paraId="44369326">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一般检查事项</w:t>
            </w:r>
          </w:p>
        </w:tc>
        <w:tc>
          <w:tcPr>
            <w:tcW w:w="1256" w:type="dxa"/>
            <w:tcBorders>
              <w:top w:val="single" w:color="auto" w:sz="4" w:space="0"/>
              <w:left w:val="single" w:color="auto" w:sz="4" w:space="0"/>
              <w:bottom w:val="single" w:color="auto" w:sz="4" w:space="0"/>
              <w:right w:val="single" w:color="auto" w:sz="4" w:space="0"/>
            </w:tcBorders>
            <w:vAlign w:val="center"/>
          </w:tcPr>
          <w:p w14:paraId="3CFF5A02">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现场检查</w:t>
            </w:r>
          </w:p>
        </w:tc>
        <w:tc>
          <w:tcPr>
            <w:tcW w:w="1575" w:type="dxa"/>
            <w:tcBorders>
              <w:top w:val="single" w:color="auto" w:sz="4" w:space="0"/>
              <w:left w:val="single" w:color="auto" w:sz="4" w:space="0"/>
              <w:bottom w:val="single" w:color="auto" w:sz="4" w:space="0"/>
              <w:right w:val="single" w:color="auto" w:sz="4" w:space="0"/>
            </w:tcBorders>
            <w:vAlign w:val="center"/>
          </w:tcPr>
          <w:p w14:paraId="0484AAE8">
            <w:pPr>
              <w:widowControl/>
              <w:spacing w:line="340" w:lineRule="exact"/>
              <w:jc w:val="left"/>
              <w:rPr>
                <w:rFonts w:hint="eastAsia" w:ascii="仿宋_GB2312" w:hAnsi="宋体" w:eastAsia="仿宋_GB2312" w:cs="宋体"/>
                <w:kern w:val="0"/>
                <w:sz w:val="24"/>
              </w:rPr>
            </w:pPr>
            <w:r>
              <w:rPr>
                <w:rFonts w:hint="eastAsia" w:ascii="仿宋_GB2312" w:hAnsi="宋体" w:eastAsia="仿宋_GB2312" w:cs="宋体"/>
                <w:kern w:val="0"/>
                <w:sz w:val="24"/>
              </w:rPr>
              <w:t>全年抽查比例不低于5%，每年1次</w:t>
            </w:r>
          </w:p>
        </w:tc>
        <w:tc>
          <w:tcPr>
            <w:tcW w:w="1537" w:type="dxa"/>
            <w:tcBorders>
              <w:top w:val="single" w:color="auto" w:sz="4" w:space="0"/>
              <w:left w:val="single" w:color="auto" w:sz="4" w:space="0"/>
              <w:bottom w:val="single" w:color="auto" w:sz="4" w:space="0"/>
              <w:right w:val="single" w:color="auto" w:sz="4" w:space="0"/>
            </w:tcBorders>
            <w:vAlign w:val="center"/>
          </w:tcPr>
          <w:p w14:paraId="729F90FD">
            <w:pPr>
              <w:widowControl/>
              <w:spacing w:line="340" w:lineRule="exact"/>
              <w:jc w:val="left"/>
              <w:rPr>
                <w:rFonts w:hint="eastAsia" w:ascii="仿宋_GB2312" w:hAnsi="宋体" w:eastAsia="仿宋_GB2312" w:cs="宋体"/>
                <w:color w:val="000000"/>
                <w:kern w:val="0"/>
                <w:sz w:val="24"/>
                <w:lang w:eastAsia="zh-CN"/>
              </w:rPr>
            </w:pPr>
            <w:r>
              <w:rPr>
                <w:rFonts w:hint="eastAsia" w:ascii="仿宋_GB2312" w:hAnsi="宋体" w:eastAsia="仿宋_GB2312" w:cs="宋体"/>
                <w:color w:val="000000"/>
                <w:kern w:val="0"/>
                <w:sz w:val="24"/>
                <w:lang w:eastAsia="zh-CN"/>
              </w:rPr>
              <w:t>省、市、县级教育行政部门</w:t>
            </w:r>
          </w:p>
        </w:tc>
        <w:tc>
          <w:tcPr>
            <w:tcW w:w="5098" w:type="dxa"/>
            <w:tcBorders>
              <w:top w:val="single" w:color="auto" w:sz="4" w:space="0"/>
              <w:left w:val="single" w:color="auto" w:sz="4" w:space="0"/>
              <w:bottom w:val="single" w:color="auto" w:sz="4" w:space="0"/>
              <w:right w:val="single" w:color="auto" w:sz="4" w:space="0"/>
            </w:tcBorders>
            <w:vAlign w:val="center"/>
          </w:tcPr>
          <w:p w14:paraId="579D1A89">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1.教育部关于发布《初中物理教学装备配置标准》等6个学科配置标准的通知（教基函﹝2019﹞5号）</w:t>
            </w:r>
          </w:p>
          <w:p w14:paraId="571D1E86">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2.《教育部关于加强和改进中小学实验教学的意见》（教基﹝2019﹞16号）</w:t>
            </w:r>
          </w:p>
          <w:p w14:paraId="2EDC7676">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3.教育部关于印发《中小学图书馆（室）规程》的通知（教基﹝2018﹞5号）</w:t>
            </w:r>
          </w:p>
          <w:p w14:paraId="4B51E78A">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4.《山东省普通中小学校办学条件标准》（鲁教基发﹝2017﹞1号）</w:t>
            </w:r>
          </w:p>
          <w:p w14:paraId="78778C41">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5.《山东省教育厅关于进一步加强实验室安全管理工作的意见》（鲁教科字﹝2019﹞2号）</w:t>
            </w:r>
          </w:p>
          <w:p w14:paraId="7C293165">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6.《纤维制品质量监督管理办法》（国家质量监督检验检疫总局令第178号）</w:t>
            </w:r>
          </w:p>
          <w:p w14:paraId="22CC50BA">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7.《山东省人民政府办公厅关于推进新时代山东高等教育高质量发展的若干意见》（鲁政办字〔2019〕76号）</w:t>
            </w:r>
          </w:p>
          <w:p w14:paraId="24FB1468">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8.山东省教育厅 山东省市场监督管理局《关于进一步加强高校学生床上用品管理保障产品质量安全的通知》（鲁教办字〔2020〕10号）</w:t>
            </w:r>
          </w:p>
        </w:tc>
      </w:tr>
      <w:tr w14:paraId="706F7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1" w:hRule="atLeast"/>
        </w:trPr>
        <w:tc>
          <w:tcPr>
            <w:tcW w:w="732" w:type="dxa"/>
            <w:tcBorders>
              <w:top w:val="single" w:color="auto" w:sz="4" w:space="0"/>
              <w:left w:val="single" w:color="auto" w:sz="4" w:space="0"/>
              <w:bottom w:val="single" w:color="auto" w:sz="4" w:space="0"/>
              <w:right w:val="single" w:color="auto" w:sz="4" w:space="0"/>
            </w:tcBorders>
            <w:vAlign w:val="center"/>
          </w:tcPr>
          <w:p w14:paraId="50CDA95C">
            <w:pPr>
              <w:widowControl/>
              <w:spacing w:line="340" w:lineRule="exact"/>
              <w:jc w:val="center"/>
              <w:rPr>
                <w:rFonts w:hint="default"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lang w:val="en-US" w:eastAsia="zh-CN"/>
              </w:rPr>
              <w:t>10</w:t>
            </w:r>
          </w:p>
        </w:tc>
        <w:tc>
          <w:tcPr>
            <w:tcW w:w="1312" w:type="dxa"/>
            <w:tcBorders>
              <w:top w:val="single" w:color="auto" w:sz="4" w:space="0"/>
              <w:left w:val="single" w:color="auto" w:sz="4" w:space="0"/>
              <w:bottom w:val="single" w:color="auto" w:sz="4" w:space="0"/>
              <w:right w:val="single" w:color="auto" w:sz="4" w:space="0"/>
            </w:tcBorders>
            <w:vAlign w:val="center"/>
          </w:tcPr>
          <w:p w14:paraId="6281BAB8">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学校采光照明检查</w:t>
            </w:r>
          </w:p>
        </w:tc>
        <w:tc>
          <w:tcPr>
            <w:tcW w:w="806" w:type="dxa"/>
            <w:tcBorders>
              <w:top w:val="single" w:color="auto" w:sz="4" w:space="0"/>
              <w:left w:val="single" w:color="auto" w:sz="4" w:space="0"/>
              <w:bottom w:val="single" w:color="auto" w:sz="4" w:space="0"/>
              <w:right w:val="single" w:color="auto" w:sz="4" w:space="0"/>
            </w:tcBorders>
            <w:vAlign w:val="center"/>
          </w:tcPr>
          <w:p w14:paraId="7D1BB6E7">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各类学校</w:t>
            </w:r>
          </w:p>
        </w:tc>
        <w:tc>
          <w:tcPr>
            <w:tcW w:w="1838" w:type="dxa"/>
            <w:tcBorders>
              <w:top w:val="single" w:color="auto" w:sz="4" w:space="0"/>
              <w:left w:val="single" w:color="auto" w:sz="4" w:space="0"/>
              <w:bottom w:val="single" w:color="auto" w:sz="4" w:space="0"/>
              <w:right w:val="single" w:color="auto" w:sz="4" w:space="0"/>
            </w:tcBorders>
            <w:vAlign w:val="center"/>
          </w:tcPr>
          <w:p w14:paraId="2D569C75">
            <w:pPr>
              <w:widowControl/>
              <w:spacing w:line="340" w:lineRule="exac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检查教室灯具安装规范情况，课桌面和黑板平均照度、照度均匀度、光源色温等指标的达标情况等。</w:t>
            </w:r>
          </w:p>
        </w:tc>
        <w:tc>
          <w:tcPr>
            <w:tcW w:w="1144" w:type="dxa"/>
            <w:tcBorders>
              <w:top w:val="single" w:color="auto" w:sz="4" w:space="0"/>
              <w:left w:val="single" w:color="auto" w:sz="4" w:space="0"/>
              <w:bottom w:val="single" w:color="auto" w:sz="4" w:space="0"/>
              <w:right w:val="single" w:color="auto" w:sz="4" w:space="0"/>
            </w:tcBorders>
            <w:vAlign w:val="center"/>
          </w:tcPr>
          <w:p w14:paraId="1E32382E">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一般检查事项</w:t>
            </w:r>
          </w:p>
        </w:tc>
        <w:tc>
          <w:tcPr>
            <w:tcW w:w="1256" w:type="dxa"/>
            <w:tcBorders>
              <w:top w:val="single" w:color="auto" w:sz="4" w:space="0"/>
              <w:left w:val="single" w:color="auto" w:sz="4" w:space="0"/>
              <w:bottom w:val="single" w:color="auto" w:sz="4" w:space="0"/>
              <w:right w:val="single" w:color="auto" w:sz="4" w:space="0"/>
            </w:tcBorders>
            <w:vAlign w:val="center"/>
          </w:tcPr>
          <w:p w14:paraId="3EF85646">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现场检查</w:t>
            </w:r>
          </w:p>
        </w:tc>
        <w:tc>
          <w:tcPr>
            <w:tcW w:w="1575" w:type="dxa"/>
            <w:tcBorders>
              <w:top w:val="single" w:color="auto" w:sz="4" w:space="0"/>
              <w:left w:val="single" w:color="auto" w:sz="4" w:space="0"/>
              <w:bottom w:val="single" w:color="auto" w:sz="4" w:space="0"/>
              <w:right w:val="single" w:color="auto" w:sz="4" w:space="0"/>
            </w:tcBorders>
            <w:vAlign w:val="center"/>
          </w:tcPr>
          <w:p w14:paraId="722DA5DA">
            <w:pPr>
              <w:widowControl/>
              <w:spacing w:line="340" w:lineRule="exact"/>
              <w:jc w:val="left"/>
              <w:rPr>
                <w:rFonts w:hint="eastAsia" w:ascii="仿宋_GB2312" w:hAnsi="宋体" w:eastAsia="仿宋_GB2312" w:cs="宋体"/>
                <w:kern w:val="0"/>
                <w:sz w:val="24"/>
              </w:rPr>
            </w:pPr>
            <w:r>
              <w:rPr>
                <w:rFonts w:hint="eastAsia" w:ascii="仿宋_GB2312" w:hAnsi="宋体" w:eastAsia="仿宋_GB2312" w:cs="宋体"/>
                <w:kern w:val="0"/>
                <w:sz w:val="24"/>
              </w:rPr>
              <w:t>全年抽查比例不低于5%，每年1次</w:t>
            </w:r>
          </w:p>
        </w:tc>
        <w:tc>
          <w:tcPr>
            <w:tcW w:w="1537" w:type="dxa"/>
            <w:tcBorders>
              <w:top w:val="single" w:color="auto" w:sz="4" w:space="0"/>
              <w:left w:val="single" w:color="auto" w:sz="4" w:space="0"/>
              <w:bottom w:val="single" w:color="auto" w:sz="4" w:space="0"/>
              <w:right w:val="single" w:color="auto" w:sz="4" w:space="0"/>
            </w:tcBorders>
            <w:vAlign w:val="center"/>
          </w:tcPr>
          <w:p w14:paraId="66F9F5CC">
            <w:pPr>
              <w:widowControl/>
              <w:spacing w:line="340" w:lineRule="exact"/>
              <w:jc w:val="left"/>
              <w:rPr>
                <w:rFonts w:hint="eastAsia" w:ascii="仿宋_GB2312" w:hAnsi="宋体" w:eastAsia="仿宋_GB2312" w:cs="宋体"/>
                <w:color w:val="000000"/>
                <w:kern w:val="0"/>
                <w:sz w:val="24"/>
                <w:lang w:eastAsia="zh-CN"/>
              </w:rPr>
            </w:pPr>
            <w:r>
              <w:rPr>
                <w:rFonts w:hint="eastAsia" w:ascii="仿宋_GB2312" w:hAnsi="宋体" w:eastAsia="仿宋_GB2312" w:cs="宋体"/>
                <w:color w:val="000000"/>
                <w:kern w:val="0"/>
                <w:sz w:val="24"/>
                <w:lang w:eastAsia="zh-CN"/>
              </w:rPr>
              <w:t>省、市、县级教育行政部门</w:t>
            </w:r>
          </w:p>
        </w:tc>
        <w:tc>
          <w:tcPr>
            <w:tcW w:w="5098" w:type="dxa"/>
            <w:tcBorders>
              <w:top w:val="single" w:color="auto" w:sz="4" w:space="0"/>
              <w:left w:val="single" w:color="auto" w:sz="4" w:space="0"/>
              <w:bottom w:val="single" w:color="auto" w:sz="4" w:space="0"/>
              <w:right w:val="single" w:color="auto" w:sz="4" w:space="0"/>
            </w:tcBorders>
            <w:vAlign w:val="center"/>
          </w:tcPr>
          <w:p w14:paraId="56A077F0">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教育部等八部门关于印发《综合防控儿童青少年近视实施方案》的通知（教体艺﹝2018﹞3号）</w:t>
            </w:r>
          </w:p>
          <w:p w14:paraId="4F818021">
            <w:pPr>
              <w:widowControl/>
              <w:spacing w:line="340" w:lineRule="exact"/>
              <w:jc w:val="left"/>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山东省教育厅等九部门关于印发《山东省儿童青少年近视综合防控推进计划》的通知（鲁教体发〔2019〕1号）</w:t>
            </w:r>
          </w:p>
        </w:tc>
      </w:tr>
    </w:tbl>
    <w:p w14:paraId="186D3EA4"/>
    <w:sectPr>
      <w:footerReference r:id="rId3"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auto"/>
    <w:pitch w:val="default"/>
    <w:sig w:usb0="00000001" w:usb1="080E0000" w:usb2="00000000" w:usb3="00000000" w:csb0="00040000" w:csb1="00000000"/>
  </w:font>
  <w:font w:name="汉仪书宋一简">
    <w:altName w:val="宋体"/>
    <w:panose1 w:val="00000000000000000000"/>
    <w:charset w:val="86"/>
    <w:family w:val="modern"/>
    <w:pitch w:val="default"/>
    <w:sig w:usb0="00000000" w:usb1="00000000" w:usb2="00000012"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A13EAD">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8EDB3D">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08EDB3D">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M5N2M1NDdiYTNmNzM3NDRjZDU3YTYzOWRhMWU3MzEifQ=="/>
  </w:docVars>
  <w:rsids>
    <w:rsidRoot w:val="00E303B3"/>
    <w:rsid w:val="000A4AD9"/>
    <w:rsid w:val="001E4E63"/>
    <w:rsid w:val="003A2707"/>
    <w:rsid w:val="003B3A4B"/>
    <w:rsid w:val="004526BA"/>
    <w:rsid w:val="00537B81"/>
    <w:rsid w:val="00570B7D"/>
    <w:rsid w:val="005B3D45"/>
    <w:rsid w:val="005C5F09"/>
    <w:rsid w:val="005F4951"/>
    <w:rsid w:val="0060356F"/>
    <w:rsid w:val="00632ADF"/>
    <w:rsid w:val="00637D87"/>
    <w:rsid w:val="006F0FEB"/>
    <w:rsid w:val="00763F2A"/>
    <w:rsid w:val="00766DC1"/>
    <w:rsid w:val="0078197F"/>
    <w:rsid w:val="00831911"/>
    <w:rsid w:val="00856A7B"/>
    <w:rsid w:val="00892A77"/>
    <w:rsid w:val="0089791D"/>
    <w:rsid w:val="009A3706"/>
    <w:rsid w:val="00B95CFB"/>
    <w:rsid w:val="00BA6B61"/>
    <w:rsid w:val="00BF7B1B"/>
    <w:rsid w:val="00C30BE9"/>
    <w:rsid w:val="00C71245"/>
    <w:rsid w:val="00C91A8F"/>
    <w:rsid w:val="00D13E79"/>
    <w:rsid w:val="00D72D2C"/>
    <w:rsid w:val="00E303B3"/>
    <w:rsid w:val="00E65417"/>
    <w:rsid w:val="00FC3BEA"/>
    <w:rsid w:val="063312DB"/>
    <w:rsid w:val="08766241"/>
    <w:rsid w:val="10B17E1D"/>
    <w:rsid w:val="130C0301"/>
    <w:rsid w:val="1BC636E2"/>
    <w:rsid w:val="38BE3C52"/>
    <w:rsid w:val="3E4F2CA4"/>
    <w:rsid w:val="5D007E6E"/>
    <w:rsid w:val="640C278B"/>
    <w:rsid w:val="6C277E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7"/>
    <w:semiHidden/>
    <w:unhideWhenUsed/>
    <w:qFormat/>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批注框文本 字符"/>
    <w:basedOn w:val="6"/>
    <w:link w:val="2"/>
    <w:semiHidden/>
    <w:qFormat/>
    <w:uiPriority w:val="99"/>
    <w:rPr>
      <w:rFonts w:ascii="Times New Roman" w:hAnsi="Times New Roman" w:eastAsia="宋体" w:cs="Times New Roman"/>
      <w:sz w:val="18"/>
      <w:szCs w:val="18"/>
    </w:rPr>
  </w:style>
  <w:style w:type="character" w:customStyle="1" w:styleId="8">
    <w:name w:val="页眉 字符"/>
    <w:basedOn w:val="6"/>
    <w:link w:val="4"/>
    <w:qFormat/>
    <w:uiPriority w:val="99"/>
    <w:rPr>
      <w:rFonts w:ascii="Times New Roman" w:hAnsi="Times New Roman" w:eastAsia="宋体" w:cs="Times New Roman"/>
      <w:sz w:val="18"/>
      <w:szCs w:val="18"/>
    </w:rPr>
  </w:style>
  <w:style w:type="character" w:customStyle="1" w:styleId="9">
    <w:name w:val="页脚 字符"/>
    <w:basedOn w:val="6"/>
    <w:link w:val="3"/>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2149</Words>
  <Characters>2254</Characters>
  <Lines>246</Lines>
  <Paragraphs>374</Paragraphs>
  <TotalTime>28</TotalTime>
  <ScaleCrop>false</ScaleCrop>
  <LinksUpToDate>false</LinksUpToDate>
  <CharactersWithSpaces>2327</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2019-09-17T06:31:00Z</dcterms:created>
  <dc:creator>梁强(人事处)</dc:creator>
  <cp:lastModifiedBy></cp:lastModifiedBy>
  <cp:lastPrinted>2019-10-17T07:34:00Z</cp:lastPrinted>
  <dcterms:modified xsi:type="dcterms:W3CDTF">2024-07-25T01:22:51Z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61E65FC0B21742B09CA0D3AE8A4C2440_13</vt:lpwstr>
  </property>
</Properties>
</file>