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bidi w:val="0"/>
        <w:rPr>
          <w:rFonts w:hint="eastAsia"/>
          <w:color w:val="auto"/>
        </w:rPr>
      </w:pPr>
    </w:p>
    <w:p>
      <w:pPr>
        <w:bidi w:val="0"/>
        <w:rPr>
          <w:rFonts w:hint="eastAsia"/>
          <w:color w:val="auto"/>
        </w:rPr>
      </w:pPr>
    </w:p>
    <w:p>
      <w:pPr>
        <w:bidi w:val="0"/>
        <w:rPr>
          <w:rFonts w:hint="eastAsia"/>
          <w:color w:val="auto"/>
        </w:rPr>
      </w:pPr>
    </w:p>
    <w:p>
      <w:pPr>
        <w:bidi w:val="0"/>
        <w:rPr>
          <w:rFonts w:hint="eastAsia"/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jc w:val="center"/>
        <w:textAlignment w:val="auto"/>
        <w:rPr>
          <w:rFonts w:hint="eastAsia" w:ascii="方正黑体简体" w:hAnsi="方正黑体简体" w:eastAsia="方正黑体简体" w:cs="方正黑体简体"/>
          <w:b w:val="0"/>
          <w:bCs/>
          <w:color w:val="auto"/>
          <w:sz w:val="52"/>
          <w:szCs w:val="5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52"/>
          <w:szCs w:val="5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52"/>
          <w:szCs w:val="52"/>
          <w:lang w:val="en-US" w:eastAsia="zh-CN"/>
        </w:rPr>
        <w:t>荣成市城市区域声环境功能区划方案</w:t>
      </w:r>
    </w:p>
    <w:p>
      <w:pPr>
        <w:bidi w:val="0"/>
        <w:rPr>
          <w:rFonts w:hint="eastAsia"/>
          <w:color w:val="auto"/>
        </w:rPr>
      </w:pPr>
    </w:p>
    <w:p>
      <w:pPr>
        <w:bidi w:val="0"/>
        <w:rPr>
          <w:rFonts w:hint="eastAsia"/>
          <w:color w:val="auto"/>
        </w:rPr>
      </w:pPr>
    </w:p>
    <w:p>
      <w:pPr>
        <w:bidi w:val="0"/>
        <w:rPr>
          <w:rFonts w:hint="eastAsia"/>
          <w:color w:val="auto"/>
        </w:rPr>
      </w:pPr>
    </w:p>
    <w:p>
      <w:pPr>
        <w:bidi w:val="0"/>
        <w:rPr>
          <w:rFonts w:hint="eastAsia"/>
          <w:color w:val="auto"/>
        </w:rPr>
      </w:pPr>
    </w:p>
    <w:p>
      <w:pPr>
        <w:bidi w:val="0"/>
        <w:rPr>
          <w:rFonts w:hint="eastAsia"/>
          <w:color w:val="auto"/>
        </w:rPr>
      </w:pPr>
    </w:p>
    <w:p>
      <w:pPr>
        <w:bidi w:val="0"/>
        <w:rPr>
          <w:rFonts w:hint="eastAsia"/>
          <w:color w:val="auto"/>
        </w:rPr>
      </w:pPr>
    </w:p>
    <w:p>
      <w:pPr>
        <w:bidi w:val="0"/>
        <w:rPr>
          <w:rFonts w:hint="eastAsia"/>
          <w:color w:val="auto"/>
        </w:rPr>
      </w:pPr>
    </w:p>
    <w:p>
      <w:pPr>
        <w:bidi w:val="0"/>
        <w:rPr>
          <w:rFonts w:hint="eastAsia"/>
          <w:color w:val="auto"/>
        </w:rPr>
      </w:pPr>
    </w:p>
    <w:p>
      <w:pPr>
        <w:bidi w:val="0"/>
        <w:rPr>
          <w:rFonts w:hint="eastAsia"/>
          <w:color w:val="auto"/>
        </w:rPr>
      </w:pPr>
    </w:p>
    <w:p>
      <w:pPr>
        <w:bidi w:val="0"/>
        <w:rPr>
          <w:rFonts w:hint="eastAsia"/>
          <w:color w:val="auto"/>
        </w:rPr>
      </w:pPr>
    </w:p>
    <w:p>
      <w:pPr>
        <w:bidi w:val="0"/>
        <w:rPr>
          <w:rFonts w:hint="eastAsia"/>
          <w:color w:val="auto"/>
        </w:rPr>
      </w:pPr>
    </w:p>
    <w:p>
      <w:pPr>
        <w:bidi w:val="0"/>
        <w:rPr>
          <w:rFonts w:hint="eastAsia"/>
          <w:color w:val="auto"/>
        </w:rPr>
      </w:pPr>
    </w:p>
    <w:p>
      <w:pPr>
        <w:bidi w:val="0"/>
        <w:rPr>
          <w:rFonts w:hint="eastAsia"/>
          <w:color w:val="auto"/>
        </w:rPr>
      </w:pPr>
    </w:p>
    <w:p>
      <w:pPr>
        <w:bidi w:val="0"/>
        <w:rPr>
          <w:rFonts w:hint="eastAsia"/>
          <w:color w:val="auto"/>
        </w:rPr>
      </w:pPr>
    </w:p>
    <w:p>
      <w:pPr>
        <w:bidi w:val="0"/>
        <w:rPr>
          <w:rFonts w:hint="eastAsia"/>
          <w:color w:val="auto"/>
        </w:rPr>
      </w:pPr>
    </w:p>
    <w:p>
      <w:pPr>
        <w:bidi w:val="0"/>
        <w:rPr>
          <w:rFonts w:hint="eastAsia"/>
          <w:color w:val="auto"/>
        </w:rPr>
      </w:pPr>
    </w:p>
    <w:p>
      <w:pPr>
        <w:bidi w:val="0"/>
        <w:rPr>
          <w:rFonts w:hint="eastAsia"/>
          <w:color w:val="auto"/>
        </w:rPr>
      </w:pPr>
    </w:p>
    <w:p>
      <w:pPr>
        <w:bidi w:val="0"/>
        <w:rPr>
          <w:rFonts w:hint="eastAsia"/>
          <w:color w:val="auto"/>
        </w:rPr>
      </w:pPr>
    </w:p>
    <w:p>
      <w:pPr>
        <w:pStyle w:val="2"/>
        <w:rPr>
          <w:rFonts w:hint="eastAsia"/>
          <w:color w:val="auto"/>
        </w:rPr>
      </w:pPr>
    </w:p>
    <w:p>
      <w:pPr>
        <w:bidi w:val="0"/>
        <w:jc w:val="center"/>
        <w:rPr>
          <w:rFonts w:hint="default"/>
          <w:color w:val="auto"/>
          <w:lang w:val="en-US"/>
        </w:rPr>
      </w:pPr>
      <w:r>
        <w:rPr>
          <w:rFonts w:hint="eastAsia" w:ascii="黑体" w:hAnsi="黑体" w:eastAsia="黑体" w:cs="黑体"/>
          <w:b w:val="0"/>
          <w:bCs/>
          <w:color w:val="auto"/>
          <w:sz w:val="36"/>
          <w:szCs w:val="36"/>
          <w:lang w:val="en-US" w:eastAsia="zh-CN"/>
        </w:rPr>
        <w:t>威海市生态环境局荣成分局</w:t>
      </w:r>
    </w:p>
    <w:p>
      <w:pPr>
        <w:jc w:val="center"/>
        <w:rPr>
          <w:rFonts w:hint="eastAsia" w:ascii="黑体" w:hAnsi="黑体" w:eastAsia="黑体" w:cs="黑体"/>
          <w:b w:val="0"/>
          <w:bCs/>
          <w:color w:val="auto"/>
          <w:sz w:val="36"/>
          <w:szCs w:val="36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color w:val="auto"/>
          <w:sz w:val="36"/>
          <w:szCs w:val="36"/>
          <w:lang w:val="en-US" w:eastAsia="zh-CN"/>
        </w:rPr>
        <w:t>二</w:t>
      </w:r>
      <w:r>
        <w:rPr>
          <w:rFonts w:hint="eastAsia" w:ascii="Times New Roman" w:hAnsi="Times New Roman" w:eastAsia="黑体" w:cs="黑体"/>
          <w:b w:val="0"/>
          <w:bCs/>
          <w:color w:val="auto"/>
          <w:sz w:val="36"/>
          <w:szCs w:val="36"/>
          <w:lang w:val="en-US" w:eastAsia="zh-CN"/>
        </w:rPr>
        <w:t>0</w:t>
      </w:r>
      <w:r>
        <w:rPr>
          <w:rFonts w:hint="eastAsia" w:ascii="黑体" w:hAnsi="黑体" w:eastAsia="黑体" w:cs="黑体"/>
          <w:b w:val="0"/>
          <w:bCs/>
          <w:color w:val="auto"/>
          <w:sz w:val="36"/>
          <w:szCs w:val="36"/>
          <w:lang w:val="en-US" w:eastAsia="zh-CN"/>
        </w:rPr>
        <w:t>二一年十二月二十日</w:t>
      </w:r>
    </w:p>
    <w:p>
      <w:pPr>
        <w:bidi w:val="0"/>
        <w:rPr>
          <w:rFonts w:hint="eastAsia"/>
          <w:color w:val="auto"/>
        </w:rPr>
      </w:pPr>
    </w:p>
    <w:p>
      <w:pPr>
        <w:pStyle w:val="2"/>
        <w:rPr>
          <w:rFonts w:hint="eastAsia"/>
        </w:rPr>
      </w:pPr>
    </w:p>
    <w:p>
      <w:pPr>
        <w:bidi w:val="0"/>
        <w:rPr>
          <w:rFonts w:hint="eastAsia"/>
          <w:color w:val="auto"/>
        </w:rPr>
      </w:pPr>
    </w:p>
    <w:p>
      <w:pPr>
        <w:pStyle w:val="11"/>
        <w:ind w:firstLine="560" w:firstLineChars="200"/>
        <w:rPr>
          <w:rFonts w:hint="eastAsia"/>
          <w:color w:val="auto"/>
          <w:sz w:val="28"/>
          <w:szCs w:val="28"/>
          <w:lang w:val="en-US" w:eastAsia="zh-CN"/>
        </w:rPr>
        <w:sectPr>
          <w:pgSz w:w="11906" w:h="16838"/>
          <w:pgMar w:top="1440" w:right="1706" w:bottom="1440" w:left="180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720" w:num="1"/>
          <w:rtlGutter w:val="0"/>
          <w:docGrid w:type="lines" w:linePitch="312" w:charSpace="0"/>
        </w:sectPr>
      </w:pP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为满足城市发展需要，科学地对声环境质量进行保持与改善，提高声环境质量，根据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《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关于加强和规范声环境功能区划分管理工作的通知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（环办大气函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〔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2017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〕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1709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号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）的要求，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荣成市于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2021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年对城市区域声环境功能区划进行了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重新调整和优化布局。</w:t>
      </w:r>
    </w:p>
    <w:p>
      <w:pPr>
        <w:pStyle w:val="4"/>
        <w:keepNext/>
        <w:keepLines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600" w:lineRule="exact"/>
        <w:ind w:leftChars="0" w:firstLine="640" w:firstLineChars="200"/>
        <w:jc w:val="both"/>
        <w:textAlignment w:val="baseline"/>
        <w:outlineLvl w:val="1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一、</w:t>
      </w:r>
      <w:bookmarkStart w:id="0" w:name="_Toc22029"/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区划适用范围</w:t>
      </w:r>
      <w:bookmarkEnd w:id="0"/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适用于整个荣成市区建成区。</w:t>
      </w:r>
    </w:p>
    <w:p>
      <w:pPr>
        <w:pStyle w:val="4"/>
        <w:keepNext/>
        <w:keepLines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600" w:lineRule="exact"/>
        <w:ind w:leftChars="0" w:firstLine="640" w:firstLineChars="200"/>
        <w:jc w:val="both"/>
        <w:textAlignment w:val="baseline"/>
        <w:outlineLvl w:val="1"/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bookmarkStart w:id="1" w:name="_Toc4315"/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本区划范围为整个荣成市区建成规划区，总面积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84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.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730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平方公里，即北起北外环路，南至海湾南路—威石辅路—荣乌高速一线；东起寻山工业园—城后路—菜园东路以及东部海岸线，西至龙河北路—荣成站—凭海西路—荣成立交一线。规划区中北部工业区、居住文教区和商业区分布比较密集，南部较分散，湖泊和田地较多。</w:t>
      </w:r>
    </w:p>
    <w:p>
      <w:pPr>
        <w:pStyle w:val="4"/>
        <w:keepNext/>
        <w:keepLines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600" w:lineRule="exact"/>
        <w:ind w:leftChars="0" w:firstLine="640" w:firstLineChars="200"/>
        <w:jc w:val="both"/>
        <w:textAlignment w:val="baseline"/>
        <w:outlineLvl w:val="1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二、区划</w:t>
      </w:r>
      <w:bookmarkEnd w:id="1"/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基准年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after="0"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区划基准年：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2021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年，即本次区划调查资料、数据以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2021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年为基础。</w:t>
      </w:r>
    </w:p>
    <w:p>
      <w:pPr>
        <w:pStyle w:val="4"/>
        <w:keepNext/>
        <w:keepLines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600" w:lineRule="exact"/>
        <w:ind w:leftChars="0" w:firstLine="640" w:firstLineChars="200"/>
        <w:jc w:val="both"/>
        <w:textAlignment w:val="baseline"/>
        <w:outlineLvl w:val="1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三、区划依据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after="0"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《中华人民共和国环境保护法》（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2014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.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；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after="0"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《中华人民共和国环境噪声污染防治法》（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2018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.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；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after="0"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《山东省环境噪声污染防治条例》（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2018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.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；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after="0"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（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《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声环境功能区划分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技术规范》（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GB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/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T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15190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-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2014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；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after="0"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（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《声环境质量标准》（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GB3096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-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2008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；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after="0"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（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《工业企业厂界环境噪声排放标准》（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GB12348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-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2008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；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after="0"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（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《社会生活环境噪声排放标准》（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GB22337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-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2008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；</w:t>
      </w:r>
    </w:p>
    <w:p>
      <w:pPr>
        <w:pStyle w:val="4"/>
        <w:keepNext/>
        <w:keepLines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600" w:lineRule="exact"/>
        <w:ind w:leftChars="0" w:firstLine="640" w:firstLineChars="200"/>
        <w:jc w:val="both"/>
        <w:textAlignment w:val="baseline"/>
        <w:outlineLvl w:val="1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四、区划方法</w:t>
      </w: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根据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《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声环境功能区划分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技术规范》（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GB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/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T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15190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-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2014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中规定的声环境功能区划分的原则和方法进行。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after="0"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类声环境功能区：康复疗养区等特别需要安静的区域。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after="0"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类声环境功能区：以居民住宅、医疗卫生、文化教育、科研设计、行政办公为主要功能，需要保持安静的区域。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after="0"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类声环境功能区：以商业金融、集市贸易为主要功能，或者居住、商业、工业混杂，需要维护住宅安静的区域。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after="0"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类声环境功能区：以工业生产、仓储物流为主要功能，需要防止工业噪声对周围环境产生严重影响的区域。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after="0"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类声环境功能区：交通干线两侧一定距离内，需要防止交通噪声对周围环境产生严重影响的区域，包括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4a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类和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4b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类两种类型。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4a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类为高速公路、一级公路、二级公路、城市快速路、城市主干路、城市次干路、城市轨道交通（地面段）、内河航道两侧区域；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4b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类为铁路干线两侧区域。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after="0"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4a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和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4b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类区的划分距离具体分别按以下表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和表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执行。</w:t>
      </w:r>
    </w:p>
    <w:p>
      <w:pPr>
        <w:pStyle w:val="13"/>
        <w:spacing w:line="360" w:lineRule="auto"/>
        <w:jc w:val="center"/>
        <w:rPr>
          <w:rFonts w:hint="eastAsia" w:ascii="Times New Roman" w:hAnsi="Times New Roman" w:eastAsia="黑体" w:cs="Times New Roman"/>
          <w:b w:val="0"/>
          <w:bCs w:val="0"/>
          <w:color w:val="auto"/>
          <w:kern w:val="0"/>
          <w:sz w:val="24"/>
          <w:szCs w:val="24"/>
          <w:lang w:val="en-US" w:eastAsia="zh-CN" w:bidi="ar"/>
        </w:rPr>
      </w:pPr>
      <w:r>
        <w:rPr>
          <w:rFonts w:hint="eastAsia" w:ascii="Times New Roman" w:hAnsi="Times New Roman" w:eastAsia="黑体" w:cs="Times New Roman"/>
          <w:b w:val="0"/>
          <w:bCs w:val="0"/>
          <w:color w:val="auto"/>
          <w:kern w:val="0"/>
          <w:sz w:val="24"/>
          <w:szCs w:val="24"/>
          <w:lang w:val="en-US" w:eastAsia="zh-CN" w:bidi="ar"/>
        </w:rPr>
        <w:t>表1  交通干线（边界）与相邻声功能区距离表</w:t>
      </w:r>
    </w:p>
    <w:tbl>
      <w:tblPr>
        <w:tblStyle w:val="8"/>
        <w:tblW w:w="888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5"/>
        <w:gridCol w:w="3205"/>
        <w:gridCol w:w="2014"/>
        <w:gridCol w:w="23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365" w:type="dxa"/>
            <w:noWrap w:val="0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区划类型</w:t>
            </w:r>
          </w:p>
        </w:tc>
        <w:tc>
          <w:tcPr>
            <w:tcW w:w="3205" w:type="dxa"/>
            <w:noWrap w:val="0"/>
            <w:vAlign w:val="center"/>
          </w:tcPr>
          <w:p>
            <w:pPr>
              <w:pStyle w:val="2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道路类型</w:t>
            </w:r>
          </w:p>
        </w:tc>
        <w:tc>
          <w:tcPr>
            <w:tcW w:w="2014" w:type="dxa"/>
            <w:noWrap w:val="0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划分距离（</w:t>
            </w:r>
            <w:r>
              <w:rPr>
                <w:rFonts w:hint="eastAsia" w:ascii="Times New Roman" w:hAnsi="Times New Roman"/>
                <w:sz w:val="21"/>
                <w:szCs w:val="21"/>
                <w:vertAlign w:val="baseline"/>
                <w:lang w:val="en-US" w:eastAsia="zh-CN"/>
              </w:rPr>
              <w:t>m</w:t>
            </w: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）</w:t>
            </w:r>
          </w:p>
        </w:tc>
        <w:tc>
          <w:tcPr>
            <w:tcW w:w="2300" w:type="dxa"/>
            <w:noWrap w:val="0"/>
            <w:vAlign w:val="center"/>
          </w:tcPr>
          <w:p>
            <w:pPr>
              <w:pStyle w:val="2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相邻功能区类型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365" w:type="dxa"/>
            <w:vMerge w:val="restart"/>
            <w:noWrap w:val="0"/>
            <w:vAlign w:val="center"/>
          </w:tcPr>
          <w:p>
            <w:pPr>
              <w:pStyle w:val="2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1"/>
                <w:szCs w:val="21"/>
                <w:vertAlign w:val="baseline"/>
                <w:lang w:val="en-US" w:eastAsia="zh-CN"/>
              </w:rPr>
              <w:t>4a</w:t>
            </w: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类</w:t>
            </w:r>
          </w:p>
        </w:tc>
        <w:tc>
          <w:tcPr>
            <w:tcW w:w="3205" w:type="dxa"/>
            <w:vMerge w:val="restart"/>
            <w:noWrap w:val="0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  <w:t>高速公路、一级公路、二级公路、城市快速路、城市主干路、城市次干路次干路、城市快速路</w:t>
            </w:r>
          </w:p>
        </w:tc>
        <w:tc>
          <w:tcPr>
            <w:tcW w:w="2014" w:type="dxa"/>
            <w:noWrap w:val="0"/>
            <w:vAlign w:val="center"/>
          </w:tcPr>
          <w:p>
            <w:pPr>
              <w:pStyle w:val="2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1"/>
                <w:szCs w:val="21"/>
                <w:vertAlign w:val="baseline"/>
                <w:lang w:val="en-US" w:eastAsia="zh-CN"/>
              </w:rPr>
              <w:t>50</w:t>
            </w:r>
          </w:p>
        </w:tc>
        <w:tc>
          <w:tcPr>
            <w:tcW w:w="2300" w:type="dxa"/>
            <w:noWrap w:val="0"/>
            <w:vAlign w:val="center"/>
          </w:tcPr>
          <w:p>
            <w:pPr>
              <w:pStyle w:val="2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1"/>
                <w:szCs w:val="21"/>
                <w:vertAlign w:val="baseline"/>
                <w:lang w:val="en-US" w:eastAsia="zh-CN"/>
              </w:rPr>
              <w:t>1</w:t>
            </w: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类区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365" w:type="dxa"/>
            <w:vMerge w:val="continue"/>
            <w:noWrap w:val="0"/>
            <w:vAlign w:val="center"/>
          </w:tcPr>
          <w:p>
            <w:pPr>
              <w:pStyle w:val="2"/>
              <w:jc w:val="center"/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3205" w:type="dxa"/>
            <w:vMerge w:val="continue"/>
            <w:noWrap w:val="0"/>
            <w:vAlign w:val="center"/>
          </w:tcPr>
          <w:p>
            <w:pPr>
              <w:pStyle w:val="2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2014" w:type="dxa"/>
            <w:noWrap w:val="0"/>
            <w:vAlign w:val="center"/>
          </w:tcPr>
          <w:p>
            <w:pPr>
              <w:pStyle w:val="2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1"/>
                <w:szCs w:val="21"/>
                <w:vertAlign w:val="baseline"/>
                <w:lang w:val="en-US" w:eastAsia="zh-CN"/>
              </w:rPr>
              <w:t>35</w:t>
            </w:r>
          </w:p>
        </w:tc>
        <w:tc>
          <w:tcPr>
            <w:tcW w:w="2300" w:type="dxa"/>
            <w:noWrap w:val="0"/>
            <w:vAlign w:val="center"/>
          </w:tcPr>
          <w:p>
            <w:pPr>
              <w:pStyle w:val="2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1"/>
                <w:szCs w:val="21"/>
                <w:vertAlign w:val="baseline"/>
                <w:lang w:val="en-US" w:eastAsia="zh-CN"/>
              </w:rPr>
              <w:t>2</w:t>
            </w: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类区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365" w:type="dxa"/>
            <w:vMerge w:val="continue"/>
            <w:noWrap w:val="0"/>
            <w:vAlign w:val="center"/>
          </w:tcPr>
          <w:p>
            <w:pPr>
              <w:pStyle w:val="2"/>
              <w:jc w:val="center"/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3205" w:type="dxa"/>
            <w:vMerge w:val="continue"/>
            <w:noWrap w:val="0"/>
            <w:vAlign w:val="center"/>
          </w:tcPr>
          <w:p>
            <w:pPr>
              <w:pStyle w:val="2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2014" w:type="dxa"/>
            <w:noWrap w:val="0"/>
            <w:vAlign w:val="center"/>
          </w:tcPr>
          <w:p>
            <w:pPr>
              <w:pStyle w:val="2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1"/>
                <w:szCs w:val="21"/>
                <w:vertAlign w:val="baseline"/>
                <w:lang w:val="en-US" w:eastAsia="zh-CN"/>
              </w:rPr>
              <w:t>20</w:t>
            </w:r>
          </w:p>
        </w:tc>
        <w:tc>
          <w:tcPr>
            <w:tcW w:w="2300" w:type="dxa"/>
            <w:noWrap w:val="0"/>
            <w:vAlign w:val="center"/>
          </w:tcPr>
          <w:p>
            <w:pPr>
              <w:pStyle w:val="2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1"/>
                <w:szCs w:val="21"/>
                <w:vertAlign w:val="baseline"/>
                <w:lang w:val="en-US" w:eastAsia="zh-CN"/>
              </w:rPr>
              <w:t>3</w:t>
            </w: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类区</w:t>
            </w:r>
          </w:p>
        </w:tc>
      </w:tr>
    </w:tbl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after="0"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当临街建筑高于三层楼房以上（含三层）时，将临街建筑面向交通干线一侧至交通干线边界线的区域定为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4a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类声环境功能区。</w:t>
      </w:r>
    </w:p>
    <w:p>
      <w:pPr>
        <w:pStyle w:val="13"/>
        <w:spacing w:line="360" w:lineRule="auto"/>
        <w:jc w:val="center"/>
        <w:rPr>
          <w:rFonts w:hint="eastAsia" w:ascii="Times New Roman" w:hAnsi="Times New Roman" w:eastAsia="黑体" w:cs="Times New Roman"/>
          <w:b w:val="0"/>
          <w:bCs w:val="0"/>
          <w:color w:val="auto"/>
          <w:kern w:val="0"/>
          <w:sz w:val="24"/>
          <w:szCs w:val="24"/>
          <w:lang w:val="en-US" w:eastAsia="zh-CN" w:bidi="ar"/>
        </w:rPr>
      </w:pPr>
      <w:r>
        <w:rPr>
          <w:rFonts w:hint="eastAsia" w:ascii="Times New Roman" w:hAnsi="Times New Roman" w:eastAsia="黑体" w:cs="Times New Roman"/>
          <w:b w:val="0"/>
          <w:bCs w:val="0"/>
          <w:color w:val="auto"/>
          <w:kern w:val="0"/>
          <w:sz w:val="24"/>
          <w:szCs w:val="24"/>
          <w:lang w:val="en-US" w:eastAsia="zh-CN" w:bidi="ar"/>
        </w:rPr>
        <w:t>表2  铁路干线（边界）与相邻声功能区距离表</w:t>
      </w:r>
    </w:p>
    <w:tbl>
      <w:tblPr>
        <w:tblStyle w:val="8"/>
        <w:tblW w:w="888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5"/>
        <w:gridCol w:w="3213"/>
        <w:gridCol w:w="2002"/>
        <w:gridCol w:w="230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365" w:type="dxa"/>
            <w:noWrap w:val="0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区划类型</w:t>
            </w:r>
          </w:p>
        </w:tc>
        <w:tc>
          <w:tcPr>
            <w:tcW w:w="3213" w:type="dxa"/>
            <w:noWrap w:val="0"/>
            <w:vAlign w:val="center"/>
          </w:tcPr>
          <w:p>
            <w:pPr>
              <w:pStyle w:val="2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道路类型</w:t>
            </w:r>
          </w:p>
        </w:tc>
        <w:tc>
          <w:tcPr>
            <w:tcW w:w="2002" w:type="dxa"/>
            <w:noWrap w:val="0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划分距离（</w:t>
            </w:r>
            <w:r>
              <w:rPr>
                <w:rFonts w:hint="eastAsia" w:ascii="Times New Roman" w:hAnsi="Times New Roman"/>
                <w:sz w:val="21"/>
                <w:szCs w:val="21"/>
                <w:vertAlign w:val="baseline"/>
                <w:lang w:val="en-US" w:eastAsia="zh-CN"/>
              </w:rPr>
              <w:t>m</w:t>
            </w: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）</w:t>
            </w:r>
          </w:p>
        </w:tc>
        <w:tc>
          <w:tcPr>
            <w:tcW w:w="2306" w:type="dxa"/>
            <w:noWrap w:val="0"/>
            <w:vAlign w:val="center"/>
          </w:tcPr>
          <w:p>
            <w:pPr>
              <w:pStyle w:val="2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相邻功能区类型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365" w:type="dxa"/>
            <w:vMerge w:val="restart"/>
            <w:noWrap w:val="0"/>
            <w:vAlign w:val="center"/>
          </w:tcPr>
          <w:p>
            <w:pPr>
              <w:pStyle w:val="2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1"/>
                <w:szCs w:val="21"/>
                <w:vertAlign w:val="baseline"/>
                <w:lang w:val="en-US" w:eastAsia="zh-CN"/>
              </w:rPr>
              <w:t>4b</w:t>
            </w: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类</w:t>
            </w:r>
          </w:p>
        </w:tc>
        <w:tc>
          <w:tcPr>
            <w:tcW w:w="3213" w:type="dxa"/>
            <w:vMerge w:val="restart"/>
            <w:noWrap w:val="0"/>
            <w:vAlign w:val="center"/>
          </w:tcPr>
          <w:p>
            <w:pPr>
              <w:pStyle w:val="2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铁路干线（铁路线）</w:t>
            </w:r>
          </w:p>
        </w:tc>
        <w:tc>
          <w:tcPr>
            <w:tcW w:w="2002" w:type="dxa"/>
            <w:noWrap w:val="0"/>
            <w:vAlign w:val="center"/>
          </w:tcPr>
          <w:p>
            <w:pPr>
              <w:pStyle w:val="2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1"/>
                <w:szCs w:val="21"/>
                <w:vertAlign w:val="baseline"/>
                <w:lang w:val="en-US" w:eastAsia="zh-CN"/>
              </w:rPr>
              <w:t>50</w:t>
            </w:r>
          </w:p>
        </w:tc>
        <w:tc>
          <w:tcPr>
            <w:tcW w:w="2306" w:type="dxa"/>
            <w:noWrap w:val="0"/>
            <w:vAlign w:val="center"/>
          </w:tcPr>
          <w:p>
            <w:pPr>
              <w:pStyle w:val="2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1"/>
                <w:szCs w:val="21"/>
                <w:vertAlign w:val="baseline"/>
                <w:lang w:val="en-US" w:eastAsia="zh-CN"/>
              </w:rPr>
              <w:t>1</w:t>
            </w: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类区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365" w:type="dxa"/>
            <w:vMerge w:val="continue"/>
            <w:noWrap w:val="0"/>
            <w:vAlign w:val="center"/>
          </w:tcPr>
          <w:p>
            <w:pPr>
              <w:pStyle w:val="2"/>
              <w:jc w:val="center"/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3213" w:type="dxa"/>
            <w:vMerge w:val="continue"/>
            <w:noWrap w:val="0"/>
            <w:vAlign w:val="center"/>
          </w:tcPr>
          <w:p>
            <w:pPr>
              <w:pStyle w:val="2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2002" w:type="dxa"/>
            <w:noWrap w:val="0"/>
            <w:vAlign w:val="center"/>
          </w:tcPr>
          <w:p>
            <w:pPr>
              <w:pStyle w:val="2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1"/>
                <w:szCs w:val="21"/>
                <w:vertAlign w:val="baseline"/>
                <w:lang w:val="en-US" w:eastAsia="zh-CN"/>
              </w:rPr>
              <w:t>35</w:t>
            </w:r>
          </w:p>
        </w:tc>
        <w:tc>
          <w:tcPr>
            <w:tcW w:w="2306" w:type="dxa"/>
            <w:noWrap w:val="0"/>
            <w:vAlign w:val="center"/>
          </w:tcPr>
          <w:p>
            <w:pPr>
              <w:pStyle w:val="2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1"/>
                <w:szCs w:val="21"/>
                <w:vertAlign w:val="baseline"/>
                <w:lang w:val="en-US" w:eastAsia="zh-CN"/>
              </w:rPr>
              <w:t>2</w:t>
            </w: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类区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365" w:type="dxa"/>
            <w:vMerge w:val="continue"/>
            <w:noWrap w:val="0"/>
            <w:vAlign w:val="center"/>
          </w:tcPr>
          <w:p>
            <w:pPr>
              <w:pStyle w:val="2"/>
              <w:jc w:val="center"/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3213" w:type="dxa"/>
            <w:vMerge w:val="continue"/>
            <w:noWrap w:val="0"/>
            <w:vAlign w:val="center"/>
          </w:tcPr>
          <w:p>
            <w:pPr>
              <w:pStyle w:val="2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2002" w:type="dxa"/>
            <w:noWrap w:val="0"/>
            <w:vAlign w:val="center"/>
          </w:tcPr>
          <w:p>
            <w:pPr>
              <w:pStyle w:val="2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1"/>
                <w:szCs w:val="21"/>
                <w:vertAlign w:val="baseline"/>
                <w:lang w:val="en-US" w:eastAsia="zh-CN"/>
              </w:rPr>
              <w:t>20</w:t>
            </w:r>
          </w:p>
        </w:tc>
        <w:tc>
          <w:tcPr>
            <w:tcW w:w="2306" w:type="dxa"/>
            <w:noWrap w:val="0"/>
            <w:vAlign w:val="center"/>
          </w:tcPr>
          <w:p>
            <w:pPr>
              <w:pStyle w:val="2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1"/>
                <w:szCs w:val="21"/>
                <w:vertAlign w:val="baseline"/>
                <w:lang w:val="en-US" w:eastAsia="zh-CN"/>
              </w:rPr>
              <w:t>3</w:t>
            </w: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类区</w:t>
            </w:r>
          </w:p>
        </w:tc>
      </w:tr>
    </w:tbl>
    <w:p>
      <w:pPr>
        <w:pStyle w:val="4"/>
        <w:keepNext/>
        <w:keepLines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600" w:lineRule="exact"/>
        <w:ind w:leftChars="0" w:firstLine="640" w:firstLineChars="200"/>
        <w:jc w:val="both"/>
        <w:textAlignment w:val="baseline"/>
        <w:outlineLvl w:val="1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五、执行标准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after="0"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各类声环境功能区适用表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规定的环境噪声等效声级限值</w:t>
      </w:r>
    </w:p>
    <w:p>
      <w:pPr>
        <w:pStyle w:val="13"/>
        <w:spacing w:line="360" w:lineRule="auto"/>
        <w:jc w:val="center"/>
        <w:rPr>
          <w:rFonts w:hint="default" w:ascii="Times New Roman" w:hAnsi="Times New Roman" w:eastAsia="黑体" w:cs="Times New Roman"/>
          <w:b w:val="0"/>
          <w:bCs w:val="0"/>
          <w:color w:val="auto"/>
          <w:kern w:val="0"/>
          <w:sz w:val="24"/>
          <w:szCs w:val="24"/>
          <w:lang w:val="en-US" w:eastAsia="zh-CN" w:bidi="ar"/>
        </w:rPr>
      </w:pPr>
      <w:r>
        <w:rPr>
          <w:rFonts w:hint="eastAsia" w:ascii="Times New Roman" w:hAnsi="Times New Roman" w:eastAsia="黑体" w:cs="Times New Roman"/>
          <w:b w:val="0"/>
          <w:bCs w:val="0"/>
          <w:color w:val="auto"/>
          <w:kern w:val="0"/>
          <w:sz w:val="24"/>
          <w:szCs w:val="24"/>
          <w:lang w:val="en-US" w:eastAsia="zh-CN" w:bidi="ar"/>
        </w:rPr>
        <w:t xml:space="preserve">                表3  环境噪声限值            单位：dB(A)</w:t>
      </w:r>
    </w:p>
    <w:tbl>
      <w:tblPr>
        <w:tblStyle w:val="9"/>
        <w:tblW w:w="867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1"/>
        <w:gridCol w:w="1605"/>
        <w:gridCol w:w="2826"/>
        <w:gridCol w:w="269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</w:trPr>
        <w:tc>
          <w:tcPr>
            <w:tcW w:w="3156" w:type="dxa"/>
            <w:gridSpan w:val="2"/>
            <w:vMerge w:val="restart"/>
            <w:vAlign w:val="center"/>
          </w:tcPr>
          <w:p>
            <w:pPr>
              <w:pStyle w:val="2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声环境功能区类别</w:t>
            </w:r>
          </w:p>
        </w:tc>
        <w:tc>
          <w:tcPr>
            <w:tcW w:w="5523" w:type="dxa"/>
            <w:gridSpan w:val="2"/>
            <w:vAlign w:val="center"/>
          </w:tcPr>
          <w:p>
            <w:pPr>
              <w:pStyle w:val="2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时段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</w:trPr>
        <w:tc>
          <w:tcPr>
            <w:tcW w:w="3156" w:type="dxa"/>
            <w:gridSpan w:val="2"/>
            <w:vMerge w:val="continue"/>
            <w:vAlign w:val="center"/>
          </w:tcPr>
          <w:p>
            <w:pPr>
              <w:pStyle w:val="2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2826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昼间（</w:t>
            </w:r>
            <w:r>
              <w:rPr>
                <w:rFonts w:hint="eastAsia" w:ascii="Times New Roman" w:hAnsi="Times New Roman"/>
                <w:sz w:val="21"/>
                <w:szCs w:val="21"/>
                <w:vertAlign w:val="baseline"/>
                <w:lang w:val="en-US" w:eastAsia="zh-CN"/>
              </w:rPr>
              <w:t>6</w:t>
            </w: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：</w:t>
            </w:r>
            <w:r>
              <w:rPr>
                <w:rFonts w:hint="eastAsia" w:ascii="Times New Roman" w:hAnsi="Times New Roman"/>
                <w:sz w:val="21"/>
                <w:szCs w:val="21"/>
                <w:vertAlign w:val="baseline"/>
                <w:lang w:val="en-US" w:eastAsia="zh-CN"/>
              </w:rPr>
              <w:t>00</w:t>
            </w: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-</w:t>
            </w:r>
            <w:r>
              <w:rPr>
                <w:rFonts w:hint="eastAsia" w:ascii="Times New Roman" w:hAnsi="Times New Roman"/>
                <w:sz w:val="21"/>
                <w:szCs w:val="21"/>
                <w:vertAlign w:val="baseline"/>
                <w:lang w:val="en-US" w:eastAsia="zh-CN"/>
              </w:rPr>
              <w:t>22</w:t>
            </w: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：</w:t>
            </w:r>
            <w:r>
              <w:rPr>
                <w:rFonts w:hint="eastAsia" w:ascii="Times New Roman" w:hAnsi="Times New Roman"/>
                <w:sz w:val="21"/>
                <w:szCs w:val="21"/>
                <w:vertAlign w:val="baseline"/>
                <w:lang w:val="en-US" w:eastAsia="zh-CN"/>
              </w:rPr>
              <w:t>00</w:t>
            </w: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）</w:t>
            </w:r>
          </w:p>
        </w:tc>
        <w:tc>
          <w:tcPr>
            <w:tcW w:w="2697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夜间（</w:t>
            </w:r>
            <w:r>
              <w:rPr>
                <w:rFonts w:hint="eastAsia" w:ascii="Times New Roman" w:hAnsi="Times New Roman"/>
                <w:sz w:val="21"/>
                <w:szCs w:val="21"/>
                <w:vertAlign w:val="baseline"/>
                <w:lang w:val="en-US" w:eastAsia="zh-CN"/>
              </w:rPr>
              <w:t>22</w:t>
            </w: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：</w:t>
            </w:r>
            <w:r>
              <w:rPr>
                <w:rFonts w:hint="eastAsia" w:ascii="Times New Roman" w:hAnsi="Times New Roman"/>
                <w:sz w:val="21"/>
                <w:szCs w:val="21"/>
                <w:vertAlign w:val="baseline"/>
                <w:lang w:val="en-US" w:eastAsia="zh-CN"/>
              </w:rPr>
              <w:t>00</w:t>
            </w: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-次日</w:t>
            </w:r>
            <w:r>
              <w:rPr>
                <w:rFonts w:hint="eastAsia" w:ascii="Times New Roman" w:hAnsi="Times New Roman"/>
                <w:sz w:val="21"/>
                <w:szCs w:val="21"/>
                <w:vertAlign w:val="baseline"/>
                <w:lang w:val="en-US" w:eastAsia="zh-CN"/>
              </w:rPr>
              <w:t>6</w:t>
            </w: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：</w:t>
            </w:r>
            <w:r>
              <w:rPr>
                <w:rFonts w:hint="eastAsia" w:ascii="Times New Roman" w:hAnsi="Times New Roman"/>
                <w:sz w:val="21"/>
                <w:szCs w:val="21"/>
                <w:vertAlign w:val="baseline"/>
                <w:lang w:val="en-US" w:eastAsia="zh-CN"/>
              </w:rPr>
              <w:t>00</w:t>
            </w: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</w:trPr>
        <w:tc>
          <w:tcPr>
            <w:tcW w:w="3156" w:type="dxa"/>
            <w:gridSpan w:val="2"/>
            <w:vAlign w:val="center"/>
          </w:tcPr>
          <w:p>
            <w:pPr>
              <w:pStyle w:val="2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1"/>
                <w:szCs w:val="21"/>
                <w:vertAlign w:val="baseline"/>
                <w:lang w:val="en-US" w:eastAsia="zh-CN"/>
              </w:rPr>
              <w:t>0</w:t>
            </w: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类</w:t>
            </w:r>
          </w:p>
        </w:tc>
        <w:tc>
          <w:tcPr>
            <w:tcW w:w="2826" w:type="dxa"/>
            <w:vAlign w:val="center"/>
          </w:tcPr>
          <w:p>
            <w:pPr>
              <w:pStyle w:val="2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1"/>
                <w:szCs w:val="21"/>
                <w:vertAlign w:val="baseline"/>
                <w:lang w:val="en-US" w:eastAsia="zh-CN"/>
              </w:rPr>
              <w:t>50</w:t>
            </w:r>
          </w:p>
        </w:tc>
        <w:tc>
          <w:tcPr>
            <w:tcW w:w="2697" w:type="dxa"/>
            <w:vAlign w:val="center"/>
          </w:tcPr>
          <w:p>
            <w:pPr>
              <w:pStyle w:val="2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1"/>
                <w:szCs w:val="21"/>
                <w:vertAlign w:val="baseline"/>
                <w:lang w:val="en-US" w:eastAsia="zh-CN"/>
              </w:rPr>
              <w:t>40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</w:trPr>
        <w:tc>
          <w:tcPr>
            <w:tcW w:w="3156" w:type="dxa"/>
            <w:gridSpan w:val="2"/>
            <w:vAlign w:val="center"/>
          </w:tcPr>
          <w:p>
            <w:pPr>
              <w:pStyle w:val="2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1"/>
                <w:szCs w:val="21"/>
                <w:vertAlign w:val="baseline"/>
                <w:lang w:val="en-US" w:eastAsia="zh-CN"/>
              </w:rPr>
              <w:t>1</w:t>
            </w: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类</w:t>
            </w:r>
          </w:p>
        </w:tc>
        <w:tc>
          <w:tcPr>
            <w:tcW w:w="2826" w:type="dxa"/>
            <w:vAlign w:val="center"/>
          </w:tcPr>
          <w:p>
            <w:pPr>
              <w:pStyle w:val="2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1"/>
                <w:szCs w:val="21"/>
                <w:vertAlign w:val="baseline"/>
                <w:lang w:val="en-US" w:eastAsia="zh-CN"/>
              </w:rPr>
              <w:t>55</w:t>
            </w:r>
          </w:p>
        </w:tc>
        <w:tc>
          <w:tcPr>
            <w:tcW w:w="2697" w:type="dxa"/>
            <w:vAlign w:val="center"/>
          </w:tcPr>
          <w:p>
            <w:pPr>
              <w:pStyle w:val="2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1"/>
                <w:szCs w:val="21"/>
                <w:vertAlign w:val="baseline"/>
                <w:lang w:val="en-US" w:eastAsia="zh-CN"/>
              </w:rPr>
              <w:t>45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</w:trPr>
        <w:tc>
          <w:tcPr>
            <w:tcW w:w="3156" w:type="dxa"/>
            <w:gridSpan w:val="2"/>
            <w:vAlign w:val="center"/>
          </w:tcPr>
          <w:p>
            <w:pPr>
              <w:pStyle w:val="2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1"/>
                <w:szCs w:val="21"/>
                <w:vertAlign w:val="baseline"/>
                <w:lang w:val="en-US" w:eastAsia="zh-CN"/>
              </w:rPr>
              <w:t>2</w:t>
            </w: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类</w:t>
            </w:r>
          </w:p>
        </w:tc>
        <w:tc>
          <w:tcPr>
            <w:tcW w:w="2826" w:type="dxa"/>
            <w:vAlign w:val="center"/>
          </w:tcPr>
          <w:p>
            <w:pPr>
              <w:pStyle w:val="2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1"/>
                <w:szCs w:val="21"/>
                <w:vertAlign w:val="baseline"/>
                <w:lang w:val="en-US" w:eastAsia="zh-CN"/>
              </w:rPr>
              <w:t>60</w:t>
            </w:r>
          </w:p>
        </w:tc>
        <w:tc>
          <w:tcPr>
            <w:tcW w:w="2697" w:type="dxa"/>
            <w:vAlign w:val="center"/>
          </w:tcPr>
          <w:p>
            <w:pPr>
              <w:pStyle w:val="2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1"/>
                <w:szCs w:val="21"/>
                <w:vertAlign w:val="baseline"/>
                <w:lang w:val="en-US" w:eastAsia="zh-CN"/>
              </w:rPr>
              <w:t>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</w:trPr>
        <w:tc>
          <w:tcPr>
            <w:tcW w:w="3156" w:type="dxa"/>
            <w:gridSpan w:val="2"/>
            <w:vAlign w:val="center"/>
          </w:tcPr>
          <w:p>
            <w:pPr>
              <w:pStyle w:val="2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1"/>
                <w:szCs w:val="21"/>
                <w:vertAlign w:val="baseline"/>
                <w:lang w:val="en-US" w:eastAsia="zh-CN"/>
              </w:rPr>
              <w:t>3</w:t>
            </w: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类</w:t>
            </w:r>
          </w:p>
        </w:tc>
        <w:tc>
          <w:tcPr>
            <w:tcW w:w="2826" w:type="dxa"/>
            <w:vAlign w:val="center"/>
          </w:tcPr>
          <w:p>
            <w:pPr>
              <w:pStyle w:val="2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1"/>
                <w:szCs w:val="21"/>
                <w:vertAlign w:val="baseline"/>
                <w:lang w:val="en-US" w:eastAsia="zh-CN"/>
              </w:rPr>
              <w:t>65</w:t>
            </w:r>
          </w:p>
        </w:tc>
        <w:tc>
          <w:tcPr>
            <w:tcW w:w="2697" w:type="dxa"/>
            <w:vAlign w:val="center"/>
          </w:tcPr>
          <w:p>
            <w:pPr>
              <w:pStyle w:val="2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1"/>
                <w:szCs w:val="21"/>
                <w:vertAlign w:val="baseline"/>
                <w:lang w:val="en-US" w:eastAsia="zh-CN"/>
              </w:rPr>
              <w:t>55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</w:trPr>
        <w:tc>
          <w:tcPr>
            <w:tcW w:w="1551" w:type="dxa"/>
            <w:vMerge w:val="restart"/>
            <w:vAlign w:val="center"/>
          </w:tcPr>
          <w:p>
            <w:pPr>
              <w:pStyle w:val="2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1"/>
                <w:szCs w:val="21"/>
                <w:vertAlign w:val="baseline"/>
                <w:lang w:val="en-US" w:eastAsia="zh-CN"/>
              </w:rPr>
              <w:t>4</w:t>
            </w: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类</w:t>
            </w:r>
          </w:p>
        </w:tc>
        <w:tc>
          <w:tcPr>
            <w:tcW w:w="1605" w:type="dxa"/>
            <w:vAlign w:val="center"/>
          </w:tcPr>
          <w:p>
            <w:pPr>
              <w:pStyle w:val="2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1"/>
                <w:szCs w:val="21"/>
                <w:vertAlign w:val="baseline"/>
                <w:lang w:val="en-US" w:eastAsia="zh-CN"/>
              </w:rPr>
              <w:t>4a</w:t>
            </w: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类</w:t>
            </w:r>
          </w:p>
        </w:tc>
        <w:tc>
          <w:tcPr>
            <w:tcW w:w="2826" w:type="dxa"/>
            <w:vAlign w:val="center"/>
          </w:tcPr>
          <w:p>
            <w:pPr>
              <w:pStyle w:val="2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1"/>
                <w:szCs w:val="21"/>
                <w:vertAlign w:val="baseline"/>
                <w:lang w:val="en-US" w:eastAsia="zh-CN"/>
              </w:rPr>
              <w:t>70</w:t>
            </w:r>
          </w:p>
        </w:tc>
        <w:tc>
          <w:tcPr>
            <w:tcW w:w="2697" w:type="dxa"/>
            <w:vAlign w:val="center"/>
          </w:tcPr>
          <w:p>
            <w:pPr>
              <w:pStyle w:val="2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1"/>
                <w:szCs w:val="21"/>
                <w:vertAlign w:val="baseline"/>
                <w:lang w:val="en-US" w:eastAsia="zh-CN"/>
              </w:rPr>
              <w:t>55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1551" w:type="dxa"/>
            <w:vMerge w:val="continue"/>
            <w:vAlign w:val="center"/>
          </w:tcPr>
          <w:p>
            <w:pPr>
              <w:pStyle w:val="2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605" w:type="dxa"/>
            <w:vAlign w:val="center"/>
          </w:tcPr>
          <w:p>
            <w:pPr>
              <w:pStyle w:val="2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1"/>
                <w:szCs w:val="21"/>
                <w:vertAlign w:val="baseline"/>
                <w:lang w:val="en-US" w:eastAsia="zh-CN"/>
              </w:rPr>
              <w:t>4b</w:t>
            </w: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类</w:t>
            </w:r>
          </w:p>
        </w:tc>
        <w:tc>
          <w:tcPr>
            <w:tcW w:w="2826" w:type="dxa"/>
            <w:vAlign w:val="center"/>
          </w:tcPr>
          <w:p>
            <w:pPr>
              <w:pStyle w:val="2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1"/>
                <w:szCs w:val="21"/>
                <w:vertAlign w:val="baseline"/>
                <w:lang w:val="en-US" w:eastAsia="zh-CN"/>
              </w:rPr>
              <w:t>70</w:t>
            </w:r>
          </w:p>
        </w:tc>
        <w:tc>
          <w:tcPr>
            <w:tcW w:w="2697" w:type="dxa"/>
            <w:vAlign w:val="center"/>
          </w:tcPr>
          <w:p>
            <w:pPr>
              <w:pStyle w:val="2"/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1"/>
                <w:szCs w:val="21"/>
                <w:vertAlign w:val="baseline"/>
                <w:lang w:val="en-US" w:eastAsia="zh-CN"/>
              </w:rPr>
              <w:t>60</w:t>
            </w:r>
          </w:p>
        </w:tc>
      </w:tr>
    </w:tbl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 w:val="0"/>
          <w:color w:val="auto"/>
          <w:kern w:val="0"/>
          <w:sz w:val="32"/>
          <w:szCs w:val="32"/>
          <w:lang w:val="en-US" w:bidi="ar-SA"/>
        </w:rPr>
      </w:pPr>
      <w:r>
        <w:rPr>
          <w:rFonts w:hint="eastAsia" w:ascii="Times New Roman" w:hAnsi="Times New Roman" w:eastAsia="黑体" w:cs="Times New Roman"/>
          <w:b w:val="0"/>
          <w:bCs w:val="0"/>
          <w:sz w:val="32"/>
          <w:szCs w:val="32"/>
          <w:lang w:val="en-US" w:eastAsia="zh-CN"/>
        </w:rPr>
        <w:t>六、声环境区划结果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按照区划原则及方法，此次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荣成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市城市区域声环境功能区划分为</w:t>
      </w:r>
      <w:r>
        <w:rPr>
          <w:rFonts w:hint="default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4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类功能区（无</w:t>
      </w:r>
      <w:r>
        <w:rPr>
          <w:rFonts w:hint="default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0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类标准适用区），见表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4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和表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5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。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ind w:firstLine="480" w:firstLineChars="200"/>
        <w:jc w:val="center"/>
        <w:textAlignment w:val="auto"/>
        <w:rPr>
          <w:rFonts w:hint="eastAsia" w:ascii="Times New Roman" w:hAnsi="Times New Roman" w:eastAsia="黑体" w:cs="Times New Roman"/>
          <w:b w:val="0"/>
          <w:bCs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="Times New Roman" w:hAnsi="Times New Roman" w:eastAsia="黑体" w:cs="Times New Roman"/>
          <w:b w:val="0"/>
          <w:bCs w:val="0"/>
          <w:color w:val="auto"/>
          <w:kern w:val="0"/>
          <w:sz w:val="24"/>
          <w:szCs w:val="24"/>
          <w:lang w:val="en-US" w:eastAsia="zh-CN" w:bidi="ar"/>
        </w:rPr>
        <w:t>表4  荣成市城市区域声环境功能区划方案</w:t>
      </w:r>
      <w:bookmarkStart w:id="2" w:name="_Toc22531"/>
    </w:p>
    <w:tbl>
      <w:tblPr>
        <w:tblStyle w:val="8"/>
        <w:tblW w:w="919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0"/>
        <w:gridCol w:w="1237"/>
        <w:gridCol w:w="3893"/>
        <w:gridCol w:w="1185"/>
        <w:gridCol w:w="1072"/>
        <w:gridCol w:w="120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  <w:jc w:val="center"/>
        </w:trPr>
        <w:tc>
          <w:tcPr>
            <w:tcW w:w="600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kern w:val="0"/>
                <w:szCs w:val="21"/>
              </w:rPr>
              <w:t>类别</w:t>
            </w:r>
          </w:p>
        </w:tc>
        <w:tc>
          <w:tcPr>
            <w:tcW w:w="1237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kern w:val="0"/>
                <w:szCs w:val="21"/>
              </w:rPr>
              <w:t>功能</w:t>
            </w:r>
          </w:p>
        </w:tc>
        <w:tc>
          <w:tcPr>
            <w:tcW w:w="3893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kern w:val="0"/>
                <w:szCs w:val="21"/>
              </w:rPr>
              <w:t>片区（交通干线）名称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kern w:val="0"/>
                <w:szCs w:val="21"/>
              </w:rPr>
              <w:t>片区面积</w:t>
            </w:r>
          </w:p>
          <w:p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kern w:val="0"/>
                <w:szCs w:val="21"/>
              </w:rPr>
              <w:t>（平方公里）</w:t>
            </w:r>
          </w:p>
        </w:tc>
        <w:tc>
          <w:tcPr>
            <w:tcW w:w="1072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kern w:val="0"/>
                <w:szCs w:val="21"/>
              </w:rPr>
              <w:t>总面积</w:t>
            </w:r>
          </w:p>
          <w:p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kern w:val="0"/>
                <w:szCs w:val="21"/>
              </w:rPr>
              <w:t>（平方公里）</w:t>
            </w:r>
          </w:p>
        </w:tc>
        <w:tc>
          <w:tcPr>
            <w:tcW w:w="1206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kern w:val="0"/>
                <w:szCs w:val="21"/>
              </w:rPr>
              <w:t>占区划总面积</w:t>
            </w:r>
          </w:p>
          <w:p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kern w:val="0"/>
                <w:szCs w:val="21"/>
              </w:rPr>
              <w:t>比例（</w:t>
            </w:r>
            <w:r>
              <w:rPr>
                <w:b/>
                <w:kern w:val="0"/>
                <w:szCs w:val="21"/>
              </w:rPr>
              <w:t>%</w:t>
            </w:r>
            <w:r>
              <w:rPr>
                <w:rFonts w:hint="eastAsia" w:ascii="宋体" w:hAnsi="宋体" w:cs="宋体"/>
                <w:b/>
                <w:kern w:val="0"/>
                <w:szCs w:val="21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" w:hRule="atLeast"/>
          <w:jc w:val="center"/>
        </w:trPr>
        <w:tc>
          <w:tcPr>
            <w:tcW w:w="600" w:type="dxa"/>
            <w:vMerge w:val="restart"/>
            <w:noWrap w:val="0"/>
            <w:vAlign w:val="center"/>
          </w:tcPr>
          <w:p>
            <w:pPr>
              <w:spacing w:line="360" w:lineRule="auto"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Times New Roman" w:hAnsi="Times New Roman"/>
                <w:kern w:val="0"/>
                <w:sz w:val="22"/>
                <w:szCs w:val="22"/>
              </w:rPr>
              <w:t>1</w:t>
            </w:r>
          </w:p>
        </w:tc>
        <w:tc>
          <w:tcPr>
            <w:tcW w:w="1237" w:type="dxa"/>
            <w:vMerge w:val="restart"/>
            <w:noWrap w:val="0"/>
            <w:vAlign w:val="center"/>
          </w:tcPr>
          <w:p>
            <w:pPr>
              <w:widowControl/>
              <w:spacing w:line="360" w:lineRule="auto"/>
              <w:rPr>
                <w:rFonts w:hint="eastAsia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  <w:t>居住、文教机关为主区域</w:t>
            </w:r>
          </w:p>
        </w:tc>
        <w:tc>
          <w:tcPr>
            <w:tcW w:w="3893" w:type="dxa"/>
            <w:noWrap w:val="0"/>
            <w:vAlign w:val="center"/>
          </w:tcPr>
          <w:p>
            <w:pPr>
              <w:widowControl/>
              <w:spacing w:line="360" w:lineRule="auto"/>
              <w:rPr>
                <w:rFonts w:hint="eastAsia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  <w:t>崖头村第三居民居住区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 w:eastAsia="宋体"/>
                <w:kern w:val="0"/>
                <w:sz w:val="22"/>
                <w:szCs w:val="22"/>
                <w:highlight w:val="yellow"/>
                <w:lang w:val="en-US" w:eastAsia="zh-CN"/>
              </w:rPr>
            </w:pP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0</w:t>
            </w:r>
            <w:r>
              <w:rPr>
                <w:rFonts w:hint="eastAsia"/>
                <w:kern w:val="0"/>
                <w:sz w:val="22"/>
                <w:szCs w:val="22"/>
                <w:highlight w:val="none"/>
                <w:lang w:val="en-US" w:eastAsia="zh-CN"/>
              </w:rPr>
              <w:t>.</w:t>
            </w: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502</w:t>
            </w:r>
          </w:p>
        </w:tc>
        <w:tc>
          <w:tcPr>
            <w:tcW w:w="1072" w:type="dxa"/>
            <w:vMerge w:val="restar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eastAsia="宋体"/>
                <w:kern w:val="0"/>
                <w:sz w:val="22"/>
                <w:szCs w:val="22"/>
                <w:highlight w:val="yellow"/>
                <w:lang w:val="en-US" w:eastAsia="zh-CN"/>
              </w:rPr>
            </w:pP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34</w:t>
            </w:r>
            <w:r>
              <w:rPr>
                <w:rFonts w:hint="eastAsia"/>
                <w:kern w:val="0"/>
                <w:sz w:val="22"/>
                <w:szCs w:val="22"/>
                <w:highlight w:val="none"/>
                <w:lang w:val="en-US" w:eastAsia="zh-CN"/>
              </w:rPr>
              <w:t>.</w:t>
            </w: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846</w:t>
            </w:r>
          </w:p>
        </w:tc>
        <w:tc>
          <w:tcPr>
            <w:tcW w:w="1206" w:type="dxa"/>
            <w:vMerge w:val="restar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eastAsia="宋体"/>
                <w:kern w:val="0"/>
                <w:sz w:val="22"/>
                <w:szCs w:val="22"/>
                <w:highlight w:val="yellow"/>
                <w:lang w:val="en-US" w:eastAsia="zh-CN"/>
              </w:rPr>
            </w:pP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41</w:t>
            </w:r>
            <w:r>
              <w:rPr>
                <w:rFonts w:hint="eastAsia"/>
                <w:kern w:val="0"/>
                <w:sz w:val="22"/>
                <w:szCs w:val="22"/>
                <w:highlight w:val="none"/>
                <w:lang w:val="en-US" w:eastAsia="zh-CN"/>
              </w:rPr>
              <w:t>.</w:t>
            </w: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" w:hRule="atLeast"/>
          <w:jc w:val="center"/>
        </w:trPr>
        <w:tc>
          <w:tcPr>
            <w:tcW w:w="600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</w:p>
        </w:tc>
        <w:tc>
          <w:tcPr>
            <w:tcW w:w="1237" w:type="dxa"/>
            <w:vMerge w:val="continue"/>
            <w:noWrap w:val="0"/>
            <w:vAlign w:val="center"/>
          </w:tcPr>
          <w:p>
            <w:pPr>
              <w:widowControl/>
              <w:spacing w:line="360" w:lineRule="auto"/>
              <w:rPr>
                <w:rFonts w:hint="eastAsia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</w:p>
        </w:tc>
        <w:tc>
          <w:tcPr>
            <w:tcW w:w="3893" w:type="dxa"/>
            <w:noWrap w:val="0"/>
            <w:vAlign w:val="center"/>
          </w:tcPr>
          <w:p>
            <w:pPr>
              <w:widowControl/>
              <w:spacing w:line="360" w:lineRule="auto"/>
              <w:rPr>
                <w:rFonts w:hint="eastAsia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  <w:t>人民医院-黎明小区居住集中区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 w:eastAsia="宋体"/>
                <w:kern w:val="0"/>
                <w:sz w:val="22"/>
                <w:szCs w:val="22"/>
                <w:highlight w:val="yellow"/>
                <w:lang w:val="en-US" w:eastAsia="zh-CN"/>
              </w:rPr>
            </w:pP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2</w:t>
            </w:r>
            <w:r>
              <w:rPr>
                <w:rFonts w:hint="eastAsia"/>
                <w:kern w:val="0"/>
                <w:sz w:val="22"/>
                <w:szCs w:val="22"/>
                <w:highlight w:val="none"/>
                <w:lang w:val="en-US" w:eastAsia="zh-CN"/>
              </w:rPr>
              <w:t>.</w:t>
            </w: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379</w:t>
            </w:r>
          </w:p>
        </w:tc>
        <w:tc>
          <w:tcPr>
            <w:tcW w:w="107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  <w:highlight w:val="yellow"/>
              </w:rPr>
            </w:pPr>
          </w:p>
        </w:tc>
        <w:tc>
          <w:tcPr>
            <w:tcW w:w="1206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  <w:highlight w:val="yello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00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</w:p>
        </w:tc>
        <w:tc>
          <w:tcPr>
            <w:tcW w:w="1237" w:type="dxa"/>
            <w:vMerge w:val="continue"/>
            <w:noWrap w:val="0"/>
            <w:vAlign w:val="center"/>
          </w:tcPr>
          <w:p>
            <w:pPr>
              <w:widowControl/>
              <w:spacing w:line="360" w:lineRule="auto"/>
              <w:rPr>
                <w:rFonts w:hint="eastAsia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</w:p>
        </w:tc>
        <w:tc>
          <w:tcPr>
            <w:tcW w:w="3893" w:type="dxa"/>
            <w:noWrap w:val="0"/>
            <w:vAlign w:val="center"/>
          </w:tcPr>
          <w:p>
            <w:pPr>
              <w:widowControl/>
              <w:spacing w:line="360" w:lineRule="auto"/>
              <w:rPr>
                <w:rFonts w:hint="default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  <w:t>青山路北文教、</w:t>
            </w:r>
            <w:r>
              <w:rPr>
                <w:rFonts w:hint="eastAsia" w:ascii="宋体" w:hAnsi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  <w:t>居住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  <w:t>集中区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 w:eastAsia="宋体"/>
                <w:kern w:val="0"/>
                <w:sz w:val="22"/>
                <w:szCs w:val="22"/>
                <w:highlight w:val="yellow"/>
                <w:lang w:val="en-US" w:eastAsia="zh-CN"/>
              </w:rPr>
            </w:pP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4</w:t>
            </w:r>
            <w:r>
              <w:rPr>
                <w:rFonts w:hint="eastAsia"/>
                <w:kern w:val="0"/>
                <w:sz w:val="22"/>
                <w:szCs w:val="22"/>
                <w:highlight w:val="none"/>
                <w:lang w:val="en-US" w:eastAsia="zh-CN"/>
              </w:rPr>
              <w:t>.</w:t>
            </w: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844</w:t>
            </w:r>
          </w:p>
        </w:tc>
        <w:tc>
          <w:tcPr>
            <w:tcW w:w="107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  <w:highlight w:val="yellow"/>
              </w:rPr>
            </w:pPr>
          </w:p>
        </w:tc>
        <w:tc>
          <w:tcPr>
            <w:tcW w:w="1206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  <w:highlight w:val="yello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00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</w:p>
        </w:tc>
        <w:tc>
          <w:tcPr>
            <w:tcW w:w="1237" w:type="dxa"/>
            <w:vMerge w:val="continue"/>
            <w:noWrap w:val="0"/>
            <w:vAlign w:val="center"/>
          </w:tcPr>
          <w:p>
            <w:pPr>
              <w:widowControl/>
              <w:spacing w:line="360" w:lineRule="auto"/>
              <w:rPr>
                <w:rFonts w:hint="eastAsia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</w:p>
        </w:tc>
        <w:tc>
          <w:tcPr>
            <w:tcW w:w="3893" w:type="dxa"/>
            <w:noWrap w:val="0"/>
            <w:vAlign w:val="center"/>
          </w:tcPr>
          <w:p>
            <w:pPr>
              <w:widowControl/>
              <w:spacing w:line="360" w:lineRule="auto"/>
              <w:rPr>
                <w:rFonts w:hint="default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  <w:t>市中居住、机关</w:t>
            </w:r>
            <w:r>
              <w:rPr>
                <w:rFonts w:hint="eastAsia" w:ascii="宋体" w:hAnsi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  <w:t>集中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  <w:t>区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4</w:t>
            </w:r>
            <w:r>
              <w:rPr>
                <w:rFonts w:hint="eastAsia"/>
                <w:kern w:val="0"/>
                <w:sz w:val="22"/>
                <w:szCs w:val="22"/>
                <w:highlight w:val="none"/>
                <w:lang w:val="en-US" w:eastAsia="zh-CN"/>
              </w:rPr>
              <w:t>.</w:t>
            </w: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646</w:t>
            </w:r>
          </w:p>
        </w:tc>
        <w:tc>
          <w:tcPr>
            <w:tcW w:w="107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  <w:highlight w:val="yellow"/>
              </w:rPr>
            </w:pPr>
          </w:p>
        </w:tc>
        <w:tc>
          <w:tcPr>
            <w:tcW w:w="1206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  <w:highlight w:val="yello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00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</w:p>
        </w:tc>
        <w:tc>
          <w:tcPr>
            <w:tcW w:w="1237" w:type="dxa"/>
            <w:vMerge w:val="continue"/>
            <w:noWrap w:val="0"/>
            <w:vAlign w:val="center"/>
          </w:tcPr>
          <w:p>
            <w:pPr>
              <w:widowControl/>
              <w:spacing w:line="360" w:lineRule="auto"/>
              <w:rPr>
                <w:rFonts w:hint="eastAsia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</w:p>
        </w:tc>
        <w:tc>
          <w:tcPr>
            <w:tcW w:w="3893" w:type="dxa"/>
            <w:noWrap w:val="0"/>
            <w:vAlign w:val="center"/>
          </w:tcPr>
          <w:p>
            <w:pPr>
              <w:widowControl/>
              <w:spacing w:line="360" w:lineRule="auto"/>
              <w:rPr>
                <w:rFonts w:hint="default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  <w:t>政府广场周边机关办公及文教区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0</w:t>
            </w:r>
            <w:r>
              <w:rPr>
                <w:rFonts w:hint="eastAsia"/>
                <w:kern w:val="0"/>
                <w:sz w:val="22"/>
                <w:szCs w:val="22"/>
                <w:highlight w:val="none"/>
                <w:lang w:val="en-US" w:eastAsia="zh-CN"/>
              </w:rPr>
              <w:t>.</w:t>
            </w: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923</w:t>
            </w:r>
          </w:p>
        </w:tc>
        <w:tc>
          <w:tcPr>
            <w:tcW w:w="107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  <w:highlight w:val="yellow"/>
              </w:rPr>
            </w:pPr>
          </w:p>
        </w:tc>
        <w:tc>
          <w:tcPr>
            <w:tcW w:w="1206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  <w:highlight w:val="yello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00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</w:p>
        </w:tc>
        <w:tc>
          <w:tcPr>
            <w:tcW w:w="1237" w:type="dxa"/>
            <w:vMerge w:val="continue"/>
            <w:noWrap w:val="0"/>
            <w:vAlign w:val="center"/>
          </w:tcPr>
          <w:p>
            <w:pPr>
              <w:widowControl/>
              <w:spacing w:line="360" w:lineRule="auto"/>
              <w:rPr>
                <w:rFonts w:hint="eastAsia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</w:p>
        </w:tc>
        <w:tc>
          <w:tcPr>
            <w:tcW w:w="3893" w:type="dxa"/>
            <w:noWrap w:val="0"/>
            <w:vAlign w:val="center"/>
          </w:tcPr>
          <w:p>
            <w:pPr>
              <w:widowControl/>
              <w:spacing w:line="360" w:lineRule="auto"/>
              <w:rPr>
                <w:rFonts w:hint="default" w:ascii="宋体" w:hAnsi="宋体" w:eastAsia="宋体" w:cs="宋体"/>
                <w:color w:val="auto"/>
                <w:kern w:val="2"/>
                <w:sz w:val="22"/>
                <w:szCs w:val="22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2"/>
                <w:szCs w:val="22"/>
                <w:highlight w:val="none"/>
                <w:lang w:val="en-US" w:eastAsia="zh-CN" w:bidi="ar-SA"/>
              </w:rPr>
              <w:t>绿岛湖北岸居住集中区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2</w:t>
            </w:r>
            <w:r>
              <w:rPr>
                <w:rFonts w:hint="eastAsia"/>
                <w:kern w:val="0"/>
                <w:sz w:val="22"/>
                <w:szCs w:val="22"/>
                <w:highlight w:val="none"/>
                <w:lang w:val="en-US" w:eastAsia="zh-CN"/>
              </w:rPr>
              <w:t>.</w:t>
            </w: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280</w:t>
            </w:r>
          </w:p>
        </w:tc>
        <w:tc>
          <w:tcPr>
            <w:tcW w:w="107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  <w:highlight w:val="yellow"/>
              </w:rPr>
            </w:pPr>
          </w:p>
        </w:tc>
        <w:tc>
          <w:tcPr>
            <w:tcW w:w="1206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  <w:highlight w:val="yello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00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</w:p>
        </w:tc>
        <w:tc>
          <w:tcPr>
            <w:tcW w:w="1237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3893" w:type="dxa"/>
            <w:noWrap w:val="0"/>
            <w:vAlign w:val="center"/>
          </w:tcPr>
          <w:p>
            <w:pPr>
              <w:widowControl/>
              <w:spacing w:line="360" w:lineRule="auto"/>
              <w:rPr>
                <w:rFonts w:hint="eastAsia" w:ascii="宋体" w:hAnsi="宋体" w:eastAsia="宋体" w:cs="宋体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  <w:t>经济开发区（居住区）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3</w:t>
            </w:r>
            <w:r>
              <w:rPr>
                <w:rFonts w:hint="eastAsia"/>
                <w:kern w:val="0"/>
                <w:sz w:val="22"/>
                <w:szCs w:val="22"/>
                <w:highlight w:val="none"/>
                <w:lang w:val="en-US" w:eastAsia="zh-CN"/>
              </w:rPr>
              <w:t>.</w:t>
            </w: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089</w:t>
            </w:r>
          </w:p>
        </w:tc>
        <w:tc>
          <w:tcPr>
            <w:tcW w:w="107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  <w:highlight w:val="yellow"/>
              </w:rPr>
            </w:pPr>
          </w:p>
        </w:tc>
        <w:tc>
          <w:tcPr>
            <w:tcW w:w="1206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  <w:highlight w:val="yello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00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</w:p>
        </w:tc>
        <w:tc>
          <w:tcPr>
            <w:tcW w:w="1237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3893" w:type="dxa"/>
            <w:noWrap w:val="0"/>
            <w:vAlign w:val="center"/>
          </w:tcPr>
          <w:p>
            <w:pPr>
              <w:widowControl/>
              <w:spacing w:line="360" w:lineRule="auto"/>
              <w:rPr>
                <w:rFonts w:hint="eastAsia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  <w:t>崂山周边居住</w:t>
            </w:r>
            <w:r>
              <w:rPr>
                <w:rFonts w:hint="eastAsia" w:ascii="宋体" w:hAnsi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  <w:t>集中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  <w:t>区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2</w:t>
            </w:r>
            <w:r>
              <w:rPr>
                <w:rFonts w:hint="eastAsia"/>
                <w:kern w:val="0"/>
                <w:sz w:val="22"/>
                <w:szCs w:val="22"/>
                <w:highlight w:val="none"/>
                <w:lang w:val="en-US" w:eastAsia="zh-CN"/>
              </w:rPr>
              <w:t>.</w:t>
            </w: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784</w:t>
            </w:r>
          </w:p>
        </w:tc>
        <w:tc>
          <w:tcPr>
            <w:tcW w:w="107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  <w:highlight w:val="yellow"/>
              </w:rPr>
            </w:pPr>
          </w:p>
        </w:tc>
        <w:tc>
          <w:tcPr>
            <w:tcW w:w="1206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  <w:highlight w:val="yello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00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</w:p>
        </w:tc>
        <w:tc>
          <w:tcPr>
            <w:tcW w:w="1237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3893" w:type="dxa"/>
            <w:noWrap w:val="0"/>
            <w:vAlign w:val="center"/>
          </w:tcPr>
          <w:p>
            <w:pPr>
              <w:widowControl/>
              <w:spacing w:line="360" w:lineRule="auto"/>
              <w:rPr>
                <w:rFonts w:hint="eastAsia" w:ascii="宋体" w:hAnsi="宋体" w:eastAsia="宋体" w:cs="宋体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  <w:t>崂山屯村、长青海世界居住集中区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1</w:t>
            </w:r>
            <w:r>
              <w:rPr>
                <w:rFonts w:hint="eastAsia"/>
                <w:kern w:val="0"/>
                <w:sz w:val="22"/>
                <w:szCs w:val="22"/>
                <w:highlight w:val="none"/>
                <w:lang w:val="en-US" w:eastAsia="zh-CN"/>
              </w:rPr>
              <w:t>.</w:t>
            </w: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640</w:t>
            </w:r>
          </w:p>
        </w:tc>
        <w:tc>
          <w:tcPr>
            <w:tcW w:w="107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  <w:highlight w:val="yellow"/>
              </w:rPr>
            </w:pPr>
          </w:p>
        </w:tc>
        <w:tc>
          <w:tcPr>
            <w:tcW w:w="1206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  <w:highlight w:val="yello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00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</w:p>
        </w:tc>
        <w:tc>
          <w:tcPr>
            <w:tcW w:w="1237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3893" w:type="dxa"/>
            <w:noWrap w:val="0"/>
            <w:vAlign w:val="center"/>
          </w:tcPr>
          <w:p>
            <w:pPr>
              <w:widowControl/>
              <w:spacing w:line="360" w:lineRule="auto"/>
              <w:rPr>
                <w:rFonts w:hint="eastAsia" w:ascii="宋体" w:hAnsi="宋体" w:eastAsia="宋体" w:cs="宋体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  <w:t>柳家庄村-毕家屯村文教、居住</w:t>
            </w:r>
            <w:r>
              <w:rPr>
                <w:rFonts w:hint="eastAsia" w:ascii="宋体" w:hAnsi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  <w:t>集中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  <w:t>区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3</w:t>
            </w:r>
            <w:r>
              <w:rPr>
                <w:rFonts w:hint="eastAsia"/>
                <w:kern w:val="0"/>
                <w:sz w:val="22"/>
                <w:szCs w:val="22"/>
                <w:highlight w:val="none"/>
                <w:lang w:val="en-US" w:eastAsia="zh-CN"/>
              </w:rPr>
              <w:t>.</w:t>
            </w: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641</w:t>
            </w:r>
          </w:p>
        </w:tc>
        <w:tc>
          <w:tcPr>
            <w:tcW w:w="107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  <w:highlight w:val="yellow"/>
              </w:rPr>
            </w:pPr>
          </w:p>
        </w:tc>
        <w:tc>
          <w:tcPr>
            <w:tcW w:w="1206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  <w:highlight w:val="yello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00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</w:p>
        </w:tc>
        <w:tc>
          <w:tcPr>
            <w:tcW w:w="1237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3893" w:type="dxa"/>
            <w:noWrap w:val="0"/>
            <w:vAlign w:val="center"/>
          </w:tcPr>
          <w:p>
            <w:pPr>
              <w:widowControl/>
              <w:spacing w:line="360" w:lineRule="auto"/>
              <w:rPr>
                <w:rFonts w:hint="default" w:ascii="宋体" w:hAnsi="宋体" w:eastAsia="宋体" w:cs="宋体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highlight w:val="none"/>
                <w:lang w:val="en-US" w:eastAsia="zh-CN"/>
              </w:rPr>
              <w:t>滨海公园居住、休闲区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2</w:t>
            </w:r>
            <w:r>
              <w:rPr>
                <w:rFonts w:hint="eastAsia"/>
                <w:kern w:val="0"/>
                <w:sz w:val="22"/>
                <w:szCs w:val="22"/>
                <w:highlight w:val="none"/>
                <w:lang w:val="en-US" w:eastAsia="zh-CN"/>
              </w:rPr>
              <w:t>.</w:t>
            </w: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970</w:t>
            </w:r>
          </w:p>
        </w:tc>
        <w:tc>
          <w:tcPr>
            <w:tcW w:w="107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  <w:highlight w:val="yellow"/>
              </w:rPr>
            </w:pPr>
          </w:p>
        </w:tc>
        <w:tc>
          <w:tcPr>
            <w:tcW w:w="1206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  <w:highlight w:val="yello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00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</w:p>
        </w:tc>
        <w:tc>
          <w:tcPr>
            <w:tcW w:w="1237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3893" w:type="dxa"/>
            <w:noWrap w:val="0"/>
            <w:vAlign w:val="center"/>
          </w:tcPr>
          <w:p>
            <w:pPr>
              <w:widowControl/>
              <w:spacing w:line="360" w:lineRule="auto"/>
              <w:rPr>
                <w:rFonts w:hint="eastAsia" w:ascii="宋体" w:hAnsi="宋体" w:eastAsia="宋体" w:cs="宋体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  <w:t>西龙家村-荣兴社区</w:t>
            </w:r>
            <w:r>
              <w:rPr>
                <w:rFonts w:hint="eastAsia" w:ascii="宋体" w:hAnsi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  <w:t>居住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  <w:t>集中区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1</w:t>
            </w:r>
            <w:r>
              <w:rPr>
                <w:rFonts w:hint="eastAsia"/>
                <w:kern w:val="0"/>
                <w:sz w:val="22"/>
                <w:szCs w:val="22"/>
                <w:highlight w:val="none"/>
                <w:lang w:val="en-US" w:eastAsia="zh-CN"/>
              </w:rPr>
              <w:t>.</w:t>
            </w: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782</w:t>
            </w:r>
          </w:p>
        </w:tc>
        <w:tc>
          <w:tcPr>
            <w:tcW w:w="107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  <w:highlight w:val="yellow"/>
              </w:rPr>
            </w:pPr>
          </w:p>
        </w:tc>
        <w:tc>
          <w:tcPr>
            <w:tcW w:w="1206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  <w:highlight w:val="yello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00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</w:p>
        </w:tc>
        <w:tc>
          <w:tcPr>
            <w:tcW w:w="1237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3893" w:type="dxa"/>
            <w:noWrap w:val="0"/>
            <w:vAlign w:val="center"/>
          </w:tcPr>
          <w:p>
            <w:pPr>
              <w:widowControl/>
              <w:spacing w:line="360" w:lineRule="auto"/>
              <w:rPr>
                <w:rFonts w:hint="default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  <w:t>寻山文教、居住</w:t>
            </w:r>
            <w:r>
              <w:rPr>
                <w:rFonts w:hint="eastAsia" w:ascii="宋体" w:hAnsi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  <w:t>集中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  <w:t>区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3</w:t>
            </w:r>
            <w:r>
              <w:rPr>
                <w:rFonts w:hint="eastAsia"/>
                <w:kern w:val="0"/>
                <w:sz w:val="22"/>
                <w:szCs w:val="22"/>
                <w:highlight w:val="none"/>
                <w:lang w:val="en-US" w:eastAsia="zh-CN"/>
              </w:rPr>
              <w:t>.</w:t>
            </w: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366</w:t>
            </w:r>
          </w:p>
        </w:tc>
        <w:tc>
          <w:tcPr>
            <w:tcW w:w="107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  <w:highlight w:val="yellow"/>
              </w:rPr>
            </w:pPr>
          </w:p>
        </w:tc>
        <w:tc>
          <w:tcPr>
            <w:tcW w:w="1206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  <w:highlight w:val="yello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  <w:jc w:val="center"/>
        </w:trPr>
        <w:tc>
          <w:tcPr>
            <w:tcW w:w="600" w:type="dxa"/>
            <w:vMerge w:val="restart"/>
            <w:noWrap w:val="0"/>
            <w:vAlign w:val="center"/>
          </w:tcPr>
          <w:p>
            <w:pPr>
              <w:spacing w:line="360" w:lineRule="auto"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Times New Roman" w:hAnsi="Times New Roman"/>
                <w:kern w:val="0"/>
                <w:sz w:val="22"/>
                <w:szCs w:val="22"/>
              </w:rPr>
              <w:t>2</w:t>
            </w:r>
          </w:p>
        </w:tc>
        <w:tc>
          <w:tcPr>
            <w:tcW w:w="1237" w:type="dxa"/>
            <w:vMerge w:val="restar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居住、商业、工业混合区</w:t>
            </w:r>
          </w:p>
        </w:tc>
        <w:tc>
          <w:tcPr>
            <w:tcW w:w="3893" w:type="dxa"/>
            <w:noWrap w:val="0"/>
            <w:vAlign w:val="center"/>
          </w:tcPr>
          <w:p>
            <w:pPr>
              <w:widowControl/>
              <w:spacing w:line="360" w:lineRule="auto"/>
              <w:rPr>
                <w:rFonts w:hint="eastAsia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  <w:t>城西街道周边的居住、商业、工业混合</w:t>
            </w:r>
            <w:r>
              <w:rPr>
                <w:rFonts w:hint="default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  <w:t>区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 w:eastAsia="宋体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0</w:t>
            </w:r>
            <w:r>
              <w:rPr>
                <w:rFonts w:hint="eastAsia"/>
                <w:kern w:val="0"/>
                <w:sz w:val="22"/>
                <w:szCs w:val="22"/>
                <w:highlight w:val="none"/>
                <w:lang w:val="en-US" w:eastAsia="zh-CN"/>
              </w:rPr>
              <w:t>.</w:t>
            </w: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917</w:t>
            </w:r>
          </w:p>
        </w:tc>
        <w:tc>
          <w:tcPr>
            <w:tcW w:w="1072" w:type="dxa"/>
            <w:vMerge w:val="restar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eastAsia="宋体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18</w:t>
            </w:r>
            <w:r>
              <w:rPr>
                <w:rFonts w:hint="eastAsia"/>
                <w:kern w:val="0"/>
                <w:sz w:val="22"/>
                <w:szCs w:val="22"/>
                <w:highlight w:val="none"/>
                <w:lang w:val="en-US" w:eastAsia="zh-CN"/>
              </w:rPr>
              <w:t>.</w:t>
            </w: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801</w:t>
            </w:r>
          </w:p>
        </w:tc>
        <w:tc>
          <w:tcPr>
            <w:tcW w:w="1206" w:type="dxa"/>
            <w:vMerge w:val="restar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eastAsia="宋体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22</w:t>
            </w:r>
            <w:r>
              <w:rPr>
                <w:rFonts w:hint="eastAsia"/>
                <w:kern w:val="0"/>
                <w:sz w:val="22"/>
                <w:szCs w:val="22"/>
                <w:highlight w:val="none"/>
                <w:lang w:val="en-US" w:eastAsia="zh-CN"/>
              </w:rPr>
              <w:t>.</w:t>
            </w: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  <w:jc w:val="center"/>
        </w:trPr>
        <w:tc>
          <w:tcPr>
            <w:tcW w:w="600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</w:p>
        </w:tc>
        <w:tc>
          <w:tcPr>
            <w:tcW w:w="1237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3893" w:type="dxa"/>
            <w:noWrap w:val="0"/>
            <w:vAlign w:val="center"/>
          </w:tcPr>
          <w:p>
            <w:pPr>
              <w:widowControl/>
              <w:spacing w:line="360" w:lineRule="auto"/>
              <w:rPr>
                <w:rFonts w:hint="eastAsia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  <w:t>成山集团东侧、北侧混合区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 w:eastAsia="宋体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/>
                <w:kern w:val="0"/>
                <w:sz w:val="22"/>
                <w:szCs w:val="22"/>
                <w:highlight w:val="none"/>
                <w:lang w:val="en-US" w:eastAsia="zh-CN"/>
              </w:rPr>
              <w:t>2</w:t>
            </w:r>
            <w:r>
              <w:rPr>
                <w:rFonts w:hint="eastAsia" w:eastAsia="宋体"/>
                <w:kern w:val="0"/>
                <w:sz w:val="22"/>
                <w:szCs w:val="22"/>
                <w:highlight w:val="none"/>
                <w:lang w:val="en-US" w:eastAsia="zh-CN"/>
              </w:rPr>
              <w:t>.</w:t>
            </w:r>
            <w:r>
              <w:rPr>
                <w:rFonts w:hint="eastAsia" w:ascii="Times New Roman" w:hAnsi="Times New Roman" w:eastAsia="宋体"/>
                <w:kern w:val="0"/>
                <w:sz w:val="22"/>
                <w:szCs w:val="22"/>
                <w:highlight w:val="none"/>
                <w:lang w:val="en-US" w:eastAsia="zh-CN"/>
              </w:rPr>
              <w:t>030</w:t>
            </w:r>
          </w:p>
        </w:tc>
        <w:tc>
          <w:tcPr>
            <w:tcW w:w="107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  <w:highlight w:val="yellow"/>
              </w:rPr>
            </w:pPr>
          </w:p>
        </w:tc>
        <w:tc>
          <w:tcPr>
            <w:tcW w:w="1206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  <w:highlight w:val="yello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  <w:jc w:val="center"/>
        </w:trPr>
        <w:tc>
          <w:tcPr>
            <w:tcW w:w="600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</w:p>
        </w:tc>
        <w:tc>
          <w:tcPr>
            <w:tcW w:w="1237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3893" w:type="dxa"/>
            <w:noWrap w:val="0"/>
            <w:vAlign w:val="center"/>
          </w:tcPr>
          <w:p>
            <w:pPr>
              <w:widowControl/>
              <w:spacing w:line="360" w:lineRule="auto"/>
              <w:rPr>
                <w:rFonts w:hint="default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  <w:t>崖头河西岸、成山大道北居住和商业混合区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 w:eastAsia="宋体"/>
                <w:kern w:val="0"/>
                <w:sz w:val="22"/>
                <w:szCs w:val="22"/>
                <w:highlight w:val="yellow"/>
                <w:lang w:val="en-US" w:eastAsia="zh-CN"/>
              </w:rPr>
            </w:pPr>
            <w:r>
              <w:rPr>
                <w:rFonts w:hint="eastAsia" w:ascii="Times New Roman" w:hAnsi="Times New Roman" w:eastAsia="宋体"/>
                <w:kern w:val="0"/>
                <w:sz w:val="22"/>
                <w:szCs w:val="22"/>
                <w:highlight w:val="none"/>
                <w:lang w:val="en-US" w:eastAsia="zh-CN"/>
              </w:rPr>
              <w:t>1</w:t>
            </w:r>
            <w:r>
              <w:rPr>
                <w:rFonts w:hint="eastAsia" w:eastAsia="宋体"/>
                <w:kern w:val="0"/>
                <w:sz w:val="22"/>
                <w:szCs w:val="22"/>
                <w:highlight w:val="none"/>
                <w:lang w:val="en-US" w:eastAsia="zh-CN"/>
              </w:rPr>
              <w:t>.</w:t>
            </w:r>
            <w:r>
              <w:rPr>
                <w:rFonts w:hint="eastAsia" w:ascii="Times New Roman" w:hAnsi="Times New Roman" w:eastAsia="宋体"/>
                <w:kern w:val="0"/>
                <w:sz w:val="22"/>
                <w:szCs w:val="22"/>
                <w:highlight w:val="none"/>
                <w:lang w:val="en-US" w:eastAsia="zh-CN"/>
              </w:rPr>
              <w:t>954</w:t>
            </w:r>
          </w:p>
        </w:tc>
        <w:tc>
          <w:tcPr>
            <w:tcW w:w="107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  <w:highlight w:val="yellow"/>
              </w:rPr>
            </w:pPr>
          </w:p>
        </w:tc>
        <w:tc>
          <w:tcPr>
            <w:tcW w:w="1206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  <w:highlight w:val="yello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  <w:jc w:val="center"/>
        </w:trPr>
        <w:tc>
          <w:tcPr>
            <w:tcW w:w="600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</w:p>
        </w:tc>
        <w:tc>
          <w:tcPr>
            <w:tcW w:w="1237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3893" w:type="dxa"/>
            <w:noWrap w:val="0"/>
            <w:vAlign w:val="center"/>
          </w:tcPr>
          <w:p>
            <w:pPr>
              <w:widowControl/>
              <w:spacing w:line="360" w:lineRule="auto"/>
              <w:rPr>
                <w:rFonts w:hint="default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  <w:t>市中、成山大道南居住、商业、工业混合区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 w:eastAsia="宋体"/>
                <w:kern w:val="0"/>
                <w:sz w:val="22"/>
                <w:szCs w:val="22"/>
                <w:highlight w:val="yellow"/>
                <w:lang w:val="en-US" w:eastAsia="zh-CN"/>
              </w:rPr>
            </w:pPr>
            <w:r>
              <w:rPr>
                <w:rFonts w:hint="eastAsia" w:ascii="Times New Roman" w:hAnsi="Times New Roman" w:eastAsia="宋体"/>
                <w:kern w:val="0"/>
                <w:sz w:val="22"/>
                <w:szCs w:val="22"/>
                <w:highlight w:val="none"/>
                <w:lang w:val="en-US" w:eastAsia="zh-CN"/>
              </w:rPr>
              <w:t>1</w:t>
            </w:r>
            <w:r>
              <w:rPr>
                <w:rFonts w:hint="eastAsia" w:eastAsia="宋体"/>
                <w:kern w:val="0"/>
                <w:sz w:val="22"/>
                <w:szCs w:val="22"/>
                <w:highlight w:val="none"/>
                <w:lang w:val="en-US" w:eastAsia="zh-CN"/>
              </w:rPr>
              <w:t>.</w:t>
            </w:r>
            <w:r>
              <w:rPr>
                <w:rFonts w:hint="eastAsia" w:ascii="Times New Roman" w:hAnsi="Times New Roman" w:eastAsia="宋体"/>
                <w:kern w:val="0"/>
                <w:sz w:val="22"/>
                <w:szCs w:val="22"/>
                <w:highlight w:val="none"/>
                <w:lang w:val="en-US" w:eastAsia="zh-CN"/>
              </w:rPr>
              <w:t>945</w:t>
            </w:r>
          </w:p>
        </w:tc>
        <w:tc>
          <w:tcPr>
            <w:tcW w:w="107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  <w:highlight w:val="yellow"/>
              </w:rPr>
            </w:pPr>
          </w:p>
        </w:tc>
        <w:tc>
          <w:tcPr>
            <w:tcW w:w="1206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  <w:highlight w:val="yello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  <w:jc w:val="center"/>
        </w:trPr>
        <w:tc>
          <w:tcPr>
            <w:tcW w:w="600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</w:p>
        </w:tc>
        <w:tc>
          <w:tcPr>
            <w:tcW w:w="1237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3893" w:type="dxa"/>
            <w:noWrap w:val="0"/>
            <w:vAlign w:val="center"/>
          </w:tcPr>
          <w:p>
            <w:pPr>
              <w:widowControl/>
              <w:spacing w:line="360" w:lineRule="auto"/>
              <w:rPr>
                <w:rFonts w:hint="eastAsia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  <w:t>市中、成山大道北商业、居住混合区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2</w:t>
            </w:r>
            <w:r>
              <w:rPr>
                <w:rFonts w:hint="eastAsia"/>
                <w:kern w:val="0"/>
                <w:sz w:val="22"/>
                <w:szCs w:val="22"/>
                <w:highlight w:val="none"/>
                <w:lang w:val="en-US" w:eastAsia="zh-CN"/>
              </w:rPr>
              <w:t>.</w:t>
            </w: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485</w:t>
            </w:r>
          </w:p>
        </w:tc>
        <w:tc>
          <w:tcPr>
            <w:tcW w:w="107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  <w:highlight w:val="yellow"/>
              </w:rPr>
            </w:pPr>
          </w:p>
        </w:tc>
        <w:tc>
          <w:tcPr>
            <w:tcW w:w="1206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  <w:highlight w:val="yello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  <w:jc w:val="center"/>
        </w:trPr>
        <w:tc>
          <w:tcPr>
            <w:tcW w:w="600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</w:p>
        </w:tc>
        <w:tc>
          <w:tcPr>
            <w:tcW w:w="1237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3893" w:type="dxa"/>
            <w:noWrap w:val="0"/>
            <w:vAlign w:val="center"/>
          </w:tcPr>
          <w:p>
            <w:pPr>
              <w:widowControl/>
              <w:spacing w:line="360" w:lineRule="auto"/>
              <w:rPr>
                <w:rFonts w:hint="eastAsia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  <w:t>沽河东支东岸居住、工业混合区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0</w:t>
            </w:r>
            <w:r>
              <w:rPr>
                <w:rFonts w:hint="eastAsia"/>
                <w:kern w:val="0"/>
                <w:sz w:val="22"/>
                <w:szCs w:val="22"/>
                <w:highlight w:val="none"/>
                <w:lang w:val="en-US" w:eastAsia="zh-CN"/>
              </w:rPr>
              <w:t>.</w:t>
            </w: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791</w:t>
            </w:r>
          </w:p>
        </w:tc>
        <w:tc>
          <w:tcPr>
            <w:tcW w:w="107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  <w:highlight w:val="yellow"/>
              </w:rPr>
            </w:pPr>
          </w:p>
        </w:tc>
        <w:tc>
          <w:tcPr>
            <w:tcW w:w="1206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  <w:highlight w:val="yello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  <w:jc w:val="center"/>
        </w:trPr>
        <w:tc>
          <w:tcPr>
            <w:tcW w:w="600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</w:p>
        </w:tc>
        <w:tc>
          <w:tcPr>
            <w:tcW w:w="1237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3893" w:type="dxa"/>
            <w:noWrap w:val="0"/>
            <w:vAlign w:val="center"/>
          </w:tcPr>
          <w:p>
            <w:pPr>
              <w:widowControl/>
              <w:spacing w:line="360" w:lineRule="auto"/>
              <w:rPr>
                <w:rFonts w:hint="default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  <w:t>南山南路两侧大工业区中的生活区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3</w:t>
            </w:r>
            <w:r>
              <w:rPr>
                <w:rFonts w:hint="eastAsia"/>
                <w:kern w:val="0"/>
                <w:sz w:val="22"/>
                <w:szCs w:val="22"/>
                <w:highlight w:val="none"/>
                <w:lang w:val="en-US" w:eastAsia="zh-CN"/>
              </w:rPr>
              <w:t>.</w:t>
            </w: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577</w:t>
            </w:r>
          </w:p>
        </w:tc>
        <w:tc>
          <w:tcPr>
            <w:tcW w:w="107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  <w:highlight w:val="yellow"/>
              </w:rPr>
            </w:pPr>
          </w:p>
        </w:tc>
        <w:tc>
          <w:tcPr>
            <w:tcW w:w="1206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  <w:highlight w:val="yello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  <w:jc w:val="center"/>
        </w:trPr>
        <w:tc>
          <w:tcPr>
            <w:tcW w:w="600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</w:p>
        </w:tc>
        <w:tc>
          <w:tcPr>
            <w:tcW w:w="1237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3893" w:type="dxa"/>
            <w:noWrap w:val="0"/>
            <w:vAlign w:val="center"/>
          </w:tcPr>
          <w:p>
            <w:pPr>
              <w:widowControl/>
              <w:spacing w:line="360" w:lineRule="auto"/>
              <w:rPr>
                <w:rFonts w:hint="default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  <w:t>崂山北路两侧大工业区中的生活区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2</w:t>
            </w:r>
            <w:r>
              <w:rPr>
                <w:rFonts w:hint="eastAsia"/>
                <w:kern w:val="0"/>
                <w:sz w:val="22"/>
                <w:szCs w:val="22"/>
                <w:highlight w:val="none"/>
                <w:lang w:val="en-US" w:eastAsia="zh-CN"/>
              </w:rPr>
              <w:t>.</w:t>
            </w: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591</w:t>
            </w:r>
          </w:p>
        </w:tc>
        <w:tc>
          <w:tcPr>
            <w:tcW w:w="107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  <w:highlight w:val="yellow"/>
              </w:rPr>
            </w:pPr>
          </w:p>
        </w:tc>
        <w:tc>
          <w:tcPr>
            <w:tcW w:w="1206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  <w:highlight w:val="yello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  <w:jc w:val="center"/>
        </w:trPr>
        <w:tc>
          <w:tcPr>
            <w:tcW w:w="600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</w:p>
        </w:tc>
        <w:tc>
          <w:tcPr>
            <w:tcW w:w="1237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3893" w:type="dxa"/>
            <w:noWrap w:val="0"/>
            <w:vAlign w:val="center"/>
          </w:tcPr>
          <w:p>
            <w:pPr>
              <w:widowControl/>
              <w:spacing w:line="360" w:lineRule="auto"/>
              <w:rPr>
                <w:rFonts w:hint="eastAsia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  <w:t>寻山文教、居住、工业混合区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1</w:t>
            </w:r>
            <w:r>
              <w:rPr>
                <w:rFonts w:hint="eastAsia"/>
                <w:kern w:val="0"/>
                <w:sz w:val="22"/>
                <w:szCs w:val="22"/>
                <w:highlight w:val="none"/>
                <w:lang w:val="en-US" w:eastAsia="zh-CN"/>
              </w:rPr>
              <w:t>.</w:t>
            </w: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623</w:t>
            </w:r>
          </w:p>
        </w:tc>
        <w:tc>
          <w:tcPr>
            <w:tcW w:w="107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  <w:highlight w:val="yellow"/>
              </w:rPr>
            </w:pPr>
          </w:p>
        </w:tc>
        <w:tc>
          <w:tcPr>
            <w:tcW w:w="1206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  <w:highlight w:val="yello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  <w:jc w:val="center"/>
        </w:trPr>
        <w:tc>
          <w:tcPr>
            <w:tcW w:w="600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</w:p>
        </w:tc>
        <w:tc>
          <w:tcPr>
            <w:tcW w:w="1237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3893" w:type="dxa"/>
            <w:noWrap w:val="0"/>
            <w:vAlign w:val="center"/>
          </w:tcPr>
          <w:p>
            <w:pPr>
              <w:widowControl/>
              <w:spacing w:line="360" w:lineRule="auto"/>
              <w:rPr>
                <w:rFonts w:hint="default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  <w:t>环绿岛湖商业、休闲混合区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/>
                <w:kern w:val="0"/>
                <w:sz w:val="22"/>
                <w:szCs w:val="22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 w:bidi="ar-SA"/>
              </w:rPr>
              <w:t>0</w:t>
            </w:r>
            <w:r>
              <w:rPr>
                <w:rFonts w:hint="eastAsia"/>
                <w:kern w:val="0"/>
                <w:sz w:val="22"/>
                <w:szCs w:val="22"/>
                <w:highlight w:val="none"/>
                <w:lang w:val="en-US" w:eastAsia="zh-CN" w:bidi="ar-SA"/>
              </w:rPr>
              <w:t>.</w:t>
            </w: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 w:bidi="ar-SA"/>
              </w:rPr>
              <w:t>888</w:t>
            </w:r>
          </w:p>
        </w:tc>
        <w:tc>
          <w:tcPr>
            <w:tcW w:w="107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  <w:highlight w:val="yellow"/>
              </w:rPr>
            </w:pPr>
          </w:p>
        </w:tc>
        <w:tc>
          <w:tcPr>
            <w:tcW w:w="1206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  <w:highlight w:val="yello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00" w:type="dxa"/>
            <w:vMerge w:val="restart"/>
            <w:noWrap w:val="0"/>
            <w:vAlign w:val="center"/>
          </w:tcPr>
          <w:p>
            <w:pPr>
              <w:spacing w:line="360" w:lineRule="auto"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Times New Roman" w:hAnsi="Times New Roman"/>
                <w:kern w:val="0"/>
                <w:sz w:val="22"/>
                <w:szCs w:val="22"/>
              </w:rPr>
              <w:t>3</w:t>
            </w:r>
          </w:p>
        </w:tc>
        <w:tc>
          <w:tcPr>
            <w:tcW w:w="1237" w:type="dxa"/>
            <w:vMerge w:val="restart"/>
            <w:noWrap w:val="0"/>
            <w:vAlign w:val="center"/>
          </w:tcPr>
          <w:p>
            <w:pPr>
              <w:spacing w:line="360" w:lineRule="auto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工业区</w:t>
            </w:r>
          </w:p>
        </w:tc>
        <w:tc>
          <w:tcPr>
            <w:tcW w:w="3893" w:type="dxa"/>
            <w:noWrap w:val="0"/>
            <w:vAlign w:val="center"/>
          </w:tcPr>
          <w:p>
            <w:pPr>
              <w:widowControl/>
              <w:spacing w:line="360" w:lineRule="auto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  <w:t>成山集团、天颐热电</w:t>
            </w:r>
            <w:r>
              <w:rPr>
                <w:rFonts w:hint="default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  <w:t>工业区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 w:eastAsia="宋体"/>
                <w:kern w:val="0"/>
                <w:sz w:val="22"/>
                <w:szCs w:val="22"/>
                <w:highlight w:val="yellow"/>
                <w:lang w:val="en-US" w:eastAsia="zh-CN"/>
              </w:rPr>
            </w:pPr>
            <w:r>
              <w:rPr>
                <w:rFonts w:hint="eastAsia" w:ascii="Times New Roman" w:hAnsi="Times New Roman" w:eastAsia="宋体"/>
                <w:kern w:val="0"/>
                <w:sz w:val="22"/>
                <w:szCs w:val="22"/>
                <w:highlight w:val="none"/>
                <w:lang w:val="en-US" w:eastAsia="zh-CN"/>
              </w:rPr>
              <w:t>0</w:t>
            </w:r>
            <w:r>
              <w:rPr>
                <w:rFonts w:hint="eastAsia" w:eastAsia="宋体"/>
                <w:kern w:val="0"/>
                <w:sz w:val="22"/>
                <w:szCs w:val="22"/>
                <w:highlight w:val="none"/>
                <w:lang w:val="en-US" w:eastAsia="zh-CN"/>
              </w:rPr>
              <w:t>.</w:t>
            </w:r>
            <w:r>
              <w:rPr>
                <w:rFonts w:hint="eastAsia" w:ascii="Times New Roman" w:hAnsi="Times New Roman" w:eastAsia="宋体"/>
                <w:kern w:val="0"/>
                <w:sz w:val="22"/>
                <w:szCs w:val="22"/>
                <w:highlight w:val="none"/>
                <w:lang w:val="en-US" w:eastAsia="zh-CN"/>
              </w:rPr>
              <w:t>952</w:t>
            </w:r>
          </w:p>
        </w:tc>
        <w:tc>
          <w:tcPr>
            <w:tcW w:w="1072" w:type="dxa"/>
            <w:vMerge w:val="restar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eastAsia="宋体"/>
                <w:kern w:val="0"/>
                <w:sz w:val="22"/>
                <w:szCs w:val="22"/>
                <w:highlight w:val="yellow"/>
                <w:lang w:val="en-US" w:eastAsia="zh-CN"/>
              </w:rPr>
            </w:pP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22</w:t>
            </w:r>
            <w:r>
              <w:rPr>
                <w:rFonts w:hint="eastAsia"/>
                <w:kern w:val="0"/>
                <w:sz w:val="22"/>
                <w:szCs w:val="22"/>
                <w:highlight w:val="none"/>
                <w:lang w:val="en-US" w:eastAsia="zh-CN"/>
              </w:rPr>
              <w:t>.</w:t>
            </w: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392</w:t>
            </w:r>
          </w:p>
        </w:tc>
        <w:tc>
          <w:tcPr>
            <w:tcW w:w="1206" w:type="dxa"/>
            <w:vMerge w:val="restar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eastAsia="宋体"/>
                <w:kern w:val="0"/>
                <w:sz w:val="22"/>
                <w:szCs w:val="22"/>
                <w:highlight w:val="yellow"/>
                <w:lang w:val="en-US" w:eastAsia="zh-CN"/>
              </w:rPr>
            </w:pP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26</w:t>
            </w:r>
            <w:r>
              <w:rPr>
                <w:rFonts w:hint="eastAsia"/>
                <w:kern w:val="0"/>
                <w:sz w:val="22"/>
                <w:szCs w:val="22"/>
                <w:highlight w:val="none"/>
                <w:lang w:val="en-US" w:eastAsia="zh-CN"/>
              </w:rPr>
              <w:t>.</w:t>
            </w: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43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00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</w:p>
        </w:tc>
        <w:tc>
          <w:tcPr>
            <w:tcW w:w="1237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3893" w:type="dxa"/>
            <w:noWrap w:val="0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textAlignment w:val="auto"/>
              <w:rPr>
                <w:rFonts w:hint="eastAsia" w:ascii="宋体" w:hAnsi="宋体" w:eastAsia="宋体" w:cs="宋体"/>
                <w:kern w:val="0"/>
                <w:sz w:val="22"/>
                <w:szCs w:val="22"/>
                <w:highlight w:val="yellow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  <w:t>荣成高铁站及周边工业区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 w:eastAsia="宋体"/>
                <w:kern w:val="0"/>
                <w:sz w:val="22"/>
                <w:szCs w:val="22"/>
                <w:highlight w:val="yellow"/>
                <w:lang w:val="en-US" w:eastAsia="zh-CN"/>
              </w:rPr>
            </w:pPr>
            <w:r>
              <w:rPr>
                <w:rFonts w:hint="eastAsia" w:ascii="Times New Roman" w:hAnsi="Times New Roman" w:eastAsia="宋体"/>
                <w:kern w:val="0"/>
                <w:sz w:val="22"/>
                <w:szCs w:val="22"/>
                <w:highlight w:val="none"/>
                <w:lang w:val="en-US" w:eastAsia="zh-CN"/>
              </w:rPr>
              <w:t>1</w:t>
            </w:r>
            <w:r>
              <w:rPr>
                <w:rFonts w:hint="eastAsia" w:eastAsia="宋体"/>
                <w:kern w:val="0"/>
                <w:sz w:val="22"/>
                <w:szCs w:val="22"/>
                <w:highlight w:val="none"/>
                <w:lang w:val="en-US" w:eastAsia="zh-CN"/>
              </w:rPr>
              <w:t>.</w:t>
            </w:r>
            <w:r>
              <w:rPr>
                <w:rFonts w:hint="eastAsia" w:ascii="Times New Roman" w:hAnsi="Times New Roman" w:eastAsia="宋体"/>
                <w:kern w:val="0"/>
                <w:sz w:val="22"/>
                <w:szCs w:val="22"/>
                <w:highlight w:val="none"/>
                <w:lang w:val="en-US" w:eastAsia="zh-CN"/>
              </w:rPr>
              <w:t>520</w:t>
            </w:r>
          </w:p>
        </w:tc>
        <w:tc>
          <w:tcPr>
            <w:tcW w:w="107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</w:p>
        </w:tc>
        <w:tc>
          <w:tcPr>
            <w:tcW w:w="1206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00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</w:p>
        </w:tc>
        <w:tc>
          <w:tcPr>
            <w:tcW w:w="1237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3893" w:type="dxa"/>
            <w:noWrap w:val="0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textAlignment w:val="auto"/>
              <w:rPr>
                <w:rFonts w:hint="default" w:ascii="宋体" w:hAnsi="宋体" w:cs="宋体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  <w:t>高端产业园区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14</w:t>
            </w:r>
            <w:r>
              <w:rPr>
                <w:rFonts w:hint="eastAsia"/>
                <w:kern w:val="0"/>
                <w:sz w:val="22"/>
                <w:szCs w:val="22"/>
                <w:highlight w:val="none"/>
                <w:lang w:val="en-US" w:eastAsia="zh-CN"/>
              </w:rPr>
              <w:t>.</w:t>
            </w: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880</w:t>
            </w:r>
          </w:p>
        </w:tc>
        <w:tc>
          <w:tcPr>
            <w:tcW w:w="107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</w:p>
        </w:tc>
        <w:tc>
          <w:tcPr>
            <w:tcW w:w="1206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00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</w:p>
        </w:tc>
        <w:tc>
          <w:tcPr>
            <w:tcW w:w="1237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3893" w:type="dxa"/>
            <w:noWrap w:val="0"/>
            <w:vAlign w:val="center"/>
          </w:tcPr>
          <w:p>
            <w:pPr>
              <w:widowControl/>
              <w:spacing w:line="360" w:lineRule="auto"/>
              <w:rPr>
                <w:rFonts w:hint="eastAsia" w:ascii="宋体" w:hAnsi="宋体" w:cs="宋体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  <w:t>经济开发区（工业集中区）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4</w:t>
            </w:r>
            <w:r>
              <w:rPr>
                <w:rFonts w:hint="eastAsia"/>
                <w:kern w:val="0"/>
                <w:sz w:val="22"/>
                <w:szCs w:val="22"/>
                <w:highlight w:val="none"/>
                <w:lang w:val="en-US" w:eastAsia="zh-CN"/>
              </w:rPr>
              <w:t>.</w:t>
            </w: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062</w:t>
            </w:r>
          </w:p>
        </w:tc>
        <w:tc>
          <w:tcPr>
            <w:tcW w:w="107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</w:p>
        </w:tc>
        <w:tc>
          <w:tcPr>
            <w:tcW w:w="1206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600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</w:p>
        </w:tc>
        <w:tc>
          <w:tcPr>
            <w:tcW w:w="1237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3893" w:type="dxa"/>
            <w:noWrap w:val="0"/>
            <w:vAlign w:val="center"/>
          </w:tcPr>
          <w:p>
            <w:pPr>
              <w:widowControl/>
              <w:spacing w:line="360" w:lineRule="auto"/>
              <w:rPr>
                <w:rFonts w:hint="default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2"/>
                <w:szCs w:val="22"/>
                <w:lang w:val="en-US" w:eastAsia="zh-CN" w:bidi="ar-SA"/>
              </w:rPr>
              <w:t>寻山工业园区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0</w:t>
            </w:r>
            <w:r>
              <w:rPr>
                <w:rFonts w:hint="eastAsia"/>
                <w:kern w:val="0"/>
                <w:sz w:val="22"/>
                <w:szCs w:val="22"/>
                <w:highlight w:val="none"/>
                <w:lang w:val="en-US" w:eastAsia="zh-CN"/>
              </w:rPr>
              <w:t>.</w:t>
            </w: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978</w:t>
            </w:r>
          </w:p>
        </w:tc>
        <w:tc>
          <w:tcPr>
            <w:tcW w:w="107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</w:p>
        </w:tc>
        <w:tc>
          <w:tcPr>
            <w:tcW w:w="1206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0" w:hRule="atLeast"/>
          <w:jc w:val="center"/>
        </w:trPr>
        <w:tc>
          <w:tcPr>
            <w:tcW w:w="600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Times New Roman" w:hAnsi="Times New Roman"/>
                <w:kern w:val="0"/>
                <w:sz w:val="22"/>
                <w:szCs w:val="22"/>
              </w:rPr>
              <w:t>4</w:t>
            </w:r>
          </w:p>
        </w:tc>
        <w:tc>
          <w:tcPr>
            <w:tcW w:w="1237" w:type="dxa"/>
            <w:noWrap w:val="0"/>
            <w:vAlign w:val="center"/>
          </w:tcPr>
          <w:p>
            <w:pPr>
              <w:widowControl/>
              <w:spacing w:line="360" w:lineRule="auto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道路交通干线两侧区域</w:t>
            </w:r>
          </w:p>
        </w:tc>
        <w:tc>
          <w:tcPr>
            <w:tcW w:w="3893" w:type="dxa"/>
            <w:noWrap w:val="0"/>
            <w:vAlign w:val="center"/>
          </w:tcPr>
          <w:p>
            <w:pPr>
              <w:spacing w:line="360" w:lineRule="auto"/>
              <w:rPr>
                <w:rFonts w:hint="default" w:ascii="宋体" w:hAnsi="宋体" w:cs="宋体"/>
                <w:kern w:val="0"/>
                <w:sz w:val="22"/>
                <w:szCs w:val="22"/>
                <w:lang w:val="en-US"/>
              </w:rPr>
            </w:pPr>
            <w:r>
              <w:rPr>
                <w:rFonts w:ascii="Times New Roman" w:hAnsi="Times New Roman"/>
                <w:kern w:val="0"/>
                <w:sz w:val="22"/>
                <w:szCs w:val="22"/>
              </w:rPr>
              <w:t>4a</w:t>
            </w:r>
            <w:r>
              <w:rPr>
                <w:rFonts w:hint="eastAsia"/>
                <w:kern w:val="0"/>
                <w:sz w:val="22"/>
                <w:szCs w:val="22"/>
              </w:rPr>
              <w:t>类：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青山路、成山大道、寻山路、河阳路、凭海路、富耕路、将军南路、南山路、崂山路、云光路、北大街、文化东路、伟德路、海湾路、越岭西街、越岭东街、悦湖路、黎明路、荣达路、明珠路、建业街、肇元街、泰祥路、兴隆路、马成街、龙河北路、观海路、宁家南路、柳家庄路、富源路、楚祥北街、邹泰街、十里河街、府东路</w:t>
            </w:r>
          </w:p>
          <w:p>
            <w:pPr>
              <w:spacing w:line="360" w:lineRule="auto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ascii="Times New Roman" w:hAnsi="Times New Roman"/>
                <w:kern w:val="0"/>
                <w:sz w:val="22"/>
                <w:szCs w:val="22"/>
              </w:rPr>
              <w:t>4b</w:t>
            </w:r>
            <w:r>
              <w:rPr>
                <w:rFonts w:hint="eastAsia"/>
                <w:kern w:val="0"/>
                <w:sz w:val="22"/>
                <w:szCs w:val="22"/>
              </w:rPr>
              <w:t>类：</w:t>
            </w:r>
            <w:r>
              <w:rPr>
                <w:rFonts w:hint="eastAsia"/>
                <w:kern w:val="0"/>
                <w:sz w:val="22"/>
                <w:szCs w:val="22"/>
                <w:lang w:val="en-US" w:eastAsia="zh-CN"/>
              </w:rPr>
              <w:t>站前街、河阳西路</w:t>
            </w:r>
          </w:p>
        </w:tc>
        <w:tc>
          <w:tcPr>
            <w:tcW w:w="2257" w:type="dxa"/>
            <w:gridSpan w:val="2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kern w:val="0"/>
                <w:sz w:val="22"/>
                <w:szCs w:val="22"/>
                <w:highlight w:val="yellow"/>
              </w:rPr>
            </w:pPr>
            <w:r>
              <w:rPr>
                <w:rFonts w:hint="eastAsia"/>
                <w:kern w:val="0"/>
                <w:sz w:val="22"/>
                <w:szCs w:val="22"/>
                <w:highlight w:val="none"/>
              </w:rPr>
              <w:t>总长度</w:t>
            </w: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137</w:t>
            </w:r>
            <w:r>
              <w:rPr>
                <w:rFonts w:hint="eastAsia"/>
                <w:kern w:val="0"/>
                <w:sz w:val="22"/>
                <w:szCs w:val="22"/>
                <w:highlight w:val="none"/>
                <w:lang w:val="en-US" w:eastAsia="zh-CN"/>
              </w:rPr>
              <w:t>.</w:t>
            </w: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49</w:t>
            </w:r>
            <w:r>
              <w:rPr>
                <w:rFonts w:hint="eastAsia"/>
                <w:kern w:val="0"/>
                <w:sz w:val="22"/>
                <w:szCs w:val="22"/>
                <w:highlight w:val="none"/>
              </w:rPr>
              <w:t>公里，总面积</w:t>
            </w: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6</w:t>
            </w:r>
            <w:r>
              <w:rPr>
                <w:rFonts w:hint="eastAsia"/>
                <w:kern w:val="0"/>
                <w:sz w:val="22"/>
                <w:szCs w:val="22"/>
                <w:highlight w:val="none"/>
                <w:lang w:val="en-US" w:eastAsia="zh-CN"/>
              </w:rPr>
              <w:t>.</w:t>
            </w: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259</w:t>
            </w:r>
            <w:r>
              <w:rPr>
                <w:rFonts w:hint="eastAsia"/>
                <w:kern w:val="0"/>
                <w:sz w:val="22"/>
                <w:szCs w:val="22"/>
                <w:highlight w:val="none"/>
              </w:rPr>
              <w:t>平方公里。</w:t>
            </w:r>
          </w:p>
        </w:tc>
        <w:tc>
          <w:tcPr>
            <w:tcW w:w="1206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 w:eastAsia="宋体"/>
                <w:kern w:val="0"/>
                <w:sz w:val="22"/>
                <w:szCs w:val="22"/>
                <w:highlight w:val="yellow"/>
                <w:lang w:val="en-US" w:eastAsia="zh-CN"/>
              </w:rPr>
            </w:pP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7</w:t>
            </w:r>
            <w:r>
              <w:rPr>
                <w:rFonts w:hint="eastAsia"/>
                <w:kern w:val="0"/>
                <w:sz w:val="22"/>
                <w:szCs w:val="22"/>
                <w:highlight w:val="none"/>
                <w:lang w:val="en-US" w:eastAsia="zh-CN"/>
              </w:rPr>
              <w:t>.</w:t>
            </w:r>
            <w:r>
              <w:rPr>
                <w:rFonts w:hint="eastAsia" w:ascii="Times New Roman" w:hAnsi="Times New Roman"/>
                <w:kern w:val="0"/>
                <w:sz w:val="22"/>
                <w:szCs w:val="22"/>
                <w:highlight w:val="none"/>
                <w:lang w:val="en-US" w:eastAsia="zh-CN"/>
              </w:rPr>
              <w:t>39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5730" w:type="dxa"/>
            <w:gridSpan w:val="3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道路面积</w:t>
            </w:r>
          </w:p>
        </w:tc>
        <w:tc>
          <w:tcPr>
            <w:tcW w:w="2257" w:type="dxa"/>
            <w:gridSpan w:val="2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/>
                <w:kern w:val="0"/>
                <w:sz w:val="22"/>
                <w:szCs w:val="22"/>
                <w:lang w:val="en-US" w:eastAsia="zh-CN"/>
              </w:rPr>
              <w:t>2</w:t>
            </w:r>
            <w:r>
              <w:rPr>
                <w:rFonts w:hint="eastAsia"/>
                <w:kern w:val="0"/>
                <w:sz w:val="22"/>
                <w:szCs w:val="22"/>
                <w:lang w:val="en-US" w:eastAsia="zh-CN"/>
              </w:rPr>
              <w:t>.</w:t>
            </w:r>
            <w:r>
              <w:rPr>
                <w:rFonts w:hint="eastAsia" w:ascii="Times New Roman" w:hAnsi="Times New Roman"/>
                <w:kern w:val="0"/>
                <w:sz w:val="22"/>
                <w:szCs w:val="22"/>
                <w:lang w:val="en-US" w:eastAsia="zh-CN"/>
              </w:rPr>
              <w:t>432</w:t>
            </w:r>
          </w:p>
        </w:tc>
        <w:tc>
          <w:tcPr>
            <w:tcW w:w="1206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 w:eastAsia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/>
                <w:kern w:val="0"/>
                <w:sz w:val="22"/>
                <w:szCs w:val="22"/>
                <w:lang w:val="en-US" w:eastAsia="zh-CN"/>
              </w:rPr>
              <w:t>2</w:t>
            </w:r>
            <w:r>
              <w:rPr>
                <w:rFonts w:hint="eastAsia"/>
                <w:kern w:val="0"/>
                <w:sz w:val="22"/>
                <w:szCs w:val="22"/>
                <w:lang w:val="en-US" w:eastAsia="zh-CN"/>
              </w:rPr>
              <w:t>.</w:t>
            </w:r>
            <w:r>
              <w:rPr>
                <w:rFonts w:hint="eastAsia" w:ascii="Times New Roman" w:hAnsi="Times New Roman"/>
                <w:kern w:val="0"/>
                <w:sz w:val="22"/>
                <w:szCs w:val="22"/>
                <w:lang w:val="en-US" w:eastAsia="zh-CN"/>
              </w:rPr>
              <w:t>87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5730" w:type="dxa"/>
            <w:gridSpan w:val="3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合</w:t>
            </w:r>
            <w:r>
              <w:rPr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计</w:t>
            </w:r>
          </w:p>
        </w:tc>
        <w:tc>
          <w:tcPr>
            <w:tcW w:w="2257" w:type="dxa"/>
            <w:gridSpan w:val="2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 w:eastAsia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/>
                <w:kern w:val="0"/>
                <w:sz w:val="22"/>
                <w:szCs w:val="22"/>
                <w:lang w:val="en-US" w:eastAsia="zh-CN"/>
              </w:rPr>
              <w:t>84</w:t>
            </w:r>
            <w:r>
              <w:rPr>
                <w:rFonts w:hint="eastAsia"/>
                <w:kern w:val="0"/>
                <w:sz w:val="22"/>
                <w:szCs w:val="22"/>
                <w:lang w:val="en-US" w:eastAsia="zh-CN"/>
              </w:rPr>
              <w:t>.</w:t>
            </w:r>
            <w:r>
              <w:rPr>
                <w:rFonts w:hint="eastAsia" w:ascii="Times New Roman" w:hAnsi="Times New Roman"/>
                <w:kern w:val="0"/>
                <w:sz w:val="22"/>
                <w:szCs w:val="22"/>
                <w:lang w:val="en-US" w:eastAsia="zh-CN"/>
              </w:rPr>
              <w:t>730</w:t>
            </w:r>
          </w:p>
        </w:tc>
        <w:tc>
          <w:tcPr>
            <w:tcW w:w="1206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Times New Roman" w:hAnsi="Times New Roman"/>
                <w:kern w:val="0"/>
                <w:sz w:val="22"/>
                <w:szCs w:val="22"/>
              </w:rPr>
              <w:t>100</w:t>
            </w:r>
            <w:r>
              <w:rPr>
                <w:kern w:val="0"/>
                <w:sz w:val="22"/>
                <w:szCs w:val="22"/>
              </w:rPr>
              <w:t>.</w:t>
            </w:r>
            <w:r>
              <w:rPr>
                <w:rFonts w:ascii="Times New Roman" w:hAnsi="Times New Roman"/>
                <w:kern w:val="0"/>
                <w:sz w:val="22"/>
                <w:szCs w:val="22"/>
              </w:rPr>
              <w:t>0</w:t>
            </w:r>
          </w:p>
        </w:tc>
      </w:tr>
    </w:tbl>
    <w:p>
      <w:pPr>
        <w:rPr>
          <w:rFonts w:hint="eastAsia"/>
          <w:lang w:val="en-US" w:eastAsia="zh-CN"/>
        </w:rPr>
      </w:pPr>
    </w:p>
    <w:p>
      <w:pPr>
        <w:pStyle w:val="4"/>
        <w:keepNext/>
        <w:keepLines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Autospacing="0" w:after="0" w:afterAutospacing="0" w:line="600" w:lineRule="exact"/>
        <w:ind w:leftChars="0" w:firstLine="640" w:firstLineChars="200"/>
        <w:jc w:val="both"/>
        <w:textAlignment w:val="baseline"/>
        <w:outlineLvl w:val="1"/>
        <w:rPr>
          <w:rFonts w:hint="eastAsia" w:ascii="楷体_GB2312" w:hAnsi="楷体_GB2312" w:eastAsia="楷体_GB2312" w:cs="楷体_GB2312"/>
          <w:b w:val="0"/>
          <w:bCs/>
          <w:color w:val="auto"/>
          <w:kern w:val="0"/>
          <w:sz w:val="32"/>
          <w:szCs w:val="32"/>
          <w:lang w:val="en-US" w:eastAsia="zh-CN" w:bidi="ar-SA"/>
        </w:rPr>
      </w:pPr>
      <w:bookmarkStart w:id="3" w:name="_Toc31829"/>
      <w:bookmarkStart w:id="4" w:name="_Toc3028"/>
      <w:bookmarkStart w:id="5" w:name="_Toc2971"/>
      <w:bookmarkStart w:id="6" w:name="_Toc8851"/>
      <w:r>
        <w:rPr>
          <w:rFonts w:hint="eastAsia" w:ascii="楷体_GB2312" w:hAnsi="楷体_GB2312" w:eastAsia="楷体_GB2312" w:cs="楷体_GB2312"/>
          <w:b w:val="0"/>
          <w:bCs/>
          <w:color w:val="auto"/>
          <w:kern w:val="0"/>
          <w:sz w:val="32"/>
          <w:szCs w:val="32"/>
          <w:lang w:val="en-US" w:eastAsia="zh-CN" w:bidi="ar-SA"/>
        </w:rPr>
        <w:t>（一）</w:t>
      </w:r>
      <w:r>
        <w:rPr>
          <w:rFonts w:hint="eastAsia" w:ascii="Times New Roman" w:hAnsi="Times New Roman" w:eastAsia="楷体_GB2312" w:cs="楷体_GB2312"/>
          <w:b w:val="0"/>
          <w:bCs/>
          <w:color w:val="auto"/>
          <w:kern w:val="0"/>
          <w:sz w:val="32"/>
          <w:szCs w:val="32"/>
          <w:lang w:val="en-US" w:eastAsia="zh-CN" w:bidi="ar-SA"/>
        </w:rPr>
        <w:t>1</w:t>
      </w:r>
      <w:r>
        <w:rPr>
          <w:rFonts w:hint="eastAsia" w:ascii="楷体_GB2312" w:hAnsi="楷体_GB2312" w:eastAsia="楷体_GB2312" w:cs="楷体_GB2312"/>
          <w:b w:val="0"/>
          <w:bCs/>
          <w:color w:val="auto"/>
          <w:kern w:val="0"/>
          <w:sz w:val="32"/>
          <w:szCs w:val="32"/>
          <w:lang w:val="en-US" w:eastAsia="zh-CN" w:bidi="ar-SA"/>
        </w:rPr>
        <w:t>类</w:t>
      </w:r>
      <w:bookmarkEnd w:id="3"/>
      <w:bookmarkEnd w:id="4"/>
      <w:r>
        <w:rPr>
          <w:rFonts w:hint="eastAsia" w:ascii="楷体_GB2312" w:hAnsi="楷体_GB2312" w:eastAsia="楷体_GB2312" w:cs="楷体_GB2312"/>
          <w:b w:val="0"/>
          <w:bCs/>
          <w:color w:val="auto"/>
          <w:kern w:val="0"/>
          <w:sz w:val="32"/>
          <w:szCs w:val="32"/>
          <w:lang w:val="en-US" w:eastAsia="zh-CN" w:bidi="ar-SA"/>
        </w:rPr>
        <w:t>环境声功能区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1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类标准适用区主要有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13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个片区，分别是：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崖头村第三居民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居住区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，人民医院-黎明小区居住集中区，青山路北文教、居住集中区，市中居住、机关集中区，政府广场周边机关办公及文教区，绿岛湖北岸居住集中区，经济开发区（居住区），崂山周边居住集中区，崂山屯村、长青海世界居住集中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区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，柳家庄村-毕家屯村文教、居住集中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区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，滨海公园居住、休闲区，西龙家村-荣兴社区居住集中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区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，寻山文教、居住集中区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，总面积约为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34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.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846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平方公里，占建成区面积的</w:t>
      </w:r>
      <w:r>
        <w:rPr>
          <w:rFonts w:hint="default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41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.</w:t>
      </w:r>
      <w:r>
        <w:rPr>
          <w:rFonts w:hint="default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13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%。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bookmarkStart w:id="7" w:name="_Toc32694"/>
      <w:bookmarkStart w:id="8" w:name="_Toc28472"/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1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-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1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崖头村第三居民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居住区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该片区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包括岗西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小区、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荣兴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社区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、福地小区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等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居民住宅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区，面积约为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0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.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502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平方公里。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岗西小区北侧-荣兴街-荣兴社区北侧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西边界：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岗西小区西侧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北大街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东边界：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崖头河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1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-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2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人民医院-黎明小区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居住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集中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区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该片区包括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蒲头社区、杏林小区、高阳小区、黎明西区、黎明中区等居民住宅区，以及荣成市第二实验中学等文教区，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面积约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2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.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379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平方公里。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成山大道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西边界：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站前街-观海西路-南山中路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观海西路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东边界：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崖头河-富源北路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1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-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3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青山路北文教、居民居住集中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区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该片区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包括清河村、牛石口村、丁家村、崖头村等居民住宅区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，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以及荣成一中、荣成市实验中学等文教区，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面积约为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4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.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844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平方公里。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北外环路南侧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西边界：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崖头河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青山西路-青山中路-青山东路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东边界：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牛石口村东边界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1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-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4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市中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居住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、机关集中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区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该片区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包括成山御苑、宋家小区、东上雅郡、成山锦苑等居民住宅区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，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以及荣成市政府、审计局、公安局等行政办公区，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面积约为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4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.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646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平方公里。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青山路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西边界：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建业街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文化东路-伟德西路-伟德东路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东边界：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桑沟河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1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-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5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政府广场周边机关办公及文教区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该片区是位于成山大道东段与海湾北路交汇处，该片区包括荣成市水利局、教体局、农业农村局等行政办公区，以及蜊江中学、蜊江小学等文教区，面积约为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0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.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923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平方公里。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伟德东路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西边界：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府西路-成山大道东段-杏德街-观海东路-海湾北路-明珠广场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海岸线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东边界：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桑沟河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1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-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6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绿岛湖北岸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居住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集中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区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该片区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包括曙光小区、自在香滨、华发樱花湖，十里香河等居民住宅区，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面积约为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2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.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280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平方公里。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成山大道东段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西边界：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云光中路-云光南路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绿岛湖北侧沿岸-华发樱花湖东边界-悦湖路-体育场外环路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东边界：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海湾北路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1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-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7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经济开发区（居住区）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该片区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是位于绿岛湖西岸的经济开发区内居民住宅区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，面积约为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3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.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391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平方公里。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荷田东路-泰祥路-荣成市永源金属制品公司北侧-钏港石材东南边界-崖头河-邹泰南街-河阳东路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西边界：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富源南路-凭海东路-泰祥路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沽河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东边界：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云光南路-绿岛湖西湖岸线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1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-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8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崂山周边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居住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集中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区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该片区为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崂山周边，包括地宝圈村、船坞村等居民住宅区以及荣成电子商务总部基地等商业区域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，面积约为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2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.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784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平方公里。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富耕路-沽河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西边界：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佳华实业工业园东、东南侧-黎明南路-崂山工业园南侧-大疃村南侧-崂山北路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荣乌高速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东边界：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沽河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1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-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9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崂山屯村、长青海世界居住集中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区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该片区为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荣乌高速以南，海湾南路以北，包括崂山屯村、长青海世界小区等居民住宅区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，面积约为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1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.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640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平方公里。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荣乌高速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西边界：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崂山屯村西侧-松山西侧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海湾南路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东边界：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海湾南路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1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-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10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柳家庄村-毕家屯村文教、居住集中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区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该片区为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古塔路以南，威石辅路以东，包括毕家屯村、柳家庄村等居民住宅区以及威海海洋职业学院等文教区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，面积约为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3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.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641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平方公里。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古塔路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西边界：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威石辅路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海湾南路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东边界：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海湾南路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1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-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11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滨海公园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居住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、休闲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区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该片区为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滨海公园周边，包括静港清岛湾、海邑长滩等居民住宅区以及滨海公园休闲区域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，面积约为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2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.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970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平方公里。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荣成市少年宫南侧-海湾北路-九龙晟大酒店南侧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西边界：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樱花湖-沽河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沽河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东边界：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滨海公园东海岸线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1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-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12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西龙家村-荣兴社区居住集中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区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该片区为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青山东路以南，寻山路北，包括西龙家村、马家庄村、高家庄村、荣兴社区等居民住宅区，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面积约为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1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.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782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平方公里。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青山东路-荣成龙源建筑工程公司北侧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西边界：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桑沟河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成山大道东段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东边界：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寻山路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1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-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13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寻山文教、居住集中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区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该片区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包括寻山所村、恒大御海半岛、哈理两湾城等居民住宅区，以及哈尔滨理工大学荣成校区、荣成市十二中等文教区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，面积约为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3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.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366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平方公里。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寻山医院北侧-天成社区北侧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西边界：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寻山路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南部海岸线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东边界：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恒大御海半岛东侧</w:t>
      </w:r>
    </w:p>
    <w:p>
      <w:pPr>
        <w:pStyle w:val="4"/>
        <w:keepNext/>
        <w:keepLines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Autospacing="0" w:after="0" w:afterAutospacing="0" w:line="600" w:lineRule="exact"/>
        <w:ind w:leftChars="0" w:firstLine="640" w:firstLineChars="200"/>
        <w:jc w:val="both"/>
        <w:textAlignment w:val="baseline"/>
        <w:outlineLvl w:val="1"/>
        <w:rPr>
          <w:rFonts w:hint="default" w:ascii="楷体_GB2312" w:hAnsi="楷体_GB2312" w:eastAsia="楷体_GB2312" w:cs="楷体_GB2312"/>
          <w:b w:val="0"/>
          <w:bCs/>
          <w:color w:val="auto"/>
          <w:kern w:val="0"/>
          <w:sz w:val="32"/>
          <w:szCs w:val="32"/>
          <w:lang w:val="en-US" w:eastAsia="zh-CN" w:bidi="ar-SA"/>
        </w:rPr>
      </w:pPr>
      <w:bookmarkStart w:id="9" w:name="_Toc14831"/>
      <w:bookmarkStart w:id="10" w:name="_Toc21972"/>
      <w:r>
        <w:rPr>
          <w:rFonts w:hint="eastAsia" w:ascii="楷体_GB2312" w:hAnsi="楷体_GB2312" w:eastAsia="楷体_GB2312" w:cs="楷体_GB2312"/>
          <w:b w:val="0"/>
          <w:bCs/>
          <w:color w:val="auto"/>
          <w:kern w:val="0"/>
          <w:sz w:val="32"/>
          <w:szCs w:val="32"/>
          <w:lang w:val="en-US" w:eastAsia="zh-CN" w:bidi="ar-SA"/>
        </w:rPr>
        <w:t>（二）</w:t>
      </w:r>
      <w:r>
        <w:rPr>
          <w:rFonts w:hint="default" w:ascii="Times New Roman" w:hAnsi="Times New Roman" w:eastAsia="楷体_GB2312" w:cs="楷体_GB2312"/>
          <w:b w:val="0"/>
          <w:bCs/>
          <w:color w:val="auto"/>
          <w:kern w:val="0"/>
          <w:sz w:val="32"/>
          <w:szCs w:val="32"/>
          <w:lang w:val="en-US" w:eastAsia="zh-CN" w:bidi="ar-SA"/>
        </w:rPr>
        <w:t>2</w:t>
      </w:r>
      <w:r>
        <w:rPr>
          <w:rFonts w:hint="default" w:ascii="楷体_GB2312" w:hAnsi="楷体_GB2312" w:eastAsia="楷体_GB2312" w:cs="楷体_GB2312"/>
          <w:b w:val="0"/>
          <w:bCs/>
          <w:color w:val="auto"/>
          <w:kern w:val="0"/>
          <w:sz w:val="32"/>
          <w:szCs w:val="32"/>
          <w:lang w:val="en-US" w:eastAsia="zh-CN" w:bidi="ar-SA"/>
        </w:rPr>
        <w:t>类</w:t>
      </w:r>
      <w:bookmarkEnd w:id="9"/>
      <w:bookmarkEnd w:id="10"/>
      <w:r>
        <w:rPr>
          <w:rFonts w:hint="eastAsia" w:ascii="楷体_GB2312" w:hAnsi="楷体_GB2312" w:eastAsia="楷体_GB2312" w:cs="楷体_GB2312"/>
          <w:b w:val="0"/>
          <w:bCs/>
          <w:color w:val="auto"/>
          <w:kern w:val="0"/>
          <w:sz w:val="32"/>
          <w:szCs w:val="32"/>
          <w:lang w:val="en-US" w:eastAsia="zh-CN" w:bidi="ar-SA"/>
        </w:rPr>
        <w:t>环境声功能区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2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类标准适用区是除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一类和三类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已划出的适用区外的所有规划建成区域。将</w:t>
      </w:r>
      <w:r>
        <w:rPr>
          <w:rFonts w:hint="default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2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类标准适用区主要划为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10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个片区，分别是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城西街道周边的居住、商业、工业混合区，成山集团东侧、北侧混合区，崖头河西岸、成山大道北居住和商业混合区，市中、成山大道南居住、商业、工业混合区，市中、成山大道北商业、居住混合区，沽河东支东岸居住、工业混合区，南山南路两侧大工业区中的生活区，崂山北路两侧大工业区中的生活区，寻山文教、居住、工业混合区，环绿岛湖商业、休闲混合区。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总面积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约为</w:t>
      </w:r>
      <w:r>
        <w:rPr>
          <w:rFonts w:hint="default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18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.</w:t>
      </w:r>
      <w:r>
        <w:rPr>
          <w:rFonts w:hint="default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801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平方公里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，占建成区面积的</w:t>
      </w:r>
      <w:r>
        <w:rPr>
          <w:rFonts w:hint="default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22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.</w:t>
      </w:r>
      <w:r>
        <w:rPr>
          <w:rFonts w:hint="default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19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%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。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2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-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1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城西街道周边的居住、商业、工业混合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区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该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片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区是位于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城区西北部，包括徐家村、龙泰嘉苑小区等居民住宅区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，面积约为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0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.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917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平方公里。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北外环路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西边界：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科星机械厂西边界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科星机械厂南边界-沽河东支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东边界：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龙河北路-龙泰嘉苑东侧-城西幼儿园东侧-城西派出所东侧</w:t>
      </w:r>
    </w:p>
    <w:p>
      <w:pPr>
        <w:pStyle w:val="1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2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-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2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成山集团东侧、北侧混合区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该片区是位于成山集团公司北侧及东侧的混合区，包括荣安小区、国泰社区、成山嘉苑等居民住宅区，以及周边商业和工业混合区，面积为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2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.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030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平方公里。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龙泰路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西边界：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龙河北路-北大街-荣成荣达轮胎公司西侧道路-青山西路-国泰街-幸福街小学北、西边界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成山大道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东边界：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南山北路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2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-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3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崖头河西岸、成山大道北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居住和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商业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混合区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该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片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区是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位于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北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大街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以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南、成山大道以北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的生活与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商业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混合区，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包括吉兴商场、振华商厦、金悦商务中心、喜洋洋商厦、汇丰电器广场等商业区，及和兴小区、水榭香都、商云小区等居住住宅区，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面积约为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1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.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954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平方公里。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北大街-沽河-青山中路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西边界：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南山北路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成山大道西段-沽河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东边界：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建业街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2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-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4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市中、成山大道南居住、商业、工业混合区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该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片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区是位于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崖头河东岸、成山大道中段路南居住、商业、工业混合区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，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包括仁居小区、双泊小区、德润社区、上海花园等居民住宅区以及大润发购物广场、博隆集团等商业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区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，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面积约为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1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.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945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平方公里。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成山大道中段-成山大道东段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西边界：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建业街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台上南街-观海中路-观海东路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东边界：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杏德街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2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-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5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市中、成山大道北商业、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居住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混合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区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该片区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包括新庄村、台上邹家村、上都苑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、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锦绣苑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小区等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居住住宅区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，面积约为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2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.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485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平方公里。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伟德西路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西边界：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建业街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成山大道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东边界：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府西路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2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-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6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沽河东支东岸居住、工业混合区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该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片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区是位于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河阳东路以北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，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沽河东支以东，包括爱家小区、南荣小区等居住和工业混合区，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面积约为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0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.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791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平方公里。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观海西路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西边界：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站前街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河阳东路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东边界：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南山中路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2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-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7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南山南路两侧大工业区中的生活区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该片区是位于沽河以南，以华悦新城为主的位于大工业区中的生活小区，面积约为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3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.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077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平方公里。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沽河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西边界：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河南村西侧-楚乡路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将军南路-凭海西路-崂山北路-华悦新城南区南边界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东边界：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黎明南路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2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-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8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崂山北路两侧大工业区中的生活区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该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片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区是位于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崂山北路两侧的居民集中区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，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包括新城一品、崂山景园、崂山景苑和苑、大疃村、二疃村等居住住宅区，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面积约为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2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.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591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平方公里。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荣昌路-鲍家庄村北侧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西边界：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崂山景园西侧-新城一品西侧-崂山公园西侧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荣乌高速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东边界：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鲍家庄村东侧-荣成市第二十一中东侧-二疃村东侧-大疃村东、南侧-崂山北路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2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-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9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寻山文教、居住、工业混合区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该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片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区是位于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寻山路南北两侧，包括城后村、寻山所村、菜园村等居民住宅区以及王华商城等混合区，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面积约为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1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.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623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平方公里。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寻山路-城后村北侧-菜园村北侧-寻山路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西边界：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青山东路和寻山路交汇处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寻山公园-荣成市十二中南边界-荣成波海连杆公司南侧-菜园村南侧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东边界：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菜园村东侧</w:t>
      </w:r>
    </w:p>
    <w:p>
      <w:pPr>
        <w:pStyle w:val="1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2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-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10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环绿岛湖商业、休闲混合区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该片区位于环绿岛湖分布的商业与休闲为主的混合区，包括九龙城购物广场及市文化体育中心等，面积约为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0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.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888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平方公里。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悦湖路-体育场外环路-海湾北路-悦湖路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西边界：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九龙城购物广场西侧-湖岸线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荣成市少年宫南侧-海湾北路-九龙晟大酒店南侧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东边界：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海岸线</w:t>
      </w:r>
    </w:p>
    <w:p>
      <w:pPr>
        <w:pStyle w:val="4"/>
        <w:keepNext/>
        <w:keepLines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Autospacing="0" w:after="0" w:afterAutospacing="0" w:line="600" w:lineRule="exact"/>
        <w:ind w:leftChars="0" w:firstLine="640" w:firstLineChars="200"/>
        <w:jc w:val="both"/>
        <w:textAlignment w:val="baseline"/>
        <w:outlineLvl w:val="1"/>
        <w:rPr>
          <w:rFonts w:hint="eastAsia" w:ascii="楷体_GB2312" w:hAnsi="楷体_GB2312" w:eastAsia="楷体_GB2312" w:cs="楷体_GB2312"/>
          <w:b w:val="0"/>
          <w:bCs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kern w:val="0"/>
          <w:sz w:val="32"/>
          <w:szCs w:val="32"/>
          <w:lang w:val="en-US" w:eastAsia="zh-CN" w:bidi="ar-SA"/>
        </w:rPr>
        <w:t>（三）</w:t>
      </w:r>
      <w:r>
        <w:rPr>
          <w:rFonts w:hint="eastAsia" w:ascii="Times New Roman" w:hAnsi="Times New Roman" w:eastAsia="楷体_GB2312" w:cs="楷体_GB2312"/>
          <w:b w:val="0"/>
          <w:bCs/>
          <w:color w:val="auto"/>
          <w:kern w:val="0"/>
          <w:sz w:val="32"/>
          <w:szCs w:val="32"/>
          <w:lang w:val="en-US" w:eastAsia="zh-CN" w:bidi="ar-SA"/>
        </w:rPr>
        <w:t>3</w:t>
      </w:r>
      <w:r>
        <w:rPr>
          <w:rFonts w:hint="eastAsia" w:ascii="楷体_GB2312" w:hAnsi="楷体_GB2312" w:eastAsia="楷体_GB2312" w:cs="楷体_GB2312"/>
          <w:b w:val="0"/>
          <w:bCs/>
          <w:color w:val="auto"/>
          <w:kern w:val="0"/>
          <w:sz w:val="32"/>
          <w:szCs w:val="32"/>
          <w:lang w:val="en-US" w:eastAsia="zh-CN" w:bidi="ar-SA"/>
        </w:rPr>
        <w:t>类</w:t>
      </w:r>
      <w:bookmarkEnd w:id="7"/>
      <w:bookmarkEnd w:id="8"/>
      <w:r>
        <w:rPr>
          <w:rFonts w:hint="eastAsia" w:ascii="楷体_GB2312" w:hAnsi="楷体_GB2312" w:eastAsia="楷体_GB2312" w:cs="楷体_GB2312"/>
          <w:b w:val="0"/>
          <w:bCs/>
          <w:color w:val="auto"/>
          <w:kern w:val="0"/>
          <w:sz w:val="32"/>
          <w:szCs w:val="32"/>
          <w:lang w:val="en-US" w:eastAsia="zh-CN" w:bidi="ar-SA"/>
        </w:rPr>
        <w:t>环境声功能区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3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类标准适用区主要有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5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个片区，分别是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成山集团、天颐热电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工业区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，荣成高铁站及周边工业区，高端产业园区，经济开发区（工业集中区），寻山工业园区。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总面积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约为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22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.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392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平方公里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，占建成区面积的</w:t>
      </w:r>
      <w:r>
        <w:rPr>
          <w:rFonts w:hint="default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26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.</w:t>
      </w:r>
      <w:r>
        <w:rPr>
          <w:rFonts w:hint="default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43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%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。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3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-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1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成山集团、天颐热电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工业区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该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片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区是位于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城区西端，沽河东支东岸、国泰街以西的集中式工业片区，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面积约为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0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.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952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平方公里。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北大街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西边界：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龙河北路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成山大道西段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东边界：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荣成荣达轮胎公司西侧道路-青山西路-国泰街-幸福街-平川巷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3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-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2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荣成高铁站及周边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工业区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该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片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区是位于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城西荣成高铁站及周边的工业区混合区域，面积约为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1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.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520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平方公里。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成山大道西段北侧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西边界：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万钧电机西侧-威海嘉盛乳业公司南侧-青烟威荣城际铁路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河阳西路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东边界：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站前街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3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-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3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高端产业园区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该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片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区是位于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荣乌高速以北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，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沽河以南的高端工业园区，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面积约为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14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.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880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平方公里。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沽河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西边界：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黎明南路-华悦新城南区南边界-崂山北路-凭海西路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荣乌高速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东边界：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沽河-凭海东路-泰祥路-富耕路-佳华实业工业园南侧边界-黎明南路-崂山工业园南侧边界-大疃村东侧-二疃村东侧-荣成二十一中东侧-鲍家庄东侧-北侧-崂山北路-荣昌路-崂山景园西侧-新城一品西侧-崂山公园西侧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3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-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4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经济开发区（工业集中区）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该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片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区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是位于经济开发区中的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工业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集中区域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，面积约为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4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.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062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平方公里。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观海中路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西边界：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富源北路-河阳东路-南山中路-沽河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凭海东路-富源南路-荷田东路-泰祥路-荣成市永源金属制品公司北侧-钏港石材东南边界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东边界：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云光中路-河阳东路-邹泰南街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3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-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5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寻山工业园区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该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片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区是位于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寻山工业园区，面积约为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0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.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978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平方公里。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寻山工业园东北边界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西边界：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北外环路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南边界：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车道河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东边界：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海岸线</w:t>
      </w:r>
    </w:p>
    <w:p>
      <w:pPr>
        <w:pStyle w:val="4"/>
        <w:keepNext/>
        <w:keepLines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600" w:lineRule="exact"/>
        <w:ind w:leftChars="0" w:firstLine="640" w:firstLineChars="200"/>
        <w:jc w:val="both"/>
        <w:textAlignment w:val="baseline"/>
        <w:outlineLvl w:val="1"/>
        <w:rPr>
          <w:rFonts w:hint="eastAsia" w:ascii="楷体_GB2312" w:hAnsi="楷体_GB2312" w:eastAsia="楷体_GB2312" w:cs="楷体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（四）</w:t>
      </w:r>
      <w:r>
        <w:rPr>
          <w:rFonts w:hint="eastAsia" w:ascii="Times New Roman" w:hAnsi="Times New Roman" w:eastAsia="楷体_GB2312" w:cs="楷体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4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类</w:t>
      </w:r>
      <w:bookmarkEnd w:id="5"/>
      <w:bookmarkEnd w:id="6"/>
      <w:r>
        <w:rPr>
          <w:rFonts w:hint="eastAsia" w:ascii="楷体_GB2312" w:hAnsi="楷体_GB2312" w:eastAsia="楷体_GB2312" w:cs="楷体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声环境功能区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根据荣成市道路交通干线分布情况，划为“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1</w:t>
      </w:r>
      <w:r>
        <w:rPr>
          <w:rFonts w:hint="default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0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主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25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次”的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4a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类交通干线，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2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条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4b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类城际铁路干线的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4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类声环境功能区（见表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lang w:val="en-US" w:eastAsia="zh-CN" w:bidi="ar-SA"/>
        </w:rPr>
        <w:t>5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）。</w:t>
      </w:r>
    </w:p>
    <w:p>
      <w:pPr>
        <w:pStyle w:val="13"/>
        <w:spacing w:line="360" w:lineRule="auto"/>
        <w:jc w:val="center"/>
        <w:rPr>
          <w:rFonts w:hint="default" w:ascii="Times New Roman" w:hAnsi="Times New Roman" w:eastAsia="黑体" w:cs="Times New Roman"/>
          <w:b w:val="0"/>
          <w:bCs w:val="0"/>
          <w:color w:val="auto"/>
          <w:kern w:val="0"/>
          <w:sz w:val="24"/>
          <w:szCs w:val="24"/>
          <w:lang w:val="en-US" w:eastAsia="zh-CN" w:bidi="ar"/>
        </w:rPr>
      </w:pPr>
      <w:r>
        <w:rPr>
          <w:rFonts w:hint="eastAsia" w:ascii="Times New Roman" w:hAnsi="Times New Roman" w:eastAsia="黑体" w:cs="Times New Roman"/>
          <w:b w:val="0"/>
          <w:bCs w:val="0"/>
          <w:color w:val="auto"/>
          <w:kern w:val="0"/>
          <w:sz w:val="24"/>
          <w:szCs w:val="24"/>
          <w:lang w:val="en-US" w:eastAsia="zh-CN" w:bidi="ar"/>
        </w:rPr>
        <w:t>表5  荣成市市城市区域4类声环境功能区</w:t>
      </w:r>
    </w:p>
    <w:tbl>
      <w:tblPr>
        <w:tblStyle w:val="8"/>
        <w:tblW w:w="923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2"/>
        <w:gridCol w:w="1022"/>
        <w:gridCol w:w="632"/>
        <w:gridCol w:w="1321"/>
        <w:gridCol w:w="1085"/>
        <w:gridCol w:w="1068"/>
        <w:gridCol w:w="1262"/>
        <w:gridCol w:w="231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4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类别</w:t>
            </w:r>
          </w:p>
        </w:tc>
        <w:tc>
          <w:tcPr>
            <w:tcW w:w="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序号</w:t>
            </w: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道路名称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长度</w:t>
            </w:r>
          </w:p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240" w:lineRule="auto"/>
              <w:jc w:val="both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（公里）</w:t>
            </w: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路宽（米）</w:t>
            </w:r>
          </w:p>
        </w:tc>
        <w:tc>
          <w:tcPr>
            <w:tcW w:w="12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面积（平方公里）</w:t>
            </w:r>
          </w:p>
        </w:tc>
        <w:tc>
          <w:tcPr>
            <w:tcW w:w="2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路段起止点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restart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4a</w:t>
            </w:r>
          </w:p>
        </w:tc>
        <w:tc>
          <w:tcPr>
            <w:tcW w:w="1022" w:type="dxa"/>
            <w:vMerge w:val="restart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主干路</w:t>
            </w:r>
          </w:p>
        </w:tc>
        <w:tc>
          <w:tcPr>
            <w:tcW w:w="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1</w:t>
            </w: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青山路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10.46</w:t>
            </w: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26</w:t>
            </w:r>
          </w:p>
        </w:tc>
        <w:tc>
          <w:tcPr>
            <w:tcW w:w="12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</w:t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.</w:t>
            </w: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472</w:t>
            </w:r>
          </w:p>
        </w:tc>
        <w:tc>
          <w:tcPr>
            <w:tcW w:w="2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将军路-北外环路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2</w:t>
            </w: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成山大道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10.80</w:t>
            </w: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32</w:t>
            </w:r>
          </w:p>
        </w:tc>
        <w:tc>
          <w:tcPr>
            <w:tcW w:w="12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</w:t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.</w:t>
            </w: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537</w:t>
            </w:r>
          </w:p>
        </w:tc>
        <w:tc>
          <w:tcPr>
            <w:tcW w:w="2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沽河东支-寻山路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3</w:t>
            </w: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寻山路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6.62</w:t>
            </w: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28</w:t>
            </w:r>
          </w:p>
        </w:tc>
        <w:tc>
          <w:tcPr>
            <w:tcW w:w="12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</w:t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.</w:t>
            </w: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304</w:t>
            </w:r>
          </w:p>
        </w:tc>
        <w:tc>
          <w:tcPr>
            <w:tcW w:w="2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马后街-寻山所路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4</w:t>
            </w: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河阳路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3.97</w:t>
            </w: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31</w:t>
            </w:r>
          </w:p>
        </w:tc>
        <w:tc>
          <w:tcPr>
            <w:tcW w:w="12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</w:t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.</w:t>
            </w: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178</w:t>
            </w:r>
          </w:p>
        </w:tc>
        <w:tc>
          <w:tcPr>
            <w:tcW w:w="2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将军路-云光路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5</w:t>
            </w: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凭海路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1.46</w:t>
            </w: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37</w:t>
            </w:r>
          </w:p>
        </w:tc>
        <w:tc>
          <w:tcPr>
            <w:tcW w:w="12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</w:t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.</w:t>
            </w: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102</w:t>
            </w:r>
          </w:p>
        </w:tc>
        <w:tc>
          <w:tcPr>
            <w:tcW w:w="2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古塔路-海湾路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6</w:t>
            </w: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富耕路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2.58</w:t>
            </w: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24</w:t>
            </w:r>
          </w:p>
        </w:tc>
        <w:tc>
          <w:tcPr>
            <w:tcW w:w="12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0.165</w:t>
            </w:r>
          </w:p>
        </w:tc>
        <w:tc>
          <w:tcPr>
            <w:tcW w:w="2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平海路-望湖路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7</w:t>
            </w: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将军南路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1.40</w:t>
            </w: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29</w:t>
            </w:r>
          </w:p>
        </w:tc>
        <w:tc>
          <w:tcPr>
            <w:tcW w:w="12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0.099</w:t>
            </w:r>
          </w:p>
        </w:tc>
        <w:tc>
          <w:tcPr>
            <w:tcW w:w="2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楚湘路-富耕路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8</w:t>
            </w: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南山路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5.13</w:t>
            </w: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28</w:t>
            </w:r>
          </w:p>
        </w:tc>
        <w:tc>
          <w:tcPr>
            <w:tcW w:w="12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0.237</w:t>
            </w:r>
          </w:p>
        </w:tc>
        <w:tc>
          <w:tcPr>
            <w:tcW w:w="2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北外环路-富耕路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9</w:t>
            </w: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崂山路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2.75</w:t>
            </w: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28</w:t>
            </w:r>
          </w:p>
        </w:tc>
        <w:tc>
          <w:tcPr>
            <w:tcW w:w="12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0.151</w:t>
            </w:r>
          </w:p>
        </w:tc>
        <w:tc>
          <w:tcPr>
            <w:tcW w:w="2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富耕路-海湾南路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10</w:t>
            </w: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云光路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6.03</w:t>
            </w: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28</w:t>
            </w:r>
          </w:p>
        </w:tc>
        <w:tc>
          <w:tcPr>
            <w:tcW w:w="12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0.298</w:t>
            </w:r>
          </w:p>
        </w:tc>
        <w:tc>
          <w:tcPr>
            <w:tcW w:w="2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北外环路-凭海路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22" w:type="dxa"/>
            <w:vMerge w:val="restart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次干路</w:t>
            </w:r>
          </w:p>
        </w:tc>
        <w:tc>
          <w:tcPr>
            <w:tcW w:w="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1</w:t>
            </w: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北大街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2.52</w:t>
            </w: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24</w:t>
            </w:r>
          </w:p>
        </w:tc>
        <w:tc>
          <w:tcPr>
            <w:tcW w:w="12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0.117</w:t>
            </w:r>
          </w:p>
        </w:tc>
        <w:tc>
          <w:tcPr>
            <w:tcW w:w="2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将军路-明珠路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2</w:t>
            </w: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文化东路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1.72</w:t>
            </w: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30</w:t>
            </w:r>
          </w:p>
        </w:tc>
        <w:tc>
          <w:tcPr>
            <w:tcW w:w="12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0.123</w:t>
            </w:r>
          </w:p>
        </w:tc>
        <w:tc>
          <w:tcPr>
            <w:tcW w:w="2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国泰街-台上街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3</w:t>
            </w: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伟德路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4.95</w:t>
            </w: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30</w:t>
            </w:r>
          </w:p>
        </w:tc>
        <w:tc>
          <w:tcPr>
            <w:tcW w:w="12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0.268</w:t>
            </w:r>
          </w:p>
        </w:tc>
        <w:tc>
          <w:tcPr>
            <w:tcW w:w="2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台上街-马成街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4</w:t>
            </w: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海湾路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11.43</w:t>
            </w: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24</w:t>
            </w:r>
          </w:p>
        </w:tc>
        <w:tc>
          <w:tcPr>
            <w:tcW w:w="12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0.496</w:t>
            </w:r>
          </w:p>
        </w:tc>
        <w:tc>
          <w:tcPr>
            <w:tcW w:w="2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寻山路-青山路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5</w:t>
            </w: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越岭西街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0.67</w:t>
            </w: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31</w:t>
            </w:r>
          </w:p>
        </w:tc>
        <w:tc>
          <w:tcPr>
            <w:tcW w:w="12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0.046</w:t>
            </w:r>
          </w:p>
        </w:tc>
        <w:tc>
          <w:tcPr>
            <w:tcW w:w="2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将军路-铁西路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6</w:t>
            </w: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越岭东街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0.66</w:t>
            </w: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31</w:t>
            </w:r>
          </w:p>
        </w:tc>
        <w:tc>
          <w:tcPr>
            <w:tcW w:w="12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0.045</w:t>
            </w:r>
          </w:p>
        </w:tc>
        <w:tc>
          <w:tcPr>
            <w:tcW w:w="2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沽河东支路-黎明路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7</w:t>
            </w: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悦湖路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3.92</w:t>
            </w: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28</w:t>
            </w:r>
          </w:p>
        </w:tc>
        <w:tc>
          <w:tcPr>
            <w:tcW w:w="12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0.251</w:t>
            </w:r>
          </w:p>
        </w:tc>
        <w:tc>
          <w:tcPr>
            <w:tcW w:w="2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楚祥街-海湾路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8</w:t>
            </w: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黎明路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8.63</w:t>
            </w: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24</w:t>
            </w:r>
          </w:p>
        </w:tc>
        <w:tc>
          <w:tcPr>
            <w:tcW w:w="12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0.388</w:t>
            </w:r>
          </w:p>
        </w:tc>
        <w:tc>
          <w:tcPr>
            <w:tcW w:w="2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成山大道-海湾路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9</w:t>
            </w: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荣达路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3.64</w:t>
            </w: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24</w:t>
            </w:r>
          </w:p>
        </w:tc>
        <w:tc>
          <w:tcPr>
            <w:tcW w:w="12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0.227</w:t>
            </w:r>
          </w:p>
        </w:tc>
        <w:tc>
          <w:tcPr>
            <w:tcW w:w="2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凭海路-黎明路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10</w:t>
            </w: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明珠路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</w:t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.</w:t>
            </w: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58</w:t>
            </w: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31</w:t>
            </w:r>
          </w:p>
        </w:tc>
        <w:tc>
          <w:tcPr>
            <w:tcW w:w="12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0.162</w:t>
            </w:r>
          </w:p>
        </w:tc>
        <w:tc>
          <w:tcPr>
            <w:tcW w:w="2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北外环路-成山大道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11</w:t>
            </w: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建业街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</w:t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.</w:t>
            </w: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53</w:t>
            </w: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21</w:t>
            </w:r>
          </w:p>
        </w:tc>
        <w:tc>
          <w:tcPr>
            <w:tcW w:w="12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0.096</w:t>
            </w:r>
          </w:p>
        </w:tc>
        <w:tc>
          <w:tcPr>
            <w:tcW w:w="2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青山路-观海路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12</w:t>
            </w: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肇元街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2</w:t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.</w:t>
            </w: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38</w:t>
            </w: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21</w:t>
            </w:r>
          </w:p>
        </w:tc>
        <w:tc>
          <w:tcPr>
            <w:tcW w:w="12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</w:t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.</w:t>
            </w: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114</w:t>
            </w:r>
          </w:p>
        </w:tc>
        <w:tc>
          <w:tcPr>
            <w:tcW w:w="2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北外环路-成山大道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13</w:t>
            </w: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泰祥路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3</w:t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.</w:t>
            </w: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35</w:t>
            </w: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24</w:t>
            </w:r>
          </w:p>
        </w:tc>
        <w:tc>
          <w:tcPr>
            <w:tcW w:w="12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</w:t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.</w:t>
            </w: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203</w:t>
            </w:r>
          </w:p>
        </w:tc>
        <w:tc>
          <w:tcPr>
            <w:tcW w:w="2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河阳路-黎明路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14</w:t>
            </w: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兴隆路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</w:t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.</w:t>
            </w: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90</w:t>
            </w: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24</w:t>
            </w:r>
          </w:p>
        </w:tc>
        <w:tc>
          <w:tcPr>
            <w:tcW w:w="12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</w:t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.</w:t>
            </w: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082</w:t>
            </w:r>
          </w:p>
        </w:tc>
        <w:tc>
          <w:tcPr>
            <w:tcW w:w="2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凭海路-古塔路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15</w:t>
            </w: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马成街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2</w:t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.</w:t>
            </w: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13</w:t>
            </w: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12</w:t>
            </w:r>
          </w:p>
        </w:tc>
        <w:tc>
          <w:tcPr>
            <w:tcW w:w="12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</w:t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.</w:t>
            </w: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057</w:t>
            </w:r>
          </w:p>
        </w:tc>
        <w:tc>
          <w:tcPr>
            <w:tcW w:w="2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北外环路-寻山路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16</w:t>
            </w: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龙河北路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3</w:t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.</w:t>
            </w: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21</w:t>
            </w: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15</w:t>
            </w:r>
          </w:p>
        </w:tc>
        <w:tc>
          <w:tcPr>
            <w:tcW w:w="12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</w:t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.</w:t>
            </w: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083</w:t>
            </w:r>
          </w:p>
        </w:tc>
        <w:tc>
          <w:tcPr>
            <w:tcW w:w="2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将军北路-成山大道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17</w:t>
            </w: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观海路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7</w:t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.</w:t>
            </w: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28</w:t>
            </w: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25</w:t>
            </w:r>
          </w:p>
        </w:tc>
        <w:tc>
          <w:tcPr>
            <w:tcW w:w="12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</w:t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.</w:t>
            </w: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353</w:t>
            </w:r>
          </w:p>
        </w:tc>
        <w:tc>
          <w:tcPr>
            <w:tcW w:w="2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站前街-海湾北路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18</w:t>
            </w: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兴业路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2</w:t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.</w:t>
            </w: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76</w:t>
            </w: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14</w:t>
            </w:r>
          </w:p>
        </w:tc>
        <w:tc>
          <w:tcPr>
            <w:tcW w:w="12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</w:t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.</w:t>
            </w: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074</w:t>
            </w:r>
          </w:p>
        </w:tc>
        <w:tc>
          <w:tcPr>
            <w:tcW w:w="2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凭海路-荣乌高速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19</w:t>
            </w: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宁家南路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3</w:t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.</w:t>
            </w: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35</w:t>
            </w: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16</w:t>
            </w:r>
          </w:p>
        </w:tc>
        <w:tc>
          <w:tcPr>
            <w:tcW w:w="12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</w:t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.</w:t>
            </w: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092</w:t>
            </w:r>
          </w:p>
        </w:tc>
        <w:tc>
          <w:tcPr>
            <w:tcW w:w="2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威石辅路-海湾南路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20</w:t>
            </w: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柳家庄路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</w:t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.</w:t>
            </w: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35</w:t>
            </w: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14</w:t>
            </w:r>
          </w:p>
        </w:tc>
        <w:tc>
          <w:tcPr>
            <w:tcW w:w="12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</w:t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.</w:t>
            </w: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036</w:t>
            </w:r>
          </w:p>
        </w:tc>
        <w:tc>
          <w:tcPr>
            <w:tcW w:w="2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威石辅路-海湾南路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21</w:t>
            </w: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富源路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2</w:t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.</w:t>
            </w: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69</w:t>
            </w: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20</w:t>
            </w:r>
          </w:p>
        </w:tc>
        <w:tc>
          <w:tcPr>
            <w:tcW w:w="12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</w:t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.</w:t>
            </w: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090</w:t>
            </w:r>
          </w:p>
        </w:tc>
        <w:tc>
          <w:tcPr>
            <w:tcW w:w="2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观海路-凭海路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22</w:t>
            </w: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楚祥北街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</w:t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.</w:t>
            </w: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57</w:t>
            </w: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14</w:t>
            </w:r>
          </w:p>
        </w:tc>
        <w:tc>
          <w:tcPr>
            <w:tcW w:w="12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</w:t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.</w:t>
            </w: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048</w:t>
            </w:r>
          </w:p>
        </w:tc>
        <w:tc>
          <w:tcPr>
            <w:tcW w:w="2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北外环路-青山路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23</w:t>
            </w: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邹泰街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4</w:t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.</w:t>
            </w: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72</w:t>
            </w: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16</w:t>
            </w:r>
          </w:p>
        </w:tc>
        <w:tc>
          <w:tcPr>
            <w:tcW w:w="12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</w:t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.</w:t>
            </w: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076</w:t>
            </w:r>
          </w:p>
        </w:tc>
        <w:tc>
          <w:tcPr>
            <w:tcW w:w="2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北外环路-荷田东路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24</w:t>
            </w: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十里河街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3</w:t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.</w:t>
            </w: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15</w:t>
            </w: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19</w:t>
            </w:r>
          </w:p>
        </w:tc>
        <w:tc>
          <w:tcPr>
            <w:tcW w:w="12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</w:t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.</w:t>
            </w: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060</w:t>
            </w:r>
          </w:p>
        </w:tc>
        <w:tc>
          <w:tcPr>
            <w:tcW w:w="2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北外环路-悦湖路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2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25</w:t>
            </w: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府东路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2</w:t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.</w:t>
            </w: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55</w:t>
            </w: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24</w:t>
            </w:r>
          </w:p>
        </w:tc>
        <w:tc>
          <w:tcPr>
            <w:tcW w:w="12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</w:t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.</w:t>
            </w: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061</w:t>
            </w:r>
          </w:p>
        </w:tc>
        <w:tc>
          <w:tcPr>
            <w:tcW w:w="2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北外环路-成山大道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4b</w:t>
            </w:r>
          </w:p>
        </w:tc>
        <w:tc>
          <w:tcPr>
            <w:tcW w:w="102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铁路干线</w:t>
            </w:r>
          </w:p>
        </w:tc>
        <w:tc>
          <w:tcPr>
            <w:tcW w:w="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1</w:t>
            </w: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站前街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1</w:t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.</w:t>
            </w: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88</w:t>
            </w: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30</w:t>
            </w:r>
          </w:p>
        </w:tc>
        <w:tc>
          <w:tcPr>
            <w:tcW w:w="12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</w:t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.</w:t>
            </w: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056</w:t>
            </w:r>
          </w:p>
        </w:tc>
        <w:tc>
          <w:tcPr>
            <w:tcW w:w="2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成山大道路-河阳路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0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2</w:t>
            </w: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河阳西路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</w:t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.</w:t>
            </w: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77</w:t>
            </w: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15</w:t>
            </w:r>
          </w:p>
        </w:tc>
        <w:tc>
          <w:tcPr>
            <w:tcW w:w="12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</w:t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.</w:t>
            </w: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012</w:t>
            </w:r>
          </w:p>
        </w:tc>
        <w:tc>
          <w:tcPr>
            <w:tcW w:w="2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高铁荣成站-南山路</w:t>
            </w:r>
          </w:p>
        </w:tc>
      </w:tr>
    </w:tbl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ind w:firstLine="640" w:firstLineChars="200"/>
        <w:textAlignment w:val="auto"/>
        <w:rPr>
          <w:rFonts w:hint="eastAsia" w:ascii="Times New Roman" w:hAnsi="Times New Roman" w:eastAsia="黑体" w:cs="Times New Roman"/>
          <w:b w:val="0"/>
          <w:bCs w:val="0"/>
          <w:sz w:val="32"/>
          <w:szCs w:val="32"/>
          <w:lang w:val="en-US" w:eastAsia="zh-CN"/>
        </w:rPr>
      </w:pPr>
      <w:bookmarkStart w:id="11" w:name="_Toc7209"/>
      <w:r>
        <w:rPr>
          <w:rFonts w:hint="eastAsia" w:ascii="Times New Roman" w:hAnsi="Times New Roman" w:eastAsia="黑体" w:cs="Times New Roman"/>
          <w:b w:val="0"/>
          <w:bCs w:val="0"/>
          <w:sz w:val="32"/>
          <w:szCs w:val="32"/>
          <w:lang w:val="en-US" w:eastAsia="zh-CN"/>
        </w:rPr>
        <w:t>七、其他规定</w:t>
      </w:r>
      <w:bookmarkEnd w:id="11"/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1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.各类型功能片区中的学校区域执行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1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类声环境功能区标准。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ind w:firstLine="640" w:firstLineChars="200"/>
        <w:textAlignment w:val="baseline"/>
        <w:rPr>
          <w:rFonts w:hint="default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2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.本规定自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2022年3月1日起实施，有效期至</w:t>
      </w:r>
      <w:r>
        <w:rPr>
          <w:rFonts w:hint="eastAsia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2027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年</w:t>
      </w:r>
      <w:r>
        <w:rPr>
          <w:rFonts w:hint="eastAsia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2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月</w:t>
      </w:r>
      <w:r>
        <w:rPr>
          <w:rFonts w:hint="eastAsia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28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日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。原《荣成市城市区域环境噪声标准适用区划》</w:t>
      </w:r>
      <w:r>
        <w:rPr>
          <w:rFonts w:hint="default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" w:eastAsia="zh-CN" w:bidi="ar-SA"/>
        </w:rPr>
        <w:t>(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" w:eastAsia="zh-CN" w:bidi="ar-SA"/>
        </w:rPr>
        <w:t>荣政发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〔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2002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〕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41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号</w:t>
      </w:r>
      <w:r>
        <w:rPr>
          <w:rFonts w:hint="default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" w:eastAsia="zh-CN" w:bidi="ar-SA"/>
        </w:rPr>
        <w:t>)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废止。</w:t>
      </w:r>
    </w:p>
    <w:bookmarkEnd w:id="2"/>
    <w:p>
      <w:pPr>
        <w:pStyle w:val="4"/>
        <w:keepNext/>
        <w:keepLines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313" w:beforeLines="100" w:beforeAutospacing="0" w:after="120" w:afterLines="50" w:afterAutospacing="0" w:line="360" w:lineRule="auto"/>
        <w:ind w:leftChars="0" w:firstLine="640" w:firstLineChars="200"/>
        <w:jc w:val="both"/>
        <w:textAlignment w:val="baseline"/>
        <w:outlineLvl w:val="1"/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bookmarkStart w:id="12" w:name="_Toc19597"/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附</w:t>
      </w:r>
      <w:bookmarkEnd w:id="12"/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件：荣成市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0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-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4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类噪声标准适用区域示意图</w:t>
      </w:r>
    </w:p>
    <w:p>
      <w:pP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ind w:firstLine="0" w:firstLineChars="0"/>
        <w:jc w:val="both"/>
        <w:textAlignment w:val="baseline"/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附件</w:t>
      </w:r>
    </w:p>
    <w:p>
      <w:pPr>
        <w:pStyle w:val="4"/>
        <w:keepNext/>
        <w:keepLines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313" w:beforeLines="100" w:beforeAutospacing="0" w:after="120" w:afterLines="50" w:afterAutospacing="0" w:line="360" w:lineRule="auto"/>
        <w:ind w:leftChars="0" w:firstLine="0" w:firstLineChars="0"/>
        <w:jc w:val="center"/>
        <w:textAlignment w:val="baseline"/>
        <w:outlineLvl w:val="1"/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荣成市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0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-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4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类噪声标准适用区域示意图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ind w:firstLine="0" w:firstLineChars="0"/>
        <w:jc w:val="both"/>
        <w:textAlignment w:val="baseline"/>
        <w:rPr>
          <w:rFonts w:hint="default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ind w:firstLine="0" w:firstLineChars="0"/>
        <w:jc w:val="center"/>
        <w:textAlignment w:val="baseline"/>
        <w:rPr>
          <w:rFonts w:hint="default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bookmarkStart w:id="13" w:name="_GoBack"/>
      <w:r>
        <w:drawing>
          <wp:inline distT="0" distB="0" distL="114300" distR="114300">
            <wp:extent cx="5720715" cy="4056380"/>
            <wp:effectExtent l="0" t="0" r="9525" b="12700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20715" cy="4056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13"/>
    </w:p>
    <w:sectPr>
      <w:footerReference r:id="rId3" w:type="default"/>
      <w:pgSz w:w="11906" w:h="16838"/>
      <w:pgMar w:top="1814" w:right="1417" w:bottom="1814" w:left="1474" w:header="851" w:footer="992" w:gutter="0"/>
      <w:pgNumType w:fmt="decimal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1DB5DBE5-3B4E-494A-B120-CDA477EA5DD5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黑体简体">
    <w:altName w:val="微软雅黑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985E8CC6-FE0B-4F02-ABBC-6A629425E494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092B3A42-32FE-47E6-93D9-FBAEF106C4D3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A577285C-FE37-47BF-BE8B-DD5E16537C45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JjNDU3OGUxZTA3YmE4ZTMyYzBiYWJiYzVhOWM4YTgifQ=="/>
  </w:docVars>
  <w:rsids>
    <w:rsidRoot w:val="5D276163"/>
    <w:rsid w:val="06B01930"/>
    <w:rsid w:val="06CF7692"/>
    <w:rsid w:val="07132B19"/>
    <w:rsid w:val="07436C53"/>
    <w:rsid w:val="07F54CD8"/>
    <w:rsid w:val="0989174C"/>
    <w:rsid w:val="15020B3B"/>
    <w:rsid w:val="1720647E"/>
    <w:rsid w:val="17CE617D"/>
    <w:rsid w:val="180D792A"/>
    <w:rsid w:val="1A0E5395"/>
    <w:rsid w:val="1EFA1F4D"/>
    <w:rsid w:val="1F116888"/>
    <w:rsid w:val="218F282C"/>
    <w:rsid w:val="21C079B2"/>
    <w:rsid w:val="23F77E55"/>
    <w:rsid w:val="24D80C88"/>
    <w:rsid w:val="27FD3159"/>
    <w:rsid w:val="29333D6D"/>
    <w:rsid w:val="2C426BEB"/>
    <w:rsid w:val="2EFDAE4E"/>
    <w:rsid w:val="2F46590F"/>
    <w:rsid w:val="2FDD0F68"/>
    <w:rsid w:val="30A83E9F"/>
    <w:rsid w:val="329A1838"/>
    <w:rsid w:val="377A0C7D"/>
    <w:rsid w:val="3CCC25A0"/>
    <w:rsid w:val="3EB4415A"/>
    <w:rsid w:val="3FB6EB2A"/>
    <w:rsid w:val="3FCA5625"/>
    <w:rsid w:val="3FFEE68E"/>
    <w:rsid w:val="41A62168"/>
    <w:rsid w:val="4471286C"/>
    <w:rsid w:val="44F36D79"/>
    <w:rsid w:val="451B738F"/>
    <w:rsid w:val="4A271BA8"/>
    <w:rsid w:val="4CC63B22"/>
    <w:rsid w:val="542B3A25"/>
    <w:rsid w:val="55950A00"/>
    <w:rsid w:val="55B26DA9"/>
    <w:rsid w:val="59096922"/>
    <w:rsid w:val="5C7F7E3F"/>
    <w:rsid w:val="5D276163"/>
    <w:rsid w:val="5DFEEBFD"/>
    <w:rsid w:val="5E913E89"/>
    <w:rsid w:val="61501374"/>
    <w:rsid w:val="643F259D"/>
    <w:rsid w:val="67A759D1"/>
    <w:rsid w:val="6878416D"/>
    <w:rsid w:val="692B76C9"/>
    <w:rsid w:val="6AA14257"/>
    <w:rsid w:val="6BE92FE9"/>
    <w:rsid w:val="6D7F5246"/>
    <w:rsid w:val="6D8018BE"/>
    <w:rsid w:val="70FF7613"/>
    <w:rsid w:val="71B5B9E8"/>
    <w:rsid w:val="77AB5C25"/>
    <w:rsid w:val="783F5DA1"/>
    <w:rsid w:val="78D53136"/>
    <w:rsid w:val="7BEE1AC8"/>
    <w:rsid w:val="7BF31C9F"/>
    <w:rsid w:val="7CFF7D30"/>
    <w:rsid w:val="7D6C02CA"/>
    <w:rsid w:val="7D7DDA0C"/>
    <w:rsid w:val="7D9B6C12"/>
    <w:rsid w:val="7E7E7087"/>
    <w:rsid w:val="7F301E8F"/>
    <w:rsid w:val="7F776B5C"/>
    <w:rsid w:val="7FFE98AC"/>
    <w:rsid w:val="8AC9C2E5"/>
    <w:rsid w:val="8CFFF903"/>
    <w:rsid w:val="8FBEA8C3"/>
    <w:rsid w:val="9EF7A192"/>
    <w:rsid w:val="BF5FC54B"/>
    <w:rsid w:val="BF7C622E"/>
    <w:rsid w:val="D7595392"/>
    <w:rsid w:val="DF971272"/>
    <w:rsid w:val="DFDD2653"/>
    <w:rsid w:val="EEEF5E25"/>
    <w:rsid w:val="EEEF6A00"/>
    <w:rsid w:val="EEF76C23"/>
    <w:rsid w:val="EEFD2701"/>
    <w:rsid w:val="EF3BFF06"/>
    <w:rsid w:val="EFED293B"/>
    <w:rsid w:val="EFFBF741"/>
    <w:rsid w:val="F6AE8C6C"/>
    <w:rsid w:val="F75998A3"/>
    <w:rsid w:val="F93F91B2"/>
    <w:rsid w:val="FB54B3A4"/>
    <w:rsid w:val="FB7E74EB"/>
    <w:rsid w:val="FCF5FB9A"/>
    <w:rsid w:val="FEEE3CEA"/>
    <w:rsid w:val="FEF73550"/>
    <w:rsid w:val="FFF05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="100" w:beforeAutospacing="1" w:after="100" w:afterAutospacing="1"/>
      <w:jc w:val="left"/>
      <w:outlineLvl w:val="0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4">
    <w:name w:val="heading 2"/>
    <w:basedOn w:val="1"/>
    <w:next w:val="1"/>
    <w:unhideWhenUsed/>
    <w:qFormat/>
    <w:uiPriority w:val="0"/>
    <w:pPr>
      <w:spacing w:before="100" w:beforeAutospacing="1" w:after="100" w:afterAutospacing="1"/>
      <w:jc w:val="left"/>
      <w:outlineLvl w:val="1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99"/>
    <w:pPr>
      <w:adjustRightInd w:val="0"/>
      <w:spacing w:line="360" w:lineRule="auto"/>
      <w:ind w:firstLine="480" w:firstLineChars="200"/>
      <w:jc w:val="left"/>
      <w:textAlignment w:val="baseline"/>
    </w:pPr>
    <w:rPr>
      <w:rFonts w:cs="宋体"/>
      <w:sz w:val="24"/>
      <w:szCs w:val="20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Body Text 2"/>
    <w:basedOn w:val="1"/>
    <w:qFormat/>
    <w:uiPriority w:val="0"/>
    <w:pPr>
      <w:spacing w:after="120" w:line="480" w:lineRule="auto"/>
    </w:p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1">
    <w:name w:val=" Char Char Char Char"/>
    <w:basedOn w:val="1"/>
    <w:qFormat/>
    <w:uiPriority w:val="0"/>
  </w:style>
  <w:style w:type="paragraph" w:customStyle="1" w:styleId="12">
    <w:name w:val="样式 小四 行距: 1.5 倍行距"/>
    <w:basedOn w:val="1"/>
    <w:qFormat/>
    <w:uiPriority w:val="0"/>
    <w:pPr>
      <w:spacing w:line="360" w:lineRule="auto"/>
    </w:pPr>
    <w:rPr>
      <w:rFonts w:cs="宋体"/>
      <w:sz w:val="24"/>
      <w:szCs w:val="20"/>
    </w:rPr>
  </w:style>
  <w:style w:type="paragraph" w:customStyle="1" w:styleId="13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Calibri" w:eastAsia="宋体" w:cs="宋体"/>
      <w:color w:val="000000"/>
      <w:kern w:val="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19</Pages>
  <Words>6766</Words>
  <Characters>7613</Characters>
  <Lines>0</Lines>
  <Paragraphs>0</Paragraphs>
  <TotalTime>1</TotalTime>
  <ScaleCrop>false</ScaleCrop>
  <LinksUpToDate>false</LinksUpToDate>
  <CharactersWithSpaces>7655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2021-10-12T01:34:00Z</dcterms:created>
  <dc:creator>珍珍</dc:creator>
  <cp:lastModifiedBy>李宗达</cp:lastModifiedBy>
  <cp:lastPrinted>2021-12-30T08:59:00Z</cp:lastPrinted>
  <dcterms:modified xsi:type="dcterms:W3CDTF">2023-09-13T06:31:43Z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997D5AFFF8754FD79889BD91AD9A6D63</vt:lpwstr>
  </property>
</Properties>
</file>