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4166870</wp:posOffset>
                </wp:positionH>
                <wp:positionV relativeFrom="paragraph">
                  <wp:posOffset>-739140</wp:posOffset>
                </wp:positionV>
                <wp:extent cx="1727200" cy="658495"/>
                <wp:effectExtent l="0" t="0" r="6350" b="8255"/>
                <wp:wrapNone/>
                <wp:docPr id="6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475605" y="582295"/>
                          <a:ext cx="1727200" cy="658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00" w:lineRule="exact"/>
                              <w:jc w:val="center"/>
                              <w:textAlignment w:val="auto"/>
                              <w:rPr>
                                <w:rFonts w:ascii="Times New Roman" w:hAnsi="Times New Roman" w:eastAsia="楷体_GB2312"/>
                                <w:sz w:val="28"/>
                                <w:szCs w:val="21"/>
                              </w:rPr>
                            </w:pPr>
                            <w:r>
                              <w:rPr>
                                <w:rFonts w:hint="eastAsia" w:ascii="Times New Roman" w:hAnsi="Times New Roman" w:eastAsia="楷体_GB2312"/>
                                <w:sz w:val="28"/>
                                <w:szCs w:val="21"/>
                                <w:lang w:eastAsia="zh-CN"/>
                              </w:rPr>
                              <w:t>市民政</w:t>
                            </w:r>
                            <w:r>
                              <w:rPr>
                                <w:rFonts w:ascii="Times New Roman" w:hAnsi="Times New Roman" w:eastAsia="楷体_GB2312"/>
                                <w:sz w:val="28"/>
                                <w:szCs w:val="21"/>
                              </w:rPr>
                              <w:t>局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00" w:lineRule="exact"/>
                              <w:textAlignment w:val="auto"/>
                              <w:rPr>
                                <w:rFonts w:ascii="Times New Roman" w:hAnsi="Times New Roman" w:eastAsia="楷体_GB2312"/>
                                <w:sz w:val="28"/>
                                <w:szCs w:val="21"/>
                              </w:rPr>
                            </w:pPr>
                            <w:r>
                              <w:rPr>
                                <w:rFonts w:ascii="Times New Roman" w:hAnsi="Times New Roman" w:eastAsia="楷体_GB2312" w:cs="Times New Roman"/>
                                <w:sz w:val="28"/>
                                <w:szCs w:val="21"/>
                              </w:rPr>
                              <w:t>202</w:t>
                            </w:r>
                            <w:r>
                              <w:rPr>
                                <w:rFonts w:hint="eastAsia" w:ascii="Times New Roman" w:hAnsi="Times New Roman" w:eastAsia="楷体_GB2312" w:cs="Times New Roman"/>
                                <w:sz w:val="28"/>
                                <w:szCs w:val="21"/>
                                <w:lang w:val="en-US" w:eastAsia="zh-CN"/>
                              </w:rPr>
                              <w:t>4</w:t>
                            </w:r>
                            <w:r>
                              <w:rPr>
                                <w:rFonts w:ascii="Times New Roman" w:hAnsi="Times New Roman" w:eastAsia="楷体_GB2312"/>
                                <w:sz w:val="28"/>
                                <w:szCs w:val="21"/>
                              </w:rPr>
                              <w:t>年</w:t>
                            </w:r>
                            <w:r>
                              <w:rPr>
                                <w:rFonts w:hint="eastAsia" w:ascii="Times New Roman" w:hAnsi="Times New Roman" w:eastAsia="楷体_GB2312" w:cs="Times New Roman"/>
                                <w:sz w:val="28"/>
                                <w:szCs w:val="21"/>
                                <w:lang w:val="en-US" w:eastAsia="zh-CN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 w:eastAsia="楷体_GB2312"/>
                                <w:sz w:val="28"/>
                                <w:szCs w:val="21"/>
                              </w:rPr>
                              <w:t>月</w:t>
                            </w:r>
                            <w:r>
                              <w:rPr>
                                <w:rFonts w:hint="eastAsia" w:ascii="Times New Roman" w:hAnsi="Times New Roman" w:eastAsia="楷体_GB2312" w:cs="Times New Roman"/>
                                <w:sz w:val="28"/>
                                <w:szCs w:val="21"/>
                                <w:lang w:val="en-US" w:eastAsia="zh-CN"/>
                              </w:rPr>
                              <w:t>10</w:t>
                            </w:r>
                            <w:r>
                              <w:rPr>
                                <w:rFonts w:ascii="Times New Roman" w:hAnsi="Times New Roman" w:eastAsia="楷体_GB2312"/>
                                <w:sz w:val="28"/>
                                <w:szCs w:val="21"/>
                              </w:rPr>
                              <w:t>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" o:spid="_x0000_s1026" o:spt="202" type="#_x0000_t202" style="position:absolute;left:0pt;margin-left:328.1pt;margin-top:-58.2pt;height:51.85pt;width:136pt;z-index:251659264;mso-width-relative:page;mso-height-relative:page;" fillcolor="#FFFFFF" filled="t" stroked="f" coordsize="21600,21600" o:gfxdata="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00" w:lineRule="exact"/>
                        <w:jc w:val="center"/>
                        <w:textAlignment w:val="auto"/>
                        <w:rPr>
                          <w:rFonts w:ascii="Times New Roman" w:hAnsi="Times New Roman" w:eastAsia="楷体_GB2312"/>
                          <w:sz w:val="28"/>
                          <w:szCs w:val="21"/>
                        </w:rPr>
                      </w:pPr>
                      <w:r>
                        <w:rPr>
                          <w:rFonts w:hint="eastAsia" w:ascii="Times New Roman" w:hAnsi="Times New Roman" w:eastAsia="楷体_GB2312"/>
                          <w:sz w:val="28"/>
                          <w:szCs w:val="21"/>
                          <w:lang w:eastAsia="zh-CN"/>
                        </w:rPr>
                        <w:t>市民政</w:t>
                      </w:r>
                      <w:r>
                        <w:rPr>
                          <w:rFonts w:ascii="Times New Roman" w:hAnsi="Times New Roman" w:eastAsia="楷体_GB2312"/>
                          <w:sz w:val="28"/>
                          <w:szCs w:val="21"/>
                        </w:rPr>
                        <w:t>局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00" w:lineRule="exact"/>
                        <w:textAlignment w:val="auto"/>
                        <w:rPr>
                          <w:rFonts w:ascii="Times New Roman" w:hAnsi="Times New Roman" w:eastAsia="楷体_GB2312"/>
                          <w:sz w:val="28"/>
                          <w:szCs w:val="21"/>
                        </w:rPr>
                      </w:pPr>
                      <w:r>
                        <w:rPr>
                          <w:rFonts w:ascii="Times New Roman" w:hAnsi="Times New Roman" w:eastAsia="楷体_GB2312" w:cs="Times New Roman"/>
                          <w:sz w:val="28"/>
                          <w:szCs w:val="21"/>
                        </w:rPr>
                        <w:t>202</w:t>
                      </w:r>
                      <w:r>
                        <w:rPr>
                          <w:rFonts w:hint="eastAsia" w:ascii="Times New Roman" w:hAnsi="Times New Roman" w:eastAsia="楷体_GB2312" w:cs="Times New Roman"/>
                          <w:sz w:val="28"/>
                          <w:szCs w:val="21"/>
                          <w:lang w:val="en-US" w:eastAsia="zh-CN"/>
                        </w:rPr>
                        <w:t>4</w:t>
                      </w:r>
                      <w:r>
                        <w:rPr>
                          <w:rFonts w:ascii="Times New Roman" w:hAnsi="Times New Roman" w:eastAsia="楷体_GB2312"/>
                          <w:sz w:val="28"/>
                          <w:szCs w:val="21"/>
                        </w:rPr>
                        <w:t>年</w:t>
                      </w:r>
                      <w:r>
                        <w:rPr>
                          <w:rFonts w:hint="eastAsia" w:ascii="Times New Roman" w:hAnsi="Times New Roman" w:eastAsia="楷体_GB2312" w:cs="Times New Roman"/>
                          <w:sz w:val="28"/>
                          <w:szCs w:val="21"/>
                          <w:lang w:val="en-US" w:eastAsia="zh-CN"/>
                        </w:rPr>
                        <w:t>1</w:t>
                      </w:r>
                      <w:r>
                        <w:rPr>
                          <w:rFonts w:ascii="Times New Roman" w:hAnsi="Times New Roman" w:eastAsia="楷体_GB2312"/>
                          <w:sz w:val="28"/>
                          <w:szCs w:val="21"/>
                        </w:rPr>
                        <w:t>月</w:t>
                      </w:r>
                      <w:r>
                        <w:rPr>
                          <w:rFonts w:hint="eastAsia" w:ascii="Times New Roman" w:hAnsi="Times New Roman" w:eastAsia="楷体_GB2312" w:cs="Times New Roman"/>
                          <w:sz w:val="28"/>
                          <w:szCs w:val="21"/>
                          <w:lang w:val="en-US" w:eastAsia="zh-CN"/>
                        </w:rPr>
                        <w:t>10</w:t>
                      </w:r>
                      <w:r>
                        <w:rPr>
                          <w:rFonts w:ascii="Times New Roman" w:hAnsi="Times New Roman" w:eastAsia="楷体_GB2312"/>
                          <w:sz w:val="28"/>
                          <w:szCs w:val="21"/>
                        </w:rPr>
                        <w:t>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14:textFill>
            <w14:solidFill>
              <w14:schemeClr w14:val="tx1"/>
            </w14:solidFill>
          </w14:textFill>
        </w:rPr>
        <w:t>年工作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:lang w:val="en-US" w:eastAsia="zh-CN"/>
          <w14:textFill>
            <w14:solidFill>
              <w14:schemeClr w14:val="tx1"/>
            </w14:solidFill>
          </w14:textFill>
        </w:rPr>
        <w:t>总结及2024年工作</w:t>
      </w:r>
      <w:r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14:textFill>
            <w14:solidFill>
              <w14:schemeClr w14:val="tx1"/>
            </w14:solidFill>
          </w14:textFill>
        </w:rPr>
        <w:t>思路</w:t>
      </w:r>
    </w:p>
    <w:bookmarkEnd w:id="0"/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今年以来，市民政局坚持以习近平新时代中国特色社会主义思想为指导，按照省民政厅“1261”总体思路，紧扣市委市政府中心工作，高位推动谋发展，聚力关键促提升，顺利完成全年目标任务。</w:t>
      </w:r>
    </w:p>
    <w:p>
      <w:pPr>
        <w:pStyle w:val="2"/>
        <w:rPr>
          <w:rFonts w:hint="eastAsia" w:ascii="Times New Roman" w:hAnsi="Times New Roman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一、2023年工作总结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  <w:t>一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eastAsia="zh-CN"/>
        </w:rPr>
        <w:t>）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  <w:t>创新民生服务，打造民政工作新亮点。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1.创新服务模式，打造救助范本。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健全社会救助领域配套制度文件，打造了崖头街道、桃园街道、河西社区、嘉和社区4处社会救助综合改革示范点，全力争创全省社会救助综合改革实验区。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实施社会救助“扩围增效”改革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完善多层次梯度式救助体系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，全市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新增低收入群体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924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人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临时救助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9408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人次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为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573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名困难群众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提供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主动入户帮办服务。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“荣易办”社会救助品牌获山东省副省长王桂英，威海市委闫剑波书记、孔凡萍市长批示肯定，并获全省优秀社会救助品牌、全省社会救助领域优秀实践案例；“海螺姑娘”社会救助品牌荣获第五批全国农村公共服务典型案例；“构建困境儿童幸福网 助力民政事业高质量发展”获全省儿童福利领域创新案例。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2.聚焦精准服务，助力品质养老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推进居家养老服务，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为</w:t>
      </w:r>
      <w:r>
        <w:rPr>
          <w:rFonts w:ascii="Times New Roman" w:hAnsi="Times New Roman" w:eastAsia="仿宋_GB2312" w:cs="仿宋_GB2312"/>
          <w:color w:val="auto"/>
          <w:sz w:val="32"/>
          <w:szCs w:val="32"/>
          <w:highlight w:val="none"/>
        </w:rPr>
        <w:t>60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周岁以上经济困难老年人进行适老化改造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建设家庭养老床位</w:t>
      </w:r>
      <w:r>
        <w:rPr>
          <w:rFonts w:ascii="Times New Roman" w:hAnsi="Times New Roman" w:eastAsia="仿宋_GB2312" w:cs="仿宋_GB2312"/>
          <w:color w:val="auto"/>
          <w:sz w:val="32"/>
          <w:szCs w:val="32"/>
          <w:highlight w:val="none"/>
        </w:rPr>
        <w:t>848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张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为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highlight w:val="none"/>
        </w:rPr>
        <w:t>1100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名</w:t>
      </w:r>
      <w:r>
        <w:rPr>
          <w:rFonts w:ascii="Times New Roman" w:hAnsi="Times New Roman" w:eastAsia="仿宋_GB2312" w:cs="仿宋_GB2312"/>
          <w:color w:val="auto"/>
          <w:sz w:val="32"/>
          <w:szCs w:val="32"/>
          <w:highlight w:val="none"/>
        </w:rPr>
        <w:t>85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周岁以上独居老人</w:t>
      </w:r>
      <w:r>
        <w:rPr>
          <w:rFonts w:hint="default" w:ascii="Times New Roman" w:hAnsi="Times New Roman" w:eastAsia="仿宋_GB2312" w:cs="仿宋_GB2312"/>
          <w:b w:val="0"/>
          <w:color w:val="auto"/>
          <w:kern w:val="2"/>
          <w:sz w:val="32"/>
          <w:szCs w:val="32"/>
          <w:highlight w:val="none"/>
          <w:lang w:val="en-US" w:eastAsia="zh-CN" w:bidi="ar"/>
        </w:rPr>
        <w:t>增加一键呼救</w:t>
      </w:r>
      <w:r>
        <w:rPr>
          <w:rFonts w:hint="eastAsia" w:ascii="Times New Roman" w:hAnsi="Times New Roman" w:eastAsia="仿宋_GB2312" w:cs="仿宋_GB2312"/>
          <w:b w:val="0"/>
          <w:color w:val="auto"/>
          <w:kern w:val="2"/>
          <w:sz w:val="32"/>
          <w:szCs w:val="32"/>
          <w:highlight w:val="none"/>
          <w:lang w:val="en-US" w:eastAsia="zh-CN" w:bidi="ar"/>
        </w:rPr>
        <w:t>设备，</w:t>
      </w:r>
      <w:r>
        <w:rPr>
          <w:rFonts w:hint="default" w:ascii="Times New Roman" w:hAnsi="Times New Roman" w:eastAsia="仿宋_GB2312" w:cs="仿宋_GB2312"/>
          <w:b w:val="0"/>
          <w:color w:val="auto"/>
          <w:kern w:val="2"/>
          <w:sz w:val="32"/>
          <w:szCs w:val="32"/>
          <w:highlight w:val="none"/>
          <w:lang w:val="en-US" w:eastAsia="zh-CN" w:bidi="ar"/>
        </w:rPr>
        <w:t>提供居家安全监测服务</w:t>
      </w:r>
      <w:r>
        <w:rPr>
          <w:rFonts w:hint="eastAsia" w:ascii="Times New Roman" w:hAnsi="Times New Roman" w:eastAsia="仿宋_GB2312" w:cs="仿宋_GB2312"/>
          <w:b w:val="0"/>
          <w:color w:val="auto"/>
          <w:kern w:val="2"/>
          <w:sz w:val="32"/>
          <w:szCs w:val="32"/>
          <w:highlight w:val="none"/>
          <w:lang w:val="en-US" w:eastAsia="zh-CN" w:bidi="ar"/>
        </w:rPr>
        <w:t>，</w:t>
      </w:r>
      <w:r>
        <w:rPr>
          <w:rFonts w:hint="default" w:ascii="Times New Roman" w:hAnsi="Times New Roman" w:eastAsia="仿宋_GB2312" w:cs="仿宋_GB2312"/>
          <w:b w:val="0"/>
          <w:color w:val="auto"/>
          <w:kern w:val="2"/>
          <w:sz w:val="32"/>
          <w:szCs w:val="32"/>
          <w:highlight w:val="none"/>
          <w:lang w:eastAsia="zh-CN" w:bidi="ar"/>
        </w:rPr>
        <w:t>为</w:t>
      </w:r>
      <w:r>
        <w:rPr>
          <w:rFonts w:ascii="Times New Roman" w:hAnsi="Times New Roman" w:eastAsia="仿宋_GB2312" w:cs="仿宋_GB2312"/>
          <w:color w:val="auto"/>
          <w:sz w:val="32"/>
          <w:szCs w:val="32"/>
          <w:highlight w:val="none"/>
        </w:rPr>
        <w:t>2717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名特殊经济困难老年人提供居家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highlight w:val="none"/>
        </w:rPr>
        <w:t>上门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服务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highlight w:val="none"/>
        </w:rPr>
        <w:t>30次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探索社区嵌入式养老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打造万福苑三环社区养老服务中心等</w:t>
      </w:r>
      <w:r>
        <w:rPr>
          <w:rFonts w:ascii="Times New Roman" w:hAnsi="Times New Roman" w:eastAsia="仿宋_GB2312" w:cs="仿宋_GB2312"/>
          <w:color w:val="auto"/>
          <w:sz w:val="32"/>
          <w:szCs w:val="32"/>
          <w:highlight w:val="none"/>
        </w:rPr>
        <w:t>3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处嵌入式养老机构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满足周边</w:t>
      </w:r>
      <w:r>
        <w:rPr>
          <w:rFonts w:ascii="Times New Roman" w:hAnsi="Times New Roman" w:eastAsia="仿宋_GB2312" w:cs="仿宋_GB2312"/>
          <w:color w:val="auto"/>
          <w:sz w:val="32"/>
          <w:szCs w:val="32"/>
          <w:highlight w:val="none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个社区老人的多元化养老需求。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提升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农村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养老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质量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打造“阳</w:t>
      </w:r>
      <w:r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光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食堂”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为</w:t>
      </w:r>
      <w:r>
        <w:rPr>
          <w:rFonts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366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家暖心食堂厨房安装监控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打造</w:t>
      </w: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星级食堂</w:t>
      </w: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对辖区内5</w:t>
      </w:r>
      <w:r>
        <w:rPr>
          <w:rFonts w:hint="default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01个农村</w:t>
      </w:r>
      <w:r>
        <w:rPr>
          <w:rFonts w:hint="default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暖心食堂开展星级评定工作</w:t>
      </w: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共评定三星级404个、二星级80个、一星级17个</w:t>
      </w: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推广王连东岛刘家“爱心农场”模式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建成爱心农场</w:t>
      </w:r>
      <w:r>
        <w:rPr>
          <w:rFonts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82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处。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2月，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适老化改造经验入选民政部《全国特殊困难老年人家庭适老化改造工作推进会典型案例》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12月，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《“三个强化”助推社区养老服务向纵深发展》获全省养老服务领域创新典型案例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3.传承地名文化，打造本土品牌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实施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打造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处地名文化主题公园、建设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处地名广场、成立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N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支地名文化志愿服务队、开展“我的地名记忆”征集“四个一”工程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进一步宣传我市优秀地名文化，传承红色基因，推动地名文化保护工作走深走实。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4月，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成功入选“社会力量参与地名文化保护工作试点”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12月，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《创新地名文化发展 助力城市基层社会治理》获全省区划地名领域创新典型案例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  <w:t>（二）狠抓重点领域，打造民政工作新样板。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仿宋_GB2312"/>
          <w:b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1.优化服务意识</w:t>
      </w:r>
      <w:r>
        <w:rPr>
          <w:rFonts w:hint="eastAsia" w:ascii="Times New Roman" w:hAnsi="Times New Roman" w:eastAsia="仿宋_GB2312" w:cs="仿宋_GB2312"/>
          <w:b/>
          <w:color w:val="000000" w:themeColor="text1"/>
          <w:kern w:val="2"/>
          <w:sz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提升综合素质</w:t>
      </w:r>
      <w:r>
        <w:rPr>
          <w:rFonts w:hint="eastAsia" w:ascii="Times New Roman" w:hAnsi="Times New Roman" w:eastAsia="仿宋_GB2312" w:cs="仿宋_GB2312"/>
          <w:b/>
          <w:color w:val="000000" w:themeColor="text1"/>
          <w:kern w:val="2"/>
          <w:sz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 w:bidi="ar"/>
        </w:rPr>
        <w:t>带头落实管党治党主体责任，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 w:bidi="ar"/>
        </w:rPr>
        <w:t>严格执行全面从严治党责任制度，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 w:bidi="ar"/>
        </w:rPr>
        <w:t>打造“党建引领、精致民政”</w:t>
      </w:r>
      <w:r>
        <w:rPr>
          <w:rFonts w:hint="eastAsia" w:ascii="Times New Roman" w:hAnsi="Times New Roman" w:eastAsia="仿宋_GB2312" w:cs="仿宋_GB2312"/>
          <w:color w:val="auto"/>
          <w:sz w:val="32"/>
          <w:highlight w:val="none"/>
          <w:lang w:val="en-US" w:eastAsia="zh-CN"/>
        </w:rPr>
        <w:t>模范机关品牌，10月入选全市机关党建示范点。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 w:bidi="ar"/>
        </w:rPr>
        <w:t>严格落实意识形态工作责任制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 w:bidi="ar"/>
        </w:rPr>
        <w:t>，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</w:rPr>
        <w:t>构建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3+N+1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”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</w:rPr>
        <w:t>管理体系，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 w:bidi="ar"/>
        </w:rPr>
        <w:t>组织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</w:rPr>
        <w:t>制定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  <w:lang w:val="en-US" w:eastAsia="zh-CN"/>
        </w:rPr>
        <w:t>6本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</w:rPr>
        <w:t>制度汇编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  <w:lang w:eastAsia="zh-CN"/>
        </w:rPr>
        <w:t>，梳理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</w:rPr>
        <w:t>规范27项工作制度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</w:rPr>
        <w:t>细化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  <w:lang w:eastAsia="zh-CN"/>
        </w:rPr>
        <w:t>分解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</w:rPr>
        <w:t>24项办理流程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  <w:lang w:eastAsia="zh-CN"/>
        </w:rPr>
        <w:t>，挂图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</w:rPr>
        <w:t>上墙12张“作战图”、48项任务清单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  <w:lang w:val="en-US" w:eastAsia="zh-CN"/>
        </w:rPr>
        <w:t>14项考核指标，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highlight w:val="none"/>
        </w:rPr>
        <w:t>确保精准监督、精准履职。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b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2.增强争先意识，攻坚重点工作。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深入践行“六个民政”，扎实做好深化改革、全面创新的文章，着力构建“社会救助提质增效、养老服务用心用情、社会治理精细高效”的新时代民政工作新样板。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2023年，获得国家级荣誉2项、省级荣誉14项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(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典型案例6项、省级试点1项、其他荣誉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7项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），威海级荣誉5项；受省级领导批示表扬2次，威海市级领导批示表扬3次；承办全国性会议2次（4月全国养老服务高质量发展政策理论交流和现场观摩会、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6月全国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政府救助与慈善帮扶衔接工作座谈会）、全省会议1次（7月全省民政工作年中分析会暨民政事业高质量发展培训班），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会上分别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作典型经验交流发言，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全面推广荣成民政品牌。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弘扬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慈善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文化，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汇聚向善力量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慈善先进典型不断涌现，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我市共</w:t>
      </w:r>
      <w:r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29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人、</w:t>
      </w:r>
      <w:r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40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家企业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入选“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威海市慈善榜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”，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占威海市总数的</w:t>
      </w:r>
      <w:r>
        <w:rPr>
          <w:rFonts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1/4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10月，</w:t>
      </w:r>
      <w:r>
        <w:rPr>
          <w:rFonts w:hint="default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成山集团获评第八届</w:t>
      </w:r>
      <w:r>
        <w:rPr>
          <w:rFonts w:hint="eastAsia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山东慈善奖</w:t>
      </w:r>
      <w:r>
        <w:rPr>
          <w:rFonts w:hint="eastAsia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慈善特色品牌初具规模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，培育优秀社会组织</w:t>
      </w:r>
      <w:r>
        <w:rPr>
          <w:rFonts w:ascii="Times New Roman" w:hAnsi="Times New Roman" w:eastAsia="仿宋_GB2312" w:cs="宋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17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个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开展各类服务活动</w:t>
      </w:r>
      <w:r>
        <w:rPr>
          <w:rFonts w:ascii="Times New Roman" w:hAnsi="Times New Roman" w:eastAsia="仿宋_GB2312" w:cs="宋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520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余场次。设立“满天星基金”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开展助童、助老等多个救助项目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目前已募集</w:t>
      </w:r>
      <w:r>
        <w:rPr>
          <w:rFonts w:ascii="Times New Roman" w:hAnsi="Times New Roman" w:eastAsia="仿宋_GB2312" w:cs="宋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万元。</w:t>
      </w:r>
      <w:r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开展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慈心一日捐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活动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全市共计接收善款</w:t>
      </w:r>
      <w:r>
        <w:rPr>
          <w:rFonts w:hint="default" w:ascii="Times New Roman" w:hAnsi="Times New Roman" w:eastAsia="仿宋_GB2312" w:cs="Times New Roman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2172</w:t>
      </w:r>
      <w:r>
        <w:rPr>
          <w:rFonts w:hint="default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仿宋_GB2312" w:cs="Times New Roman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万元</w:t>
      </w:r>
      <w:r>
        <w:rPr>
          <w:rFonts w:hint="eastAsia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较去年增加</w:t>
      </w:r>
      <w:r>
        <w:rPr>
          <w:rFonts w:hint="default" w:ascii="Times New Roman" w:hAnsi="Times New Roman" w:eastAsia="仿宋_GB2312" w:cs="Times New Roman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88.59</w:t>
      </w:r>
      <w:r>
        <w:rPr>
          <w:rFonts w:hint="default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万元</w:t>
      </w:r>
      <w:r>
        <w:rPr>
          <w:rFonts w:hint="eastAsia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color w:val="000000" w:themeColor="text1"/>
          <w:spacing w:val="5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占威</w:t>
      </w:r>
      <w:r>
        <w:rPr>
          <w:rFonts w:hint="default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海市各区市捐赠总额的</w:t>
      </w:r>
      <w:r>
        <w:rPr>
          <w:rFonts w:hint="default" w:ascii="Times New Roman" w:hAnsi="Times New Roman" w:eastAsia="仿宋_GB2312" w:cs="Times New Roman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43</w:t>
      </w:r>
      <w:r>
        <w:rPr>
          <w:rFonts w:hint="default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仿宋_GB2312" w:cs="Times New Roman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79%</w:t>
      </w:r>
      <w:r>
        <w:rPr>
          <w:rFonts w:hint="eastAsia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color w:val="000000" w:themeColor="text1"/>
          <w:spacing w:val="1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位列各区市第一</w:t>
      </w:r>
      <w:r>
        <w:rPr>
          <w:rFonts w:hint="default" w:ascii="Times New Roman" w:hAnsi="Times New Roman" w:eastAsia="仿宋_GB2312" w:cs="仿宋_GB2312"/>
          <w:color w:val="000000" w:themeColor="text1"/>
          <w:spacing w:val="6"/>
          <w:kern w:val="2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  <w:t>（三）坚持多点发力，彰显民政服务新风采。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1.善用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引与留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，注入新鲜动力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深化“荣归故里”计划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  <w:lang w:eastAsia="zh-CN"/>
        </w:rPr>
        <w:t>，围绕人才“引进来”，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组织齐鲁和谐使者积极申报“金点子”</w:t>
      </w:r>
      <w:r>
        <w:rPr>
          <w:rFonts w:ascii="Times New Roman" w:hAnsi="Times New Roman" w:eastAsia="仿宋_GB2312" w:cs="宋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条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设立高层次人才窗口等绿色通道</w:t>
      </w:r>
      <w:r>
        <w:rPr>
          <w:rFonts w:ascii="Times New Roman" w:hAnsi="Times New Roman" w:eastAsia="仿宋_GB2312" w:cs="宋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处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婚姻登记业务实现“一网通办”。多方发力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扩大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招商引资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推动落地实施项目</w:t>
      </w:r>
      <w:r>
        <w:rPr>
          <w:rFonts w:ascii="Times New Roman" w:hAnsi="Times New Roman" w:eastAsia="仿宋_GB2312" w:cs="宋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个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目前正在积极对接洽谈中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同时跟踪对接台湾尚禾亚康养、德韩口腔和中建投等项目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做好全环节服务和要素保障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力争项目早日落地。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围绕人才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留得住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”，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与威海海洋职业技术学院共建社工人才培养基地、学生实训基地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链接鲁东大学、齐鲁工业大学等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专家学者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为高校毕业生提供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增能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培训、实习实践等服务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搭建高校毕业生与社会组织双选平台。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推动移风易俗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，倡树文明新风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免费发放鲜花10万余枝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以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鲜花换纸钱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”活动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方式引导群众自觉文明祭扫。举办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生态安葬集体追思仪式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”，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发放节地生态安葬补贴20.64万元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完成全市2687名红白理事会成员培训工作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，全力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倡树文明祭扫新风。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结合七夕传统节日，举办集体婚礼3次，倡导喜事新办俭办，弘扬文明婚俗新风。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10月，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荣获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全省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镜头里的婚俗改革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我最喜爱的新婚礼模式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”摄影作品二等奖、三等奖。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/>
          <w:b w:val="0"/>
          <w:bCs w:val="0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抓牢安全生产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守住服务底线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以“安全生产制度落实年”为契机，开展安全生产、防灾减灾宣传6场次，发放宣传材料3000余份；组织全市民政服务机构开展消防、防汛防台风、食品安全应急演练225次；联合消防大队、市场监管等部门，开展消防、食品安全、政策法规等各类培训6场，机构覆盖率达100%；开展全面检查9轮，整改问题隐患373处，对6家养老机构给予行政处罚，全面提升民政服务保障水平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kern w:val="2"/>
          <w:sz w:val="32"/>
          <w:highlight w:val="none"/>
          <w:lang w:val="en-US" w:eastAsia="zh-CN"/>
        </w:rPr>
        <w:t>（四）补足工作短板，提升民政服务新质效。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1.聚焦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社会组织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提升治理能力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。创建“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威海红帆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·春禾向荣”社会组织党建品牌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打造特色服务项目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37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个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开展活动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4000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余场次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，覆盖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30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余万人。构建“市级跟踪培育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—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镇街分类统筹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—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社区精准供给”三级服务平台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孵化培育社区社会组织</w:t>
      </w:r>
      <w:r>
        <w:rPr>
          <w:rFonts w:hint="default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120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家。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多项社会组织项目获评优秀项目，其中，</w:t>
      </w:r>
      <w:r>
        <w:rPr>
          <w:rFonts w:hint="eastAsia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幸福公社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·</w:t>
      </w:r>
      <w:r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益坊巷</w:t>
      </w:r>
      <w:r>
        <w:rPr>
          <w:rFonts w:hint="eastAsia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项目、</w:t>
      </w:r>
      <w:r>
        <w:rPr>
          <w:rFonts w:hint="eastAsia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最炫乡村风</w:t>
      </w:r>
      <w:r>
        <w:rPr>
          <w:rFonts w:hint="eastAsia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项目获评威海优秀品牌项目</w:t>
      </w:r>
      <w:r>
        <w:rPr>
          <w:rFonts w:hint="eastAsia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，“</w:t>
      </w:r>
      <w:r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微爱暖居</w:t>
      </w:r>
      <w:r>
        <w:rPr>
          <w:rFonts w:hint="eastAsia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项目获评全省社会力量参与社会救助优秀项目。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2.抓实基层建设，提升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治理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效能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。实施村务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阳光工程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”，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探索建立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互联网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＋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监督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村级事务工作机制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张贴778个财务公开二维码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村级覆盖率达到100%。出台《关于印发〈村民委员会工作事务清单目录、村（社区）机制牌子清单目录等六张清单目录〉的通知》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进一步规范村级组织工作事务、机制牌子和证明事项等工作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。制定《荣成市村庄建制优化调整方案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初稿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，科学规划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—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2026年村庄建制调整工作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指导10个村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:lang w:eastAsia="zh-CN"/>
          <w14:textFill>
            <w14:solidFill>
              <w14:schemeClr w14:val="tx1"/>
            </w14:solidFill>
          </w14:textFill>
        </w:rPr>
        <w:t>同步开展试点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20"/>
          <w:highlight w:val="none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2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二、2024年工作思路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  <w:t>2024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年，市民政局将紧扣市委市政府中心工作，严格落实意识形态工作责任制，强化底线思维，坚持问题导向，锚定既定目标，着力创新突破，确保民政工作走在全省前列。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争创省级以上“八项荣誉”，推动各项工作高质量发展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争取全国养老服务高质量发展会议。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持续优化养老服务质量动态评估及“四专员”两项机制，强化服务质量监管，争取全国养老服务高质量发展会议在我市召开。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争创“海螺姑娘”创新实践案例。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持续擦亮“海螺姑娘”品牌，创新模式，深化内涵，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结合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第五批全国农村公共服务实践案例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提升影响力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3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争创省级养老服务标准化示范点。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充分发挥标准化对养老服务的支撑引领作用，推动养老服务标准体系结构不断优化、服务标准加速提档升级。</w:t>
      </w:r>
    </w:p>
    <w:p>
      <w:pPr>
        <w:spacing w:line="600" w:lineRule="exact"/>
        <w:ind w:firstLine="640" w:firstLineChars="200"/>
        <w:jc w:val="both"/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4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争创省级“地名规划试点单位”。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创新乡村地名公共服务“一张网”，开展乡村地名信息服务专项行动，加大乡村道路、街、巷名称的命名力度，全面提高乡村地名精细度和规范度。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5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争创全省养老服务领域创新案例。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 xml:space="preserve">以全市综合性养老服务中心建设、个性化居家养老模式打造、示范性社区食堂创建、智慧化养老提升为主题，提炼综合性养老服务品牌。 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6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争创全省社区社会组织助力乡村振兴典型案例。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结合“春禾向荣”党建品牌打造，挖掘东岛刘家社会组织参与乡村治理工作经验，总结社区社会组织助力乡村振兴典型。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7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争创全省农村“赤脚社工”创新案例。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在全省率先探索引入“赤脚社工”理念，通过“社会工作</w:t>
      </w:r>
      <w:r>
        <w:rPr>
          <w:rFonts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志愿服务”方式，提高农村志愿者社会工作水平。</w:t>
      </w:r>
    </w:p>
    <w:p>
      <w:pPr>
        <w:pStyle w:val="2"/>
        <w:spacing w:line="600" w:lineRule="exact"/>
        <w:ind w:firstLine="640"/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</w:rPr>
        <w:t>8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仿宋_GB2312"/>
          <w:b w:val="0"/>
          <w:bCs w:val="0"/>
          <w:color w:val="000000"/>
          <w:sz w:val="32"/>
          <w:szCs w:val="32"/>
        </w:rPr>
        <w:t>积极向上争取资金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</w:rPr>
        <w:t>3000</w:t>
      </w:r>
      <w:r>
        <w:rPr>
          <w:rFonts w:hint="eastAsia" w:ascii="Times New Roman" w:hAnsi="Times New Roman" w:eastAsia="楷体_GB2312" w:cs="仿宋_GB2312"/>
          <w:b w:val="0"/>
          <w:bCs w:val="0"/>
          <w:color w:val="000000"/>
          <w:sz w:val="32"/>
          <w:szCs w:val="32"/>
        </w:rPr>
        <w:t>万。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深入实施“荣归故里”计划，突破招商引资。主动与财政、发改等部门的配合协作，筛选申报养老救助项目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</w:rPr>
        <w:t>9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个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，确保年内争取各类资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金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</w:rPr>
        <w:t>3000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万。跟踪为歌尔配套的苏州防静电耗材和东莞水转印项目，争取尽快落地。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val="en-US" w:eastAsia="zh-CN"/>
        </w:rPr>
        <w:t>二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创新社会救助“三项举措”，兜牢基本民生保障底线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打造低保“扩围增效”新标准。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聚焦省厅重点关注低保人员增量少的问题，针对我市成年无业重度残疾人群体多的实际，通过放宽评审条件、简化审核程序、加强信息共享等方式，力争低收入人口认定较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2023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年提高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50%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以上，实现威海市第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、全省前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20，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进入省级“扩围增效”先进梯队。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丰富“海螺姑娘”服务品牌新内涵。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采取“政府购买</w:t>
      </w:r>
      <w:r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志愿服务</w:t>
      </w:r>
      <w:r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社会力量参与”方式，统筹利用敬老院、暖心食堂等区域优势，按照分散特困人员自理程度和实际需求，开展“六助”服务，在提高服务质量的同时节约资金成本。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3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探索“政府救助+慈善救助”新机制。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在崖头街道和石岛管理区各设立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处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  <w:shd w:val="clear" w:color="auto" w:fill="FFFFFF"/>
        </w:rPr>
        <w:t>慈善超市，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实现“政府+市场”模式，发挥市场和社会力量，委托社会组织管理运营。指导城市社区设立慈善基金，救助弱势群体，改善公共设施，丰富居民文化生活。定期开展“暖冬走访”“金秋助学”“慈善大病救助”活动，满足群众多元化救助需求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提升养老服务“三有标准”，助推老年友好型城市建设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autoSpaceDE w:val="0"/>
        <w:spacing w:line="600" w:lineRule="exact"/>
        <w:ind w:firstLine="640" w:firstLineChars="200"/>
        <w:jc w:val="both"/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建立有“温度”的暖心食堂长效运营模式。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城市社区方面，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12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月底前在河西社区、华侨社区、渔人码头社区、山海湾社区、万福苑西城区打造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5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处示范性社区食堂，建立“专业化运作+个性订餐+集中就餐/送餐入户”的助餐服务模式，并对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80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周岁以上老人实施价格优惠政策。农村方面，持续推行“暖心食堂+市场化”运作模式，有效解决资金短缺问题。同时，对有困难的暖心食堂，随时调度研判调整，确保实事求是开展服务。</w:t>
      </w:r>
    </w:p>
    <w:p>
      <w:pPr>
        <w:autoSpaceDE w:val="0"/>
        <w:spacing w:line="600" w:lineRule="exact"/>
        <w:ind w:firstLine="640" w:firstLineChars="200"/>
        <w:jc w:val="both"/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打造有“高度”的示范性康养阵地。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  <w:shd w:val="clear" w:color="auto" w:fill="FFFFFF"/>
        </w:rPr>
        <w:t>结合全市康养产业链发展需求，积极发展旅居养老，激活老年消费市场。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  <w:shd w:val="clear" w:color="auto" w:fill="FFFFFF"/>
        </w:rPr>
        <w:t>月底前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在崖头街道台上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  <w:shd w:val="clear" w:color="auto" w:fill="FFFFFF"/>
        </w:rPr>
        <w:t>社区打造一处医养、康养、文养、体养、托养、智养“六养”融合的枢纽型综合为老服务中心，在崂山街道鸿和社区打造一处医养健康服务中心。按照“一站多点”建设思路，开设慢病管理干预区、认知障碍老人日间照护中心等五大功能专区，提供“一条龙”养老服务，全面促进本土养老产业加快发展。</w:t>
      </w:r>
    </w:p>
    <w:p>
      <w:pPr>
        <w:autoSpaceDE w:val="0"/>
        <w:spacing w:line="600" w:lineRule="exact"/>
        <w:ind w:firstLine="640" w:firstLineChars="200"/>
        <w:jc w:val="both"/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3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开展有“深度”的个性化居家养老服务活动。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计划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月底前，为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2700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名经济困难老年人提供不少于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30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次的居家上门服务，全面满足经济困难老年人居家养老需求，提升居家生活品质和群众满意度。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黑体" w:cs="楷体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聚焦基层治理“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五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</w:rPr>
        <w:t>个促进”，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lang w:eastAsia="zh-CN"/>
        </w:rPr>
        <w:t>提升专项事务全面发展。</w:t>
      </w:r>
    </w:p>
    <w:p>
      <w:pPr>
        <w:spacing w:line="600" w:lineRule="exact"/>
        <w:ind w:firstLine="640" w:firstLineChars="200"/>
        <w:jc w:val="both"/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优化村庄建制调整，促乡村治理效能。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按照宜留则留、宜撤则撤、宜并则并、宜改则改的原则，指导镇街做好合村并居方案制定和民主程序审核等工作，年内计划21个镇街144个村合成52个村，5个村并入社区，行政村减少97个。</w:t>
      </w:r>
    </w:p>
    <w:p>
      <w:pPr>
        <w:spacing w:line="600" w:lineRule="exact"/>
        <w:ind w:firstLine="640" w:firstLineChars="200"/>
        <w:jc w:val="both"/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推进服务平台建设，促社会组织活力。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狠抓社会组织分型、分类培育，深化“春禾向荣”社会组织党建品牌建设，</w:t>
      </w:r>
      <w:r>
        <w:rPr>
          <w:rFonts w:hint="default" w:ascii="Times New Roman" w:hAnsi="Times New Roman" w:eastAsia="仿宋_GB2312"/>
          <w:b w:val="0"/>
          <w:bCs w:val="0"/>
          <w:color w:val="000000"/>
          <w:sz w:val="32"/>
          <w:szCs w:val="32"/>
        </w:rPr>
        <w:t>11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月底前培育社区社会组织</w:t>
      </w:r>
      <w:r>
        <w:rPr>
          <w:rFonts w:hint="default" w:ascii="Times New Roman" w:hAnsi="Times New Roman" w:eastAsia="仿宋_GB2312"/>
          <w:b w:val="0"/>
          <w:bCs w:val="0"/>
          <w:color w:val="000000"/>
          <w:sz w:val="32"/>
          <w:szCs w:val="32"/>
        </w:rPr>
        <w:t>18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支、打造特色项目</w:t>
      </w:r>
      <w:r>
        <w:rPr>
          <w:rFonts w:hint="default" w:ascii="Times New Roman" w:hAnsi="Times New Roman" w:eastAsia="仿宋_GB2312"/>
          <w:b w:val="0"/>
          <w:bCs w:val="0"/>
          <w:color w:val="000000"/>
          <w:sz w:val="32"/>
          <w:szCs w:val="32"/>
        </w:rPr>
        <w:t>10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个、开展活动</w:t>
      </w:r>
      <w:r>
        <w:rPr>
          <w:rFonts w:hint="default" w:ascii="Times New Roman" w:hAnsi="Times New Roman" w:eastAsia="仿宋_GB2312"/>
          <w:b w:val="0"/>
          <w:bCs w:val="0"/>
          <w:color w:val="000000"/>
          <w:sz w:val="32"/>
          <w:szCs w:val="32"/>
        </w:rPr>
        <w:t>2000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场次以上。把牢社会组织入口关、监督关、体检关、信用关，探索“四关”规范化管理模式。在农村实施“社工人才</w:t>
      </w:r>
      <w:r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志愿服务”工作模式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，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4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月份与高校共建社工人才培养基地及高校毕业生实践基地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处，年内开展专业培训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次，培养农村“赤脚社工”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60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名。</w:t>
      </w:r>
    </w:p>
    <w:p>
      <w:pPr>
        <w:spacing w:line="600" w:lineRule="exact"/>
        <w:ind w:firstLine="640" w:firstLineChars="200"/>
        <w:jc w:val="both"/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3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  <w:lang w:eastAsia="zh-CN"/>
        </w:rPr>
        <w:t>挖掘本土地名品牌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，促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  <w:lang w:eastAsia="zh-CN"/>
        </w:rPr>
        <w:t>地名文化传承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打造“山海有情”地名文化品牌，创新开展“地名</w:t>
      </w:r>
      <w:r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社区”“地名</w:t>
      </w:r>
      <w:r>
        <w:rPr>
          <w:rFonts w:ascii="Times New Roman" w:hAnsi="Times New Roman" w:eastAsia="仿宋_GB2312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乡村”探索，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4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月开展“海山记忆”“印象河西”等地名主题文化活动，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5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月开展“乡村著名行动”，让地名文化走进群众、贴近生活。推动地名与文旅融合，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6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月组建地名人才库，吸纳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名地名爱好者、文旅推介人，编制《荣成市地名文化保护名录》。创新“乡贤说地名”活动，成立地名文化志愿服务队，年内开展地名故事宣讲、展演、展览活动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50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场。</w:t>
      </w:r>
    </w:p>
    <w:p>
      <w:pPr>
        <w:pStyle w:val="2"/>
        <w:spacing w:line="600" w:lineRule="exact"/>
        <w:ind w:firstLine="640"/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着力破除陈规陋习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，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促和谐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文明新风。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在春节、清明节，积极开展“鲜花换纸钱”等移风易俗系列活动，年内免费为群众提供鲜花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万枝。对全市殡葬用品店、农村商店及集市巡回检查，引导群众自觉抵制封建迷信活动。不断完善殡葬服务基础设施，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</w:rPr>
        <w:t>10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月底前完成骨灰安放设施改建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老旧尾气设备更换、元宝山公墓建设及绿化养护等工程。</w:t>
      </w:r>
    </w:p>
    <w:p>
      <w:pPr>
        <w:pStyle w:val="2"/>
        <w:spacing w:line="600" w:lineRule="exact"/>
        <w:ind w:firstLine="640"/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强化社会事务效能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，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促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服务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质量提升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搭建婚前辅导、婚姻登记、婚姻家庭辅导教育、婚俗改革一体化服务平台，拓展“互联网</w:t>
      </w:r>
      <w:r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婚姻服务”模式，不断扩大婚姻家庭辅导的覆盖面。打造公园式户外婚姻登记颁证基地，探索“婚俗</w:t>
      </w:r>
      <w:r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旅游”“婚俗</w:t>
      </w:r>
      <w:r>
        <w:rPr>
          <w:rFonts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+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文化”宣传模式，在七夕等特殊时间节点，举办特色集体婚礼或集体颁证仪式，弘扬文明婚俗新风。</w:t>
      </w:r>
    </w:p>
    <w:p>
      <w:pPr>
        <w:autoSpaceDE w:val="0"/>
        <w:spacing w:line="600" w:lineRule="exact"/>
        <w:ind w:firstLine="640" w:firstLineChars="200"/>
        <w:jc w:val="both"/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五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shd w:val="clear" w:color="auto" w:fill="FFFFFF"/>
        </w:rPr>
        <w:t>防范安全生产“两个风险点”，守住守牢养老机构底线</w:t>
      </w:r>
      <w:r>
        <w:rPr>
          <w:rFonts w:hint="eastAsia" w:ascii="Times New Roman" w:hAnsi="Times New Roman" w:eastAsia="楷体_GB2312" w:cs="楷体_GB2312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。</w:t>
      </w:r>
    </w:p>
    <w:p>
      <w:pPr>
        <w:autoSpaceDE w:val="0"/>
        <w:spacing w:line="600" w:lineRule="exact"/>
        <w:ind w:firstLine="640" w:firstLineChars="200"/>
        <w:jc w:val="both"/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抓好常态化安全生产。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重点强化消防安全标准化建设，按照“统一标准、分类培树、择优推广、全面达标”的要求，完善民政服务机构安全责任体系、日常管理制度体系、教育培训体系三大项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12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小项内容，确保全市养老机构标准化达标率达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90%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以上。</w:t>
      </w:r>
    </w:p>
    <w:p>
      <w:pPr>
        <w:autoSpaceDE w:val="0"/>
        <w:spacing w:line="60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eastAsia="zh-CN"/>
        </w:rPr>
        <w:t>.</w:t>
      </w:r>
      <w:r>
        <w:rPr>
          <w:rFonts w:hint="eastAsia" w:ascii="Times New Roman" w:hAnsi="Times New Roman" w:eastAsia="楷体_GB2312"/>
          <w:b w:val="0"/>
          <w:bCs w:val="0"/>
          <w:color w:val="000000"/>
          <w:sz w:val="32"/>
          <w:szCs w:val="32"/>
        </w:rPr>
        <w:t>抓好稳定工作。</w:t>
      </w:r>
      <w:r>
        <w:rPr>
          <w:rFonts w:hint="eastAsia" w:ascii="Times New Roman" w:hAnsi="Times New Roman" w:eastAsia="仿宋_GB2312"/>
          <w:b w:val="0"/>
          <w:bCs w:val="0"/>
          <w:color w:val="000000"/>
          <w:sz w:val="32"/>
          <w:szCs w:val="32"/>
        </w:rPr>
        <w:t>以“清隐患、防风险”为目标，每月召开全市养老领域会议，制定舆情处置工作预案，对养老机构出现的问题及时进行研判，多方化解群众诉求，全面保障养老机构的正常运营。</w:t>
      </w:r>
    </w:p>
    <w:sectPr>
      <w:footerReference r:id="rId3" w:type="default"/>
      <w:pgSz w:w="11905" w:h="16837" w:orient="landscape"/>
      <w:pgMar w:top="1813" w:right="1417" w:bottom="1813" w:left="1474" w:header="850" w:footer="1417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color w:val="auto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color w:val="auto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E1ZjVmZGE2NDZlZDBkNTA2YzJiZTEyOWIyODgzZTAifQ=="/>
  </w:docVars>
  <w:rsids>
    <w:rsidRoot w:val="00000000"/>
    <w:rsid w:val="03997017"/>
    <w:rsid w:val="040D00EE"/>
    <w:rsid w:val="055C30DB"/>
    <w:rsid w:val="056F730D"/>
    <w:rsid w:val="06A64F55"/>
    <w:rsid w:val="0813416C"/>
    <w:rsid w:val="085A5FF7"/>
    <w:rsid w:val="085F360E"/>
    <w:rsid w:val="0C461FC2"/>
    <w:rsid w:val="0C9E4788"/>
    <w:rsid w:val="0D0C589A"/>
    <w:rsid w:val="0F2509E1"/>
    <w:rsid w:val="10207B26"/>
    <w:rsid w:val="10D2650C"/>
    <w:rsid w:val="13C44C6D"/>
    <w:rsid w:val="16443E43"/>
    <w:rsid w:val="16D4386A"/>
    <w:rsid w:val="17834086"/>
    <w:rsid w:val="17E05DED"/>
    <w:rsid w:val="1841525A"/>
    <w:rsid w:val="1A1D3558"/>
    <w:rsid w:val="1BFA6F28"/>
    <w:rsid w:val="1D6B66BD"/>
    <w:rsid w:val="1E3E0535"/>
    <w:rsid w:val="1E641AB7"/>
    <w:rsid w:val="1F5F1CED"/>
    <w:rsid w:val="1FDB1E9F"/>
    <w:rsid w:val="20857532"/>
    <w:rsid w:val="2394783E"/>
    <w:rsid w:val="27CF1889"/>
    <w:rsid w:val="29483482"/>
    <w:rsid w:val="2A8B7E3A"/>
    <w:rsid w:val="2C670A97"/>
    <w:rsid w:val="2E41718E"/>
    <w:rsid w:val="2F373F08"/>
    <w:rsid w:val="30A4027F"/>
    <w:rsid w:val="30B63CF7"/>
    <w:rsid w:val="328C4F28"/>
    <w:rsid w:val="32A61AD2"/>
    <w:rsid w:val="33F7209D"/>
    <w:rsid w:val="3491604D"/>
    <w:rsid w:val="36CFDCA5"/>
    <w:rsid w:val="36D9357D"/>
    <w:rsid w:val="377B72EA"/>
    <w:rsid w:val="39140DAC"/>
    <w:rsid w:val="39A4433D"/>
    <w:rsid w:val="39E63CDC"/>
    <w:rsid w:val="3B404329"/>
    <w:rsid w:val="3B8AF9F9"/>
    <w:rsid w:val="3B916D2F"/>
    <w:rsid w:val="3B9375FF"/>
    <w:rsid w:val="3D937AD8"/>
    <w:rsid w:val="3E7EFB1A"/>
    <w:rsid w:val="3F7FFF25"/>
    <w:rsid w:val="3FEBDBDF"/>
    <w:rsid w:val="42254434"/>
    <w:rsid w:val="42501F9C"/>
    <w:rsid w:val="42A93E23"/>
    <w:rsid w:val="43A86F10"/>
    <w:rsid w:val="43E728BE"/>
    <w:rsid w:val="44C85ABB"/>
    <w:rsid w:val="46394084"/>
    <w:rsid w:val="476975F0"/>
    <w:rsid w:val="47ED0F70"/>
    <w:rsid w:val="49503564"/>
    <w:rsid w:val="49D6677A"/>
    <w:rsid w:val="4A08695A"/>
    <w:rsid w:val="4B2C579D"/>
    <w:rsid w:val="4EFB4F6E"/>
    <w:rsid w:val="4FFD2238"/>
    <w:rsid w:val="53990623"/>
    <w:rsid w:val="5648185A"/>
    <w:rsid w:val="56A33C92"/>
    <w:rsid w:val="57AC67A9"/>
    <w:rsid w:val="57EC279B"/>
    <w:rsid w:val="58C7AEF5"/>
    <w:rsid w:val="5A5E641D"/>
    <w:rsid w:val="5AD14B46"/>
    <w:rsid w:val="5AD52888"/>
    <w:rsid w:val="5C0056E3"/>
    <w:rsid w:val="5CA83F7F"/>
    <w:rsid w:val="5EA54320"/>
    <w:rsid w:val="5FF60523"/>
    <w:rsid w:val="601E603C"/>
    <w:rsid w:val="6108329D"/>
    <w:rsid w:val="63B732A5"/>
    <w:rsid w:val="640B6E27"/>
    <w:rsid w:val="64730FC9"/>
    <w:rsid w:val="6477139D"/>
    <w:rsid w:val="65515201"/>
    <w:rsid w:val="657971BF"/>
    <w:rsid w:val="660160AC"/>
    <w:rsid w:val="66815036"/>
    <w:rsid w:val="67EB0DF2"/>
    <w:rsid w:val="67F3434E"/>
    <w:rsid w:val="69341E28"/>
    <w:rsid w:val="6B3010C3"/>
    <w:rsid w:val="6B8754D9"/>
    <w:rsid w:val="6BDF6484"/>
    <w:rsid w:val="6BE77566"/>
    <w:rsid w:val="6C89702F"/>
    <w:rsid w:val="6DFFB45B"/>
    <w:rsid w:val="6E673E3B"/>
    <w:rsid w:val="6E7E1F4B"/>
    <w:rsid w:val="709541F4"/>
    <w:rsid w:val="71800CD9"/>
    <w:rsid w:val="74CB6C85"/>
    <w:rsid w:val="75E17EDC"/>
    <w:rsid w:val="761E6A3A"/>
    <w:rsid w:val="767581AF"/>
    <w:rsid w:val="77567A5E"/>
    <w:rsid w:val="775B0AEA"/>
    <w:rsid w:val="77D6DC3B"/>
    <w:rsid w:val="77FF4928"/>
    <w:rsid w:val="79167E9C"/>
    <w:rsid w:val="79E784DE"/>
    <w:rsid w:val="7A466113"/>
    <w:rsid w:val="7AD613E4"/>
    <w:rsid w:val="7C413482"/>
    <w:rsid w:val="7D27E8CB"/>
    <w:rsid w:val="7D6F3A05"/>
    <w:rsid w:val="7DE81213"/>
    <w:rsid w:val="7EFBBB82"/>
    <w:rsid w:val="7FCF2933"/>
    <w:rsid w:val="97ADD86C"/>
    <w:rsid w:val="B7E245ED"/>
    <w:rsid w:val="DDE73219"/>
    <w:rsid w:val="DDFF5140"/>
    <w:rsid w:val="EDBE8B3D"/>
    <w:rsid w:val="EDD4936C"/>
    <w:rsid w:val="EEB7ADCB"/>
    <w:rsid w:val="EEF65CFA"/>
    <w:rsid w:val="EFFDC0A5"/>
    <w:rsid w:val="F39F6D7E"/>
    <w:rsid w:val="F4FF5982"/>
    <w:rsid w:val="F79FD069"/>
    <w:rsid w:val="F7DF6091"/>
    <w:rsid w:val="FEEC3F1F"/>
    <w:rsid w:val="FFB320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</w:pPr>
    <w:rPr>
      <w:rFonts w:asciiTheme="minorHAnsi" w:hAnsiTheme="minorHAnsi" w:eastAsiaTheme="minorEastAsia" w:cstheme="minorBidi"/>
      <w:kern w:val="2"/>
      <w:sz w:val="21"/>
    </w:rPr>
  </w:style>
  <w:style w:type="character" w:default="1" w:styleId="11">
    <w:name w:val="Default Paragraph Font"/>
    <w:autoRedefine/>
    <w:qFormat/>
    <w:uiPriority w:val="0"/>
  </w:style>
  <w:style w:type="table" w:default="1" w:styleId="9">
    <w:name w:val="Normal Table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eastAsia" w:ascii="等线" w:hAnsi="等线" w:eastAsia="等线" w:cs="等线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autoRedefine/>
    <w:qFormat/>
    <w:uiPriority w:val="0"/>
    <w:pPr>
      <w:ind w:firstLine="420" w:firstLineChars="200"/>
    </w:pPr>
    <w:rPr>
      <w:rFonts w:cs="宋体"/>
    </w:rPr>
  </w:style>
  <w:style w:type="paragraph" w:styleId="3">
    <w:name w:val="Normal Indent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styleId="4">
    <w:name w:val="Body Text"/>
    <w:basedOn w:val="1"/>
    <w:autoRedefine/>
    <w:qFormat/>
    <w:uiPriority w:val="0"/>
    <w:rPr>
      <w:rFonts w:ascii="仿宋_GB2312" w:hAnsi="仿宋_GB2312" w:eastAsia="仿宋_GB2312" w:cs="仿宋_GB2312"/>
      <w:sz w:val="32"/>
    </w:rPr>
  </w:style>
  <w:style w:type="paragraph" w:styleId="5">
    <w:name w:val="Body Text Indent"/>
    <w:basedOn w:val="1"/>
    <w:autoRedefine/>
    <w:qFormat/>
    <w:uiPriority w:val="0"/>
    <w:pPr>
      <w:spacing w:after="120"/>
      <w:ind w:left="420" w:leftChars="200"/>
    </w:pPr>
  </w:style>
  <w:style w:type="paragraph" w:styleId="6">
    <w:name w:val="footer"/>
    <w:basedOn w:val="1"/>
    <w:autoRedefine/>
    <w:qFormat/>
    <w:uiPriority w:val="0"/>
    <w:pPr>
      <w:jc w:val="left"/>
    </w:pPr>
    <w:rPr>
      <w:sz w:val="18"/>
    </w:rPr>
  </w:style>
  <w:style w:type="paragraph" w:styleId="7">
    <w:name w:val="header"/>
    <w:basedOn w:val="1"/>
    <w:autoRedefine/>
    <w:qFormat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spacing w:line="240" w:lineRule="auto"/>
    </w:pPr>
    <w:rPr>
      <w:sz w:val="18"/>
    </w:rPr>
  </w:style>
  <w:style w:type="paragraph" w:styleId="8">
    <w:name w:val="Normal (Web)"/>
    <w:basedOn w:val="1"/>
    <w:autoRedefine/>
    <w:qFormat/>
    <w:uiPriority w:val="0"/>
    <w:pPr>
      <w:spacing w:before="0" w:after="0" w:afterAutospacing="1"/>
      <w:jc w:val="left"/>
    </w:pPr>
    <w:rPr>
      <w:kern w:val="0"/>
      <w:sz w:val="24"/>
    </w:rPr>
  </w:style>
  <w:style w:type="table" w:styleId="10">
    <w:name w:val="Table Grid"/>
    <w:autoRedefine/>
    <w:qFormat/>
    <w:uiPriority w:val="0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</w:style>
  <w:style w:type="character" w:styleId="12">
    <w:name w:val="Strong"/>
    <w:basedOn w:val="11"/>
    <w:autoRedefine/>
    <w:qFormat/>
    <w:uiPriority w:val="0"/>
    <w:rPr>
      <w:b/>
      <w:bCs/>
    </w:rPr>
  </w:style>
  <w:style w:type="character" w:styleId="13">
    <w:name w:val="page number"/>
    <w:basedOn w:val="11"/>
    <w:autoRedefine/>
    <w:qFormat/>
    <w:uiPriority w:val="0"/>
  </w:style>
  <w:style w:type="character" w:styleId="14">
    <w:name w:val="FollowedHyperlink"/>
    <w:basedOn w:val="11"/>
    <w:autoRedefine/>
    <w:qFormat/>
    <w:uiPriority w:val="0"/>
    <w:rPr>
      <w:color w:val="3E3E3E"/>
      <w:u w:val="none"/>
    </w:rPr>
  </w:style>
  <w:style w:type="character" w:styleId="15">
    <w:name w:val="Emphasis"/>
    <w:basedOn w:val="11"/>
    <w:autoRedefine/>
    <w:qFormat/>
    <w:uiPriority w:val="0"/>
  </w:style>
  <w:style w:type="character" w:styleId="16">
    <w:name w:val="HTML Definition"/>
    <w:basedOn w:val="11"/>
    <w:autoRedefine/>
    <w:qFormat/>
    <w:uiPriority w:val="0"/>
  </w:style>
  <w:style w:type="character" w:styleId="17">
    <w:name w:val="HTML Acronym"/>
    <w:basedOn w:val="11"/>
    <w:autoRedefine/>
    <w:qFormat/>
    <w:uiPriority w:val="0"/>
  </w:style>
  <w:style w:type="character" w:styleId="18">
    <w:name w:val="HTML Variable"/>
    <w:basedOn w:val="11"/>
    <w:autoRedefine/>
    <w:qFormat/>
    <w:uiPriority w:val="0"/>
  </w:style>
  <w:style w:type="character" w:styleId="19">
    <w:name w:val="Hyperlink"/>
    <w:basedOn w:val="11"/>
    <w:autoRedefine/>
    <w:qFormat/>
    <w:uiPriority w:val="0"/>
    <w:rPr>
      <w:color w:val="3E3E3E"/>
      <w:u w:val="none"/>
    </w:rPr>
  </w:style>
  <w:style w:type="character" w:styleId="20">
    <w:name w:val="HTML Code"/>
    <w:basedOn w:val="11"/>
    <w:autoRedefine/>
    <w:qFormat/>
    <w:uiPriority w:val="0"/>
    <w:rPr>
      <w:rFonts w:hint="default" w:ascii="Consolas" w:hAnsi="Consolas" w:eastAsia="Consolas" w:cs="Consolas"/>
      <w:color w:val="C7254E"/>
      <w:sz w:val="21"/>
      <w:szCs w:val="21"/>
      <w:shd w:val="clear" w:fill="F9F2F4"/>
    </w:rPr>
  </w:style>
  <w:style w:type="character" w:styleId="21">
    <w:name w:val="HTML Cite"/>
    <w:basedOn w:val="11"/>
    <w:autoRedefine/>
    <w:qFormat/>
    <w:uiPriority w:val="0"/>
  </w:style>
  <w:style w:type="character" w:styleId="22">
    <w:name w:val="HTML Keyboard"/>
    <w:basedOn w:val="11"/>
    <w:autoRedefine/>
    <w:qFormat/>
    <w:uiPriority w:val="0"/>
    <w:rPr>
      <w:rFonts w:ascii="Consolas" w:hAnsi="Consolas" w:eastAsia="Consolas" w:cs="Consolas"/>
      <w:color w:val="FFFFFF"/>
      <w:sz w:val="21"/>
      <w:szCs w:val="21"/>
      <w:shd w:val="clear" w:fill="333333"/>
    </w:rPr>
  </w:style>
  <w:style w:type="character" w:styleId="23">
    <w:name w:val="HTML Sample"/>
    <w:basedOn w:val="11"/>
    <w:autoRedefine/>
    <w:qFormat/>
    <w:uiPriority w:val="0"/>
    <w:rPr>
      <w:rFonts w:hint="default" w:ascii="Consolas" w:hAnsi="Consolas" w:eastAsia="Consolas" w:cs="Consolas"/>
      <w:sz w:val="21"/>
      <w:szCs w:val="21"/>
    </w:rPr>
  </w:style>
  <w:style w:type="paragraph" w:customStyle="1" w:styleId="24">
    <w:name w:val="BodyText1I2"/>
    <w:basedOn w:val="25"/>
    <w:autoRedefine/>
    <w:qFormat/>
    <w:uiPriority w:val="0"/>
    <w:pPr>
      <w:spacing w:after="120"/>
      <w:ind w:left="199" w:leftChars="200" w:firstLine="199" w:firstLineChars="200"/>
    </w:pPr>
    <w:rPr>
      <w:rFonts w:ascii="Calibri" w:hAnsi="Calibri"/>
      <w:kern w:val="2"/>
      <w:sz w:val="21"/>
    </w:rPr>
  </w:style>
  <w:style w:type="paragraph" w:customStyle="1" w:styleId="25">
    <w:name w:val="BodyTextIndent"/>
    <w:basedOn w:val="1"/>
    <w:autoRedefine/>
    <w:qFormat/>
    <w:uiPriority w:val="0"/>
    <w:pPr>
      <w:spacing w:after="120"/>
      <w:ind w:left="420" w:leftChars="200"/>
    </w:pPr>
  </w:style>
  <w:style w:type="paragraph" w:customStyle="1" w:styleId="26">
    <w:name w:val="Default"/>
    <w:autoRedefine/>
    <w:qFormat/>
    <w:uiPriority w:val="0"/>
    <w:pPr>
      <w:widowControl w:val="0"/>
    </w:pPr>
    <w:rPr>
      <w:rFonts w:ascii="方正小标宋简体" w:hAnsi="方正小标宋简体" w:eastAsia="方正小标宋简体" w:cs="方正小标宋简体"/>
      <w:color w:val="000000"/>
      <w:kern w:val="2"/>
      <w:sz w:val="24"/>
    </w:rPr>
  </w:style>
  <w:style w:type="character" w:customStyle="1" w:styleId="27">
    <w:name w:val="NormalCharacter"/>
    <w:autoRedefine/>
    <w:qFormat/>
    <w:uiPriority w:val="0"/>
    <w:rPr>
      <w:rFonts w:asciiTheme="minorHAnsi" w:hAnsiTheme="minorHAnsi" w:eastAsiaTheme="minorEastAsia" w:cstheme="minorBidi"/>
      <w:kern w:val="2"/>
      <w:sz w:val="21"/>
    </w:rPr>
  </w:style>
  <w:style w:type="paragraph" w:customStyle="1" w:styleId="28">
    <w:name w:val="TOC1"/>
    <w:basedOn w:val="1"/>
    <w:autoRedefine/>
    <w:qFormat/>
    <w:uiPriority w:val="0"/>
    <w:pPr>
      <w:spacing w:line="640" w:lineRule="exact"/>
      <w:ind w:firstLine="705"/>
    </w:pPr>
    <w:rPr>
      <w:rFonts w:ascii="仿宋_GB2312" w:eastAsia="仿宋_GB2312" w:cs="仿宋_GB2312"/>
      <w:color w:val="000000"/>
      <w:sz w:val="36"/>
    </w:rPr>
  </w:style>
  <w:style w:type="character" w:customStyle="1" w:styleId="29">
    <w:name w:val="hover4"/>
    <w:basedOn w:val="11"/>
    <w:autoRedefine/>
    <w:qFormat/>
    <w:uiPriority w:val="0"/>
    <w:rPr>
      <w:color w:val="015293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3014</Words>
  <Characters>3074</Characters>
  <Lines>1</Lines>
  <Paragraphs>1</Paragraphs>
  <TotalTime>8</TotalTime>
  <ScaleCrop>false</ScaleCrop>
  <LinksUpToDate>false</LinksUpToDate>
  <CharactersWithSpaces>3118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2411-12-31T00:00:00Z</dcterms:created>
  <dc:creator>DingTalk</dc:creator>
  <dc:description>DingTalk Document</dc:description>
  <cp:lastModifiedBy>ACE</cp:lastModifiedBy>
  <cp:lastPrinted>2023-10-20T22:23:00Z</cp:lastPrinted>
  <dcterms:modified xsi:type="dcterms:W3CDTF">2024-03-19T07:18:01Z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497E8C907DDB4F3A90994F47BB2E4689_13</vt:lpwstr>
  </property>
</Properties>
</file>