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4F5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Regular" w:hAnsi="Times New Roman Regular" w:eastAsia="黑体" w:cs="Times New Roman Regular"/>
          <w:color w:val="auto"/>
          <w:sz w:val="48"/>
          <w:szCs w:val="48"/>
          <w:highlight w:val="none"/>
          <w:lang w:val="en-US" w:eastAsia="zh-CN"/>
        </w:rPr>
      </w:pPr>
      <w:r>
        <w:rPr>
          <w:rFonts w:hint="default" w:ascii="Times New Roman Regular" w:hAnsi="Times New Roman Regular" w:eastAsia="黑体" w:cs="Times New Roman Regular"/>
          <w:color w:val="auto"/>
          <w:sz w:val="48"/>
          <w:szCs w:val="48"/>
          <w:highlight w:val="none"/>
          <w:lang w:val="en-US" w:eastAsia="zh-CN"/>
        </w:rPr>
        <w:drawing>
          <wp:anchor distT="0" distB="0" distL="114300" distR="114300" simplePos="0" relativeHeight="251660288" behindDoc="0" locked="0" layoutInCell="1" allowOverlap="1">
            <wp:simplePos x="0" y="0"/>
            <wp:positionH relativeFrom="column">
              <wp:posOffset>69850</wp:posOffset>
            </wp:positionH>
            <wp:positionV relativeFrom="paragraph">
              <wp:posOffset>155575</wp:posOffset>
            </wp:positionV>
            <wp:extent cx="1974850" cy="521970"/>
            <wp:effectExtent l="0" t="0" r="6350" b="1143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4850" cy="521970"/>
                    </a:xfrm>
                    <a:prstGeom prst="rect">
                      <a:avLst/>
                    </a:prstGeom>
                  </pic:spPr>
                </pic:pic>
              </a:graphicData>
            </a:graphic>
          </wp:anchor>
        </w:drawing>
      </w:r>
    </w:p>
    <w:p w14:paraId="46B48936">
      <w:pPr>
        <w:pStyle w:val="11"/>
        <w:keepNext w:val="0"/>
        <w:keepLines w:val="0"/>
        <w:pageBreakBefore w:val="0"/>
        <w:widowControl w:val="0"/>
        <w:kinsoku/>
        <w:wordWrap/>
        <w:overflowPunct/>
        <w:topLinePunct w:val="0"/>
        <w:autoSpaceDE/>
        <w:autoSpaceDN/>
        <w:bidi w:val="0"/>
        <w:ind w:firstLine="0" w:firstLineChars="0"/>
        <w:jc w:val="center"/>
        <w:textAlignment w:val="auto"/>
        <w:outlineLvl w:val="9"/>
        <w:rPr>
          <w:rFonts w:hint="default" w:ascii="Times New Roman Regular" w:hAnsi="Times New Roman Regular" w:cs="Times New Roman Regular"/>
          <w:color w:val="auto"/>
          <w:highlight w:val="none"/>
          <w:lang w:val="en-US" w:eastAsia="zh-CN"/>
        </w:rPr>
      </w:pPr>
    </w:p>
    <w:p w14:paraId="736E84F5">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Regular" w:hAnsi="Times New Roman Regular" w:cs="Times New Roman Regular"/>
          <w:color w:val="auto"/>
          <w:highlight w:val="none"/>
          <w:lang w:val="en-US" w:eastAsia="zh-CN"/>
        </w:rPr>
      </w:pPr>
    </w:p>
    <w:p w14:paraId="42507C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Regular" w:hAnsi="Times New Roman Regular" w:eastAsia="黑体" w:cs="Times New Roman Regular"/>
          <w:color w:val="auto"/>
          <w:sz w:val="48"/>
          <w:szCs w:val="48"/>
          <w:highlight w:val="none"/>
          <w:lang w:val="en-US" w:eastAsia="zh-CN"/>
        </w:rPr>
      </w:pPr>
    </w:p>
    <w:p w14:paraId="1CE31D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Regular" w:hAnsi="Times New Roman Regular" w:eastAsia="黑体" w:cs="Times New Roman Regular"/>
          <w:color w:val="auto"/>
          <w:sz w:val="48"/>
          <w:szCs w:val="48"/>
          <w:highlight w:val="none"/>
          <w:lang w:val="en-US" w:eastAsia="zh-CN"/>
        </w:rPr>
      </w:pPr>
    </w:p>
    <w:p w14:paraId="7BFFAF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Regular" w:hAnsi="Times New Roman Regular" w:eastAsia="黑体" w:cs="Times New Roman Regular"/>
          <w:color w:val="auto"/>
          <w:sz w:val="48"/>
          <w:szCs w:val="48"/>
          <w:highlight w:val="none"/>
          <w:lang w:val="en-US" w:eastAsia="zh-CN"/>
        </w:rPr>
      </w:pPr>
    </w:p>
    <w:p w14:paraId="20F3B95B">
      <w:pPr>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default" w:ascii="Times New Roman" w:hAnsi="Times New Roman" w:eastAsia="黑体" w:cs="Times New Roman"/>
          <w:b/>
          <w:snapToGrid/>
          <w:color w:val="auto"/>
          <w:kern w:val="2"/>
          <w:sz w:val="48"/>
          <w:szCs w:val="48"/>
          <w:highlight w:val="none"/>
          <w:lang w:val="en-US" w:eastAsia="zh-CN" w:bidi="ar-SA"/>
        </w:rPr>
      </w:pPr>
      <w:r>
        <w:rPr>
          <w:rFonts w:hint="eastAsia" w:ascii="Times New Roman" w:hAnsi="Times New Roman" w:eastAsia="黑体" w:cs="Times New Roman"/>
          <w:b/>
          <w:snapToGrid/>
          <w:color w:val="auto"/>
          <w:kern w:val="2"/>
          <w:sz w:val="48"/>
          <w:szCs w:val="48"/>
          <w:highlight w:val="none"/>
          <w:lang w:val="en-US" w:eastAsia="zh-CN" w:bidi="ar-SA"/>
        </w:rPr>
        <w:t>荣成博物馆运转经费项目</w:t>
      </w:r>
      <w:r>
        <w:rPr>
          <w:rFonts w:hint="default" w:ascii="Times New Roman" w:hAnsi="Times New Roman" w:eastAsia="黑体" w:cs="Times New Roman"/>
          <w:b/>
          <w:snapToGrid/>
          <w:color w:val="auto"/>
          <w:kern w:val="2"/>
          <w:sz w:val="48"/>
          <w:szCs w:val="48"/>
          <w:highlight w:val="none"/>
          <w:lang w:val="en-US" w:eastAsia="zh-CN" w:bidi="ar-SA"/>
        </w:rPr>
        <w:t>支出</w:t>
      </w:r>
    </w:p>
    <w:p w14:paraId="370E6D69">
      <w:pPr>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default" w:ascii="Times New Roman" w:hAnsi="Times New Roman" w:eastAsia="黑体" w:cs="Times New Roman"/>
          <w:b/>
          <w:snapToGrid/>
          <w:color w:val="auto"/>
          <w:kern w:val="2"/>
          <w:sz w:val="48"/>
          <w:szCs w:val="48"/>
          <w:highlight w:val="none"/>
          <w:lang w:val="en-US" w:eastAsia="zh-CN" w:bidi="ar-SA"/>
        </w:rPr>
      </w:pPr>
    </w:p>
    <w:p w14:paraId="50D6A7E0">
      <w:pPr>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default" w:ascii="Times New Roman" w:hAnsi="Times New Roman" w:eastAsia="黑体" w:cs="Times New Roman"/>
          <w:b/>
          <w:snapToGrid/>
          <w:color w:val="auto"/>
          <w:kern w:val="2"/>
          <w:sz w:val="48"/>
          <w:szCs w:val="48"/>
          <w:highlight w:val="none"/>
          <w:lang w:val="en-US" w:eastAsia="zh-CN" w:bidi="ar-SA"/>
        </w:rPr>
      </w:pPr>
      <w:r>
        <w:rPr>
          <w:rFonts w:hint="default" w:ascii="Times New Roman" w:hAnsi="Times New Roman" w:eastAsia="黑体" w:cs="Times New Roman"/>
          <w:b/>
          <w:snapToGrid/>
          <w:color w:val="auto"/>
          <w:kern w:val="2"/>
          <w:sz w:val="48"/>
          <w:szCs w:val="48"/>
          <w:highlight w:val="none"/>
          <w:lang w:val="en-US" w:eastAsia="zh-CN" w:bidi="ar-SA"/>
        </w:rPr>
        <w:t>绩效评价报告</w:t>
      </w:r>
    </w:p>
    <w:p w14:paraId="08EFFF06">
      <w:pPr>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default" w:ascii="Times New Roman" w:hAnsi="Times New Roman" w:eastAsia="黑体" w:cs="Times New Roman"/>
          <w:b/>
          <w:snapToGrid/>
          <w:color w:val="auto"/>
          <w:kern w:val="2"/>
          <w:sz w:val="48"/>
          <w:szCs w:val="48"/>
          <w:highlight w:val="none"/>
          <w:lang w:val="en-US" w:eastAsia="zh-CN" w:bidi="ar-SA"/>
        </w:rPr>
      </w:pPr>
    </w:p>
    <w:p w14:paraId="2D9A2EFA">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default" w:ascii="Times New Roman Regular" w:hAnsi="Times New Roman Regular" w:eastAsia="黑体" w:cs="Times New Roman Regular"/>
          <w:color w:val="auto"/>
          <w:sz w:val="72"/>
          <w:szCs w:val="72"/>
          <w:highlight w:val="none"/>
          <w:lang w:val="en-US" w:eastAsia="zh-CN"/>
        </w:rPr>
      </w:pPr>
    </w:p>
    <w:p w14:paraId="53DFF5D8">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default" w:ascii="Times New Roman Regular" w:hAnsi="Times New Roman Regular" w:eastAsia="黑体" w:cs="Times New Roman Regular"/>
          <w:color w:val="auto"/>
          <w:sz w:val="72"/>
          <w:szCs w:val="72"/>
          <w:highlight w:val="none"/>
          <w:lang w:val="en-US" w:eastAsia="zh-CN"/>
        </w:rPr>
      </w:pPr>
    </w:p>
    <w:p w14:paraId="6FCFE56D">
      <w:pPr>
        <w:rPr>
          <w:rFonts w:hint="default" w:ascii="Times New Roman Regular" w:hAnsi="Times New Roman Regular" w:cs="Times New Roman Regular"/>
          <w:color w:val="auto"/>
          <w:highlight w:val="none"/>
          <w:lang w:val="en-US" w:eastAsia="zh-CN"/>
        </w:rPr>
      </w:pPr>
    </w:p>
    <w:p w14:paraId="3AB9928A">
      <w:pPr>
        <w:outlineLvl w:val="9"/>
        <w:rPr>
          <w:rFonts w:hint="default" w:ascii="Times New Roman Regular" w:hAnsi="Times New Roman Regular" w:cs="Times New Roman Regular"/>
          <w:color w:val="auto"/>
          <w:highlight w:val="none"/>
          <w:lang w:val="en-US" w:eastAsia="zh-CN"/>
        </w:rPr>
      </w:pPr>
    </w:p>
    <w:p w14:paraId="59F8186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Regular" w:hAnsi="Times New Roman Regular" w:eastAsia="仿宋_GB2312" w:cs="Times New Roman Regular"/>
          <w:color w:val="auto"/>
          <w:sz w:val="32"/>
          <w:szCs w:val="32"/>
          <w:highlight w:val="none"/>
          <w:lang w:val="en-US" w:eastAsia="zh-CN"/>
        </w:rPr>
      </w:pPr>
    </w:p>
    <w:p w14:paraId="21CCFB62">
      <w:pPr>
        <w:rPr>
          <w:rFonts w:hint="default" w:ascii="Times New Roman Regular" w:hAnsi="Times New Roman Regular" w:eastAsia="仿宋_GB2312" w:cs="Times New Roman Regular"/>
          <w:color w:val="auto"/>
          <w:sz w:val="32"/>
          <w:szCs w:val="32"/>
          <w:highlight w:val="none"/>
          <w:lang w:val="en-US" w:eastAsia="zh-CN"/>
        </w:rPr>
      </w:pPr>
    </w:p>
    <w:p w14:paraId="36D94C8D">
      <w:pPr>
        <w:rPr>
          <w:rFonts w:hint="default" w:ascii="Times New Roman Regular" w:hAnsi="Times New Roman Regular" w:eastAsia="仿宋_GB2312" w:cs="Times New Roman Regular"/>
          <w:color w:val="auto"/>
          <w:sz w:val="32"/>
          <w:szCs w:val="32"/>
          <w:highlight w:val="none"/>
          <w:lang w:val="en-US" w:eastAsia="zh-CN"/>
        </w:rPr>
      </w:pPr>
    </w:p>
    <w:p w14:paraId="63EBCC47">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9"/>
        <w:rPr>
          <w:rFonts w:hint="default" w:ascii="Times New Roman" w:hAnsi="Times New Roman" w:eastAsia="黑体" w:cs="Times New Roman"/>
          <w:b w:val="0"/>
          <w:bCs/>
          <w:snapToGrid/>
          <w:color w:val="auto"/>
          <w:kern w:val="2"/>
          <w:sz w:val="32"/>
          <w:szCs w:val="32"/>
          <w:highlight w:val="none"/>
          <w:lang w:val="en-US" w:eastAsia="zh-CN" w:bidi="ar-SA"/>
        </w:rPr>
      </w:pPr>
      <w:r>
        <w:rPr>
          <w:rFonts w:hint="default" w:ascii="Times New Roman" w:hAnsi="Times New Roman" w:eastAsia="黑体" w:cs="Times New Roman"/>
          <w:b w:val="0"/>
          <w:bCs/>
          <w:snapToGrid/>
          <w:color w:val="auto"/>
          <w:kern w:val="2"/>
          <w:sz w:val="32"/>
          <w:szCs w:val="32"/>
          <w:highlight w:val="none"/>
          <w:lang w:val="en-US" w:eastAsia="zh-CN" w:bidi="ar-SA"/>
        </w:rPr>
        <w:t>委托单位：</w:t>
      </w:r>
      <w:r>
        <w:rPr>
          <w:rFonts w:hint="eastAsia" w:ascii="Times New Roman" w:hAnsi="Times New Roman" w:eastAsia="黑体" w:cs="Times New Roman"/>
          <w:b w:val="0"/>
          <w:bCs/>
          <w:snapToGrid/>
          <w:color w:val="auto"/>
          <w:kern w:val="2"/>
          <w:sz w:val="32"/>
          <w:szCs w:val="32"/>
          <w:highlight w:val="none"/>
          <w:lang w:val="en-US" w:eastAsia="zh-CN" w:bidi="ar-SA"/>
        </w:rPr>
        <w:t>荣成市</w:t>
      </w:r>
      <w:r>
        <w:rPr>
          <w:rFonts w:hint="default" w:ascii="Times New Roman" w:hAnsi="Times New Roman" w:eastAsia="黑体" w:cs="Times New Roman"/>
          <w:b w:val="0"/>
          <w:bCs/>
          <w:snapToGrid/>
          <w:color w:val="auto"/>
          <w:kern w:val="2"/>
          <w:sz w:val="32"/>
          <w:szCs w:val="32"/>
          <w:highlight w:val="none"/>
          <w:lang w:val="en-US" w:eastAsia="zh-CN" w:bidi="ar-SA"/>
        </w:rPr>
        <w:t>财政局</w:t>
      </w:r>
    </w:p>
    <w:p w14:paraId="321D8C90">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9"/>
        <w:rPr>
          <w:rFonts w:hint="default" w:ascii="Times New Roman" w:hAnsi="Times New Roman" w:eastAsia="黑体" w:cs="Times New Roman"/>
          <w:b w:val="0"/>
          <w:bCs/>
          <w:snapToGrid/>
          <w:color w:val="auto"/>
          <w:kern w:val="2"/>
          <w:sz w:val="32"/>
          <w:szCs w:val="32"/>
          <w:highlight w:val="none"/>
          <w:lang w:val="en-US" w:eastAsia="zh-CN" w:bidi="ar-SA"/>
        </w:rPr>
      </w:pPr>
      <w:bookmarkStart w:id="0" w:name="_Toc1681992792"/>
      <w:r>
        <w:rPr>
          <w:rFonts w:hint="default" w:ascii="Times New Roman" w:hAnsi="Times New Roman" w:eastAsia="黑体" w:cs="Times New Roman"/>
          <w:b w:val="0"/>
          <w:bCs/>
          <w:snapToGrid/>
          <w:color w:val="auto"/>
          <w:kern w:val="2"/>
          <w:sz w:val="32"/>
          <w:szCs w:val="32"/>
          <w:highlight w:val="none"/>
          <w:lang w:val="en-US" w:eastAsia="zh-CN" w:bidi="ar-SA"/>
        </w:rPr>
        <w:t>实施单位：荣成博物馆</w:t>
      </w:r>
    </w:p>
    <w:p w14:paraId="46684E7B">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9"/>
        <w:rPr>
          <w:rFonts w:hint="default" w:ascii="Times New Roman" w:hAnsi="Times New Roman" w:eastAsia="黑体" w:cs="Times New Roman"/>
          <w:b w:val="0"/>
          <w:bCs/>
          <w:snapToGrid/>
          <w:color w:val="auto"/>
          <w:kern w:val="2"/>
          <w:sz w:val="32"/>
          <w:szCs w:val="32"/>
          <w:highlight w:val="none"/>
          <w:lang w:val="en-US" w:eastAsia="zh-CN" w:bidi="ar-SA"/>
        </w:rPr>
      </w:pPr>
      <w:r>
        <w:rPr>
          <w:rFonts w:hint="default" w:ascii="Times New Roman" w:hAnsi="Times New Roman" w:eastAsia="黑体" w:cs="Times New Roman"/>
          <w:b w:val="0"/>
          <w:bCs/>
          <w:snapToGrid/>
          <w:color w:val="auto"/>
          <w:kern w:val="2"/>
          <w:sz w:val="32"/>
          <w:szCs w:val="32"/>
          <w:highlight w:val="none"/>
          <w:lang w:val="en-US" w:eastAsia="zh-CN" w:bidi="ar-SA"/>
        </w:rPr>
        <w:t>主管部门：</w:t>
      </w:r>
      <w:r>
        <w:rPr>
          <w:rFonts w:hint="eastAsia" w:ascii="Times New Roman" w:hAnsi="Times New Roman" w:eastAsia="黑体" w:cs="Times New Roman"/>
          <w:b w:val="0"/>
          <w:bCs/>
          <w:snapToGrid/>
          <w:color w:val="auto"/>
          <w:kern w:val="2"/>
          <w:sz w:val="32"/>
          <w:szCs w:val="32"/>
          <w:highlight w:val="none"/>
          <w:lang w:val="en-US" w:eastAsia="zh-CN" w:bidi="ar-SA"/>
        </w:rPr>
        <w:t>荣成市文化和旅游局</w:t>
      </w:r>
    </w:p>
    <w:p w14:paraId="4E5EA9B9">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9"/>
        <w:rPr>
          <w:rFonts w:hint="default" w:ascii="Times New Roman" w:hAnsi="Times New Roman" w:eastAsia="黑体" w:cs="Times New Roman"/>
          <w:b w:val="0"/>
          <w:bCs/>
          <w:snapToGrid/>
          <w:color w:val="auto"/>
          <w:kern w:val="2"/>
          <w:sz w:val="32"/>
          <w:szCs w:val="32"/>
          <w:highlight w:val="none"/>
          <w:lang w:val="en-US" w:eastAsia="zh-CN" w:bidi="ar-SA"/>
        </w:rPr>
      </w:pPr>
      <w:r>
        <w:rPr>
          <w:rFonts w:ascii="Times New Roman" w:hAnsi="Times New Roman" w:eastAsia="黑体" w:cs="Times New Roman Regular"/>
          <w:bCs/>
          <w:sz w:val="32"/>
          <w:szCs w:val="32"/>
          <w:highlight w:val="none"/>
        </w:rPr>
        <w:t>评价机构</w:t>
      </w:r>
      <w:r>
        <w:rPr>
          <w:rFonts w:hint="default" w:ascii="Times New Roman" w:hAnsi="Times New Roman" w:eastAsia="黑体" w:cs="Times New Roman"/>
          <w:b w:val="0"/>
          <w:bCs/>
          <w:snapToGrid/>
          <w:color w:val="auto"/>
          <w:kern w:val="2"/>
          <w:sz w:val="32"/>
          <w:szCs w:val="32"/>
          <w:highlight w:val="none"/>
          <w:lang w:val="en-US" w:eastAsia="zh-CN" w:bidi="ar-SA"/>
        </w:rPr>
        <w:t>：北京中泽融信管理咨询有限公司</w:t>
      </w:r>
      <w:bookmarkEnd w:id="0"/>
    </w:p>
    <w:p w14:paraId="366D3654">
      <w:pPr>
        <w:pStyle w:val="1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9"/>
        <w:rPr>
          <w:rFonts w:hint="default" w:ascii="Times New Roman" w:hAnsi="Times New Roman" w:eastAsia="黑体" w:cs="Times New Roman"/>
          <w:b w:val="0"/>
          <w:bCs/>
          <w:snapToGrid/>
          <w:color w:val="auto"/>
          <w:kern w:val="2"/>
          <w:sz w:val="32"/>
          <w:szCs w:val="32"/>
          <w:highlight w:val="none"/>
          <w:lang w:val="en-US" w:eastAsia="zh-CN" w:bidi="ar-SA"/>
        </w:rPr>
      </w:pPr>
      <w:r>
        <w:rPr>
          <w:rFonts w:hint="eastAsia" w:ascii="Times New Roman" w:hAnsi="Times New Roman" w:eastAsia="黑体" w:cs="Times New Roman"/>
          <w:b w:val="0"/>
          <w:bCs/>
          <w:snapToGrid/>
          <w:color w:val="auto"/>
          <w:kern w:val="2"/>
          <w:sz w:val="32"/>
          <w:szCs w:val="32"/>
          <w:highlight w:val="none"/>
          <w:lang w:val="en-US" w:eastAsia="zh-CN" w:bidi="ar-SA"/>
        </w:rPr>
        <w:t>二〇二五</w:t>
      </w:r>
      <w:r>
        <w:rPr>
          <w:rFonts w:hint="default" w:ascii="Times New Roman" w:hAnsi="Times New Roman" w:eastAsia="黑体" w:cs="Times New Roman"/>
          <w:b w:val="0"/>
          <w:bCs/>
          <w:snapToGrid/>
          <w:color w:val="auto"/>
          <w:kern w:val="2"/>
          <w:sz w:val="32"/>
          <w:szCs w:val="32"/>
          <w:highlight w:val="none"/>
          <w:lang w:val="en-US" w:eastAsia="zh-CN" w:bidi="ar-SA"/>
        </w:rPr>
        <w:t>年</w:t>
      </w:r>
      <w:r>
        <w:rPr>
          <w:rFonts w:hint="eastAsia" w:ascii="Times New Roman" w:hAnsi="Times New Roman" w:eastAsia="黑体" w:cs="Times New Roman"/>
          <w:b w:val="0"/>
          <w:bCs/>
          <w:snapToGrid/>
          <w:color w:val="auto"/>
          <w:kern w:val="2"/>
          <w:sz w:val="32"/>
          <w:szCs w:val="32"/>
          <w:highlight w:val="none"/>
          <w:lang w:val="en-US" w:eastAsia="zh-CN" w:bidi="ar-SA"/>
        </w:rPr>
        <w:t>十一</w:t>
      </w:r>
      <w:r>
        <w:rPr>
          <w:rFonts w:hint="default" w:ascii="Times New Roman" w:hAnsi="Times New Roman" w:eastAsia="黑体" w:cs="Times New Roman"/>
          <w:b w:val="0"/>
          <w:bCs/>
          <w:snapToGrid/>
          <w:color w:val="auto"/>
          <w:kern w:val="2"/>
          <w:sz w:val="32"/>
          <w:szCs w:val="32"/>
          <w:highlight w:val="none"/>
          <w:lang w:val="en-US" w:eastAsia="zh-CN" w:bidi="ar-SA"/>
        </w:rPr>
        <w:t>月</w:t>
      </w:r>
    </w:p>
    <w:p w14:paraId="2202CC3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Regular" w:hAnsi="Times New Roman Regular" w:eastAsia="方正小标宋简体" w:cs="Times New Roman Regular"/>
          <w:color w:val="auto"/>
          <w:sz w:val="44"/>
          <w:szCs w:val="44"/>
          <w:highlight w:val="none"/>
          <w:lang w:val="en-US" w:eastAsia="zh-CN"/>
        </w:rPr>
        <w:sectPr>
          <w:headerReference r:id="rId3" w:type="default"/>
          <w:footerReference r:id="rId4" w:type="default"/>
          <w:pgSz w:w="11906" w:h="16838"/>
          <w:pgMar w:top="1814" w:right="1417" w:bottom="1814" w:left="1474" w:header="851" w:footer="1134" w:gutter="0"/>
          <w:pgNumType w:fmt="upperRoman"/>
          <w:cols w:space="0" w:num="1"/>
          <w:rtlGutter w:val="0"/>
          <w:docGrid w:linePitch="312" w:charSpace="0"/>
        </w:sectPr>
      </w:pPr>
      <w:bookmarkStart w:id="1" w:name="_Toc1614"/>
      <w:bookmarkStart w:id="2" w:name="_Toc3341"/>
    </w:p>
    <w:p w14:paraId="0DC8981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hint="default" w:ascii="Times New Roman Regular" w:hAnsi="Times New Roman Regular" w:eastAsia="方正小标宋简体" w:cs="Times New Roman Regular"/>
          <w:color w:val="auto"/>
          <w:sz w:val="44"/>
          <w:szCs w:val="44"/>
          <w:highlight w:val="none"/>
          <w:lang w:val="en-US" w:eastAsia="zh-CN"/>
        </w:rPr>
      </w:pPr>
      <w:r>
        <w:rPr>
          <w:rFonts w:hint="eastAsia" w:ascii="Times New Roman Regular" w:hAnsi="Times New Roman Regular" w:eastAsia="方正小标宋简体" w:cs="Times New Roman Regular"/>
          <w:color w:val="auto"/>
          <w:sz w:val="44"/>
          <w:szCs w:val="44"/>
          <w:highlight w:val="none"/>
          <w:lang w:val="en-US" w:eastAsia="zh-CN"/>
        </w:rPr>
        <w:t>摘  要</w:t>
      </w:r>
      <w:bookmarkEnd w:id="1"/>
      <w:bookmarkEnd w:id="2"/>
    </w:p>
    <w:p w14:paraId="487039A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黑体" w:cs="Times New Roman Regular"/>
          <w:color w:val="auto"/>
          <w:sz w:val="32"/>
          <w:szCs w:val="40"/>
          <w:highlight w:val="none"/>
          <w:lang w:val="en-US" w:eastAsia="zh-CN"/>
        </w:rPr>
      </w:pPr>
      <w:bookmarkStart w:id="3" w:name="_Toc22782"/>
      <w:bookmarkStart w:id="4" w:name="_Toc17829"/>
      <w:bookmarkStart w:id="5" w:name="_Toc12959"/>
      <w:r>
        <w:rPr>
          <w:rFonts w:hint="default" w:ascii="Times New Roman Regular" w:hAnsi="Times New Roman Regular" w:eastAsia="黑体" w:cs="Times New Roman Regular"/>
          <w:color w:val="auto"/>
          <w:sz w:val="32"/>
          <w:szCs w:val="40"/>
          <w:highlight w:val="none"/>
          <w:lang w:val="en-US" w:eastAsia="zh-CN"/>
        </w:rPr>
        <w:t>一、项目概况</w:t>
      </w:r>
      <w:bookmarkEnd w:id="3"/>
      <w:bookmarkEnd w:id="4"/>
      <w:bookmarkEnd w:id="5"/>
    </w:p>
    <w:p w14:paraId="5BFCEC5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根据中共中央宣传部、财政部、文化部、国家文物局联合印发的《关于全国博物馆、纪念馆免费开放的通知》（中宣发〔2008〕2号），明确全国各级文化文物部门归口管理的公共博物馆、纪念馆，全国爱国主义教育示范基地全部免费开放，并要求各级财政部门应将博物馆、纪念馆免费开放相关经费纳入财政预算，切实予以保障。荣成博物馆</w:t>
      </w:r>
      <w:r>
        <w:rPr>
          <w:rFonts w:hint="eastAsia" w:ascii="Times New Roman Regular" w:hAnsi="Times New Roman Regular" w:eastAsia="仿宋_GB2312" w:cs="Times New Roman Regular"/>
          <w:color w:val="auto"/>
          <w:sz w:val="32"/>
          <w:szCs w:val="40"/>
          <w:highlight w:val="none"/>
          <w:lang w:val="en-US" w:eastAsia="zh-CN"/>
        </w:rPr>
        <w:t>内设</w:t>
      </w:r>
      <w:r>
        <w:rPr>
          <w:rFonts w:hint="default" w:ascii="Times New Roman Regular" w:hAnsi="Times New Roman Regular" w:eastAsia="仿宋_GB2312" w:cs="Times New Roman Regular"/>
          <w:color w:val="auto"/>
          <w:sz w:val="32"/>
          <w:szCs w:val="40"/>
          <w:highlight w:val="none"/>
          <w:lang w:val="en-US" w:eastAsia="zh-CN"/>
        </w:rPr>
        <w:t>荣成市郭永怀事迹陈列馆，为市文化和旅游局所属正科级公益一类事业单位，属于免费开放博物馆范畴</w:t>
      </w:r>
      <w:r>
        <w:rPr>
          <w:rFonts w:hint="eastAsia" w:ascii="Times New Roman Regular" w:hAnsi="Times New Roman Regular" w:eastAsia="仿宋_GB2312" w:cs="Times New Roman Regular"/>
          <w:color w:val="auto"/>
          <w:sz w:val="32"/>
          <w:szCs w:val="40"/>
          <w:highlight w:val="none"/>
          <w:lang w:val="en-US" w:eastAsia="zh-CN"/>
        </w:rPr>
        <w:t>。</w:t>
      </w:r>
    </w:p>
    <w:p w14:paraId="3A45538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基于上述政策要求与现实需求，荣成市每年实施荣成博物馆运转经费项目，由荣成博物馆作为实施主体负责项目</w:t>
      </w:r>
      <w:r>
        <w:rPr>
          <w:rFonts w:hint="eastAsia" w:ascii="Times New Roman Regular" w:hAnsi="Times New Roman Regular" w:eastAsia="仿宋_GB2312" w:cs="Times New Roman Regular"/>
          <w:color w:val="auto"/>
          <w:sz w:val="32"/>
          <w:szCs w:val="40"/>
          <w:highlight w:val="none"/>
          <w:lang w:val="en-US" w:eastAsia="zh-CN"/>
        </w:rPr>
        <w:t>运营</w:t>
      </w:r>
      <w:r>
        <w:rPr>
          <w:rFonts w:hint="default" w:ascii="Times New Roman Regular" w:hAnsi="Times New Roman Regular" w:eastAsia="仿宋_GB2312" w:cs="Times New Roman Regular"/>
          <w:color w:val="auto"/>
          <w:sz w:val="32"/>
          <w:szCs w:val="40"/>
          <w:highlight w:val="none"/>
          <w:lang w:val="en-US" w:eastAsia="zh-CN"/>
        </w:rPr>
        <w:t>工作。该项目为延续性项目，2022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2024年度荣成博物馆运转经费项目参照往年工作模式，持续有序实施。</w:t>
      </w:r>
    </w:p>
    <w:p w14:paraId="74B5EA7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黑体" w:cs="Times New Roman Regular"/>
          <w:color w:val="auto"/>
          <w:sz w:val="32"/>
          <w:szCs w:val="40"/>
          <w:highlight w:val="none"/>
          <w:lang w:val="en-US" w:eastAsia="zh-CN"/>
        </w:rPr>
      </w:pPr>
      <w:bookmarkStart w:id="6" w:name="_Toc15718"/>
      <w:bookmarkStart w:id="7" w:name="_Toc17428"/>
      <w:bookmarkStart w:id="8" w:name="_Toc31283"/>
      <w:r>
        <w:rPr>
          <w:rFonts w:hint="default" w:ascii="Times New Roman Regular" w:hAnsi="Times New Roman Regular" w:eastAsia="黑体" w:cs="Times New Roman Regular"/>
          <w:color w:val="auto"/>
          <w:sz w:val="32"/>
          <w:szCs w:val="40"/>
          <w:highlight w:val="none"/>
          <w:lang w:val="en-US" w:eastAsia="zh-CN"/>
        </w:rPr>
        <w:t>二、绩效评价工作开展情况</w:t>
      </w:r>
      <w:bookmarkEnd w:id="6"/>
      <w:bookmarkEnd w:id="7"/>
      <w:bookmarkEnd w:id="8"/>
    </w:p>
    <w:p w14:paraId="2C2319F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本次</w:t>
      </w:r>
      <w:r>
        <w:rPr>
          <w:rFonts w:hint="eastAsia" w:ascii="Times New Roman Regular" w:hAnsi="Times New Roman Regular" w:eastAsia="仿宋_GB2312" w:cs="Times New Roman Regular"/>
          <w:color w:val="auto"/>
          <w:sz w:val="32"/>
          <w:szCs w:val="40"/>
          <w:highlight w:val="none"/>
          <w:lang w:val="en-US" w:eastAsia="zh-CN"/>
        </w:rPr>
        <w:t>评价受荣成市</w:t>
      </w:r>
      <w:r>
        <w:rPr>
          <w:rFonts w:hint="default" w:ascii="Times New Roman Regular" w:hAnsi="Times New Roman Regular" w:eastAsia="仿宋_GB2312" w:cs="Times New Roman Regular"/>
          <w:color w:val="auto"/>
          <w:sz w:val="32"/>
          <w:szCs w:val="40"/>
          <w:highlight w:val="none"/>
          <w:lang w:val="en-US" w:eastAsia="zh-CN"/>
        </w:rPr>
        <w:t>财政局委托</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对2022</w:t>
      </w:r>
      <w:r>
        <w:rPr>
          <w:rFonts w:hint="eastAsia" w:ascii="Times New Roman Regular" w:hAnsi="Times New Roman Regular" w:eastAsia="仿宋_GB2312" w:cs="Times New Roman Regular"/>
          <w:color w:val="auto"/>
          <w:sz w:val="32"/>
          <w:szCs w:val="40"/>
          <w:highlight w:val="none"/>
          <w:lang w:val="en-US" w:eastAsia="zh-CN"/>
        </w:rPr>
        <w:t>—2024年荣成博物馆运转经费项目</w:t>
      </w:r>
      <w:r>
        <w:rPr>
          <w:rFonts w:hint="default" w:ascii="Times New Roman Regular" w:hAnsi="Times New Roman Regular" w:eastAsia="仿宋_GB2312" w:cs="Times New Roman Regular"/>
          <w:color w:val="auto"/>
          <w:sz w:val="32"/>
          <w:szCs w:val="40"/>
          <w:highlight w:val="none"/>
          <w:lang w:val="en-US" w:eastAsia="zh-CN"/>
        </w:rPr>
        <w:t>进行绩效评价。本项目资金来源为一般公共预算资金，2022年预算批复金额为</w:t>
      </w:r>
      <w:r>
        <w:rPr>
          <w:rFonts w:hint="eastAsia" w:ascii="Times New Roman Regular" w:hAnsi="Times New Roman Regular" w:eastAsia="仿宋_GB2312" w:cs="Times New Roman Regular"/>
          <w:color w:val="auto"/>
          <w:sz w:val="32"/>
          <w:szCs w:val="40"/>
          <w:highlight w:val="none"/>
          <w:lang w:val="en-US" w:eastAsia="zh-CN"/>
        </w:rPr>
        <w:t>252</w:t>
      </w:r>
      <w:r>
        <w:rPr>
          <w:rFonts w:hint="default" w:ascii="Times New Roman Regular" w:hAnsi="Times New Roman Regular" w:eastAsia="仿宋_GB2312" w:cs="Times New Roman Regular"/>
          <w:color w:val="auto"/>
          <w:sz w:val="32"/>
          <w:szCs w:val="40"/>
          <w:highlight w:val="none"/>
          <w:lang w:val="en-US" w:eastAsia="zh-CN"/>
        </w:rPr>
        <w:t>万元</w:t>
      </w:r>
      <w:r>
        <w:rPr>
          <w:rFonts w:hint="eastAsia" w:ascii="Times New Roman Regular" w:hAnsi="Times New Roman Regular" w:eastAsia="仿宋_GB2312" w:cs="Times New Roman Regular"/>
          <w:color w:val="auto"/>
          <w:sz w:val="32"/>
          <w:szCs w:val="40"/>
          <w:highlight w:val="none"/>
          <w:lang w:val="en-US" w:eastAsia="zh-CN"/>
        </w:rPr>
        <w:t>、实际到位138.80</w:t>
      </w:r>
      <w:r>
        <w:rPr>
          <w:rFonts w:hint="default" w:ascii="Times New Roman Regular" w:hAnsi="Times New Roman Regular" w:eastAsia="仿宋_GB2312" w:cs="Times New Roman Regular"/>
          <w:color w:val="auto"/>
          <w:sz w:val="32"/>
          <w:szCs w:val="40"/>
          <w:highlight w:val="none"/>
          <w:lang w:val="en-US" w:eastAsia="zh-CN"/>
        </w:rPr>
        <w:t>万元</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2023年预算批复金额为</w:t>
      </w:r>
      <w:r>
        <w:rPr>
          <w:rFonts w:hint="eastAsia" w:ascii="Times New Roman Regular" w:hAnsi="Times New Roman Regular" w:eastAsia="仿宋_GB2312" w:cs="Times New Roman Regular"/>
          <w:color w:val="auto"/>
          <w:sz w:val="32"/>
          <w:szCs w:val="40"/>
          <w:highlight w:val="none"/>
          <w:lang w:val="en-US" w:eastAsia="zh-CN"/>
        </w:rPr>
        <w:t>272</w:t>
      </w:r>
      <w:r>
        <w:rPr>
          <w:rFonts w:hint="default" w:ascii="Times New Roman Regular" w:hAnsi="Times New Roman Regular" w:eastAsia="仿宋_GB2312" w:cs="Times New Roman Regular"/>
          <w:color w:val="auto"/>
          <w:sz w:val="32"/>
          <w:szCs w:val="40"/>
          <w:highlight w:val="none"/>
          <w:lang w:val="en-US" w:eastAsia="zh-CN"/>
        </w:rPr>
        <w:t>万元</w:t>
      </w:r>
      <w:r>
        <w:rPr>
          <w:rFonts w:hint="eastAsia" w:ascii="Times New Roman Regular" w:hAnsi="Times New Roman Regular" w:eastAsia="仿宋_GB2312" w:cs="Times New Roman Regular"/>
          <w:color w:val="auto"/>
          <w:sz w:val="32"/>
          <w:szCs w:val="40"/>
          <w:highlight w:val="none"/>
          <w:lang w:val="en-US" w:eastAsia="zh-CN"/>
        </w:rPr>
        <w:t>、实际到位55.12</w:t>
      </w:r>
      <w:r>
        <w:rPr>
          <w:rFonts w:hint="default" w:ascii="Times New Roman Regular" w:hAnsi="Times New Roman Regular" w:eastAsia="仿宋_GB2312" w:cs="Times New Roman Regular"/>
          <w:color w:val="auto"/>
          <w:sz w:val="32"/>
          <w:szCs w:val="40"/>
          <w:highlight w:val="none"/>
          <w:lang w:val="en-US" w:eastAsia="zh-CN"/>
        </w:rPr>
        <w:t>万元，2024年预算批复金额为</w:t>
      </w:r>
      <w:r>
        <w:rPr>
          <w:rFonts w:hint="eastAsia" w:ascii="Times New Roman Regular" w:hAnsi="Times New Roman Regular" w:eastAsia="仿宋_GB2312" w:cs="Times New Roman Regular"/>
          <w:color w:val="auto"/>
          <w:sz w:val="32"/>
          <w:szCs w:val="40"/>
          <w:highlight w:val="none"/>
          <w:lang w:val="en-US" w:eastAsia="zh-CN"/>
        </w:rPr>
        <w:t>254</w:t>
      </w:r>
      <w:r>
        <w:rPr>
          <w:rFonts w:hint="default" w:ascii="Times New Roman Regular" w:hAnsi="Times New Roman Regular" w:eastAsia="仿宋_GB2312" w:cs="Times New Roman Regular"/>
          <w:color w:val="auto"/>
          <w:sz w:val="32"/>
          <w:szCs w:val="40"/>
          <w:highlight w:val="none"/>
          <w:lang w:val="en-US" w:eastAsia="zh-CN"/>
        </w:rPr>
        <w:t>万元</w:t>
      </w:r>
      <w:r>
        <w:rPr>
          <w:rFonts w:hint="eastAsia" w:ascii="Times New Roman Regular" w:hAnsi="Times New Roman Regular" w:eastAsia="仿宋_GB2312" w:cs="Times New Roman Regular"/>
          <w:color w:val="auto"/>
          <w:sz w:val="32"/>
          <w:szCs w:val="40"/>
          <w:highlight w:val="none"/>
          <w:lang w:val="en-US" w:eastAsia="zh-CN"/>
        </w:rPr>
        <w:t>、实际到位25.34</w:t>
      </w:r>
      <w:r>
        <w:rPr>
          <w:rFonts w:hint="default" w:ascii="Times New Roman Regular" w:hAnsi="Times New Roman Regular" w:eastAsia="仿宋_GB2312" w:cs="Times New Roman Regular"/>
          <w:color w:val="auto"/>
          <w:sz w:val="32"/>
          <w:szCs w:val="40"/>
          <w:highlight w:val="none"/>
          <w:lang w:val="en-US" w:eastAsia="zh-CN"/>
        </w:rPr>
        <w:t>万元。</w:t>
      </w:r>
    </w:p>
    <w:p w14:paraId="02EA083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黑体" w:cs="Times New Roman Regular"/>
          <w:color w:val="auto"/>
          <w:sz w:val="32"/>
          <w:szCs w:val="40"/>
          <w:highlight w:val="none"/>
          <w:lang w:val="en-US" w:eastAsia="zh-CN"/>
        </w:rPr>
      </w:pPr>
      <w:bookmarkStart w:id="9" w:name="_Toc30850"/>
      <w:bookmarkStart w:id="10" w:name="_Toc13056"/>
      <w:bookmarkStart w:id="11" w:name="_Toc13473"/>
      <w:r>
        <w:rPr>
          <w:rFonts w:hint="default" w:ascii="Times New Roman Regular" w:hAnsi="Times New Roman Regular" w:eastAsia="黑体" w:cs="Times New Roman Regular"/>
          <w:color w:val="auto"/>
          <w:sz w:val="32"/>
          <w:szCs w:val="40"/>
          <w:highlight w:val="none"/>
          <w:lang w:val="en-US" w:eastAsia="zh-CN"/>
        </w:rPr>
        <w:t>三、综合评价情况</w:t>
      </w:r>
      <w:bookmarkEnd w:id="9"/>
      <w:bookmarkEnd w:id="10"/>
      <w:bookmarkEnd w:id="11"/>
    </w:p>
    <w:p w14:paraId="3F65DFF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en-US"/>
        </w:rPr>
      </w:pPr>
      <w:r>
        <w:rPr>
          <w:rFonts w:hint="eastAsia" w:ascii="Times New Roman Regular" w:hAnsi="Times New Roman Regular" w:eastAsia="仿宋_GB2312" w:cs="Times New Roman Regular"/>
          <w:color w:val="auto"/>
          <w:sz w:val="32"/>
          <w:szCs w:val="40"/>
          <w:highlight w:val="none"/>
          <w:lang w:val="en-US" w:eastAsia="zh-CN"/>
        </w:rPr>
        <w:t>通过整理分析</w:t>
      </w:r>
      <w:r>
        <w:rPr>
          <w:rFonts w:hint="default" w:ascii="Times New Roman Regular" w:hAnsi="Times New Roman Regular" w:eastAsia="仿宋_GB2312" w:cs="Times New Roman Regular"/>
          <w:color w:val="auto"/>
          <w:sz w:val="32"/>
          <w:szCs w:val="40"/>
          <w:highlight w:val="none"/>
          <w:lang w:val="en-US" w:eastAsia="en-US"/>
        </w:rPr>
        <w:t>此次</w:t>
      </w:r>
      <w:r>
        <w:rPr>
          <w:rFonts w:hint="default" w:ascii="Times New Roman Regular" w:hAnsi="Times New Roman Regular" w:eastAsia="仿宋_GB2312" w:cs="Times New Roman Regular"/>
          <w:color w:val="auto"/>
          <w:sz w:val="32"/>
          <w:szCs w:val="40"/>
          <w:highlight w:val="none"/>
          <w:lang w:val="en-US" w:eastAsia="zh-CN"/>
        </w:rPr>
        <w:t>绩效评价</w:t>
      </w:r>
      <w:r>
        <w:rPr>
          <w:rFonts w:hint="default" w:ascii="Times New Roman Regular" w:hAnsi="Times New Roman Regular" w:eastAsia="仿宋_GB2312" w:cs="Times New Roman Regular"/>
          <w:color w:val="auto"/>
          <w:sz w:val="32"/>
          <w:szCs w:val="40"/>
          <w:highlight w:val="none"/>
          <w:lang w:val="en-US" w:eastAsia="en-US"/>
        </w:rPr>
        <w:t>收集的资料</w:t>
      </w:r>
      <w:r>
        <w:rPr>
          <w:rFonts w:hint="eastAsia" w:ascii="Times New Roman Regular" w:hAnsi="Times New Roman Regular" w:eastAsia="仿宋_GB2312" w:cs="Times New Roman Regular"/>
          <w:color w:val="auto"/>
          <w:sz w:val="32"/>
          <w:szCs w:val="40"/>
          <w:highlight w:val="none"/>
          <w:lang w:val="en-US" w:eastAsia="zh-CN"/>
        </w:rPr>
        <w:t>，核实资金</w:t>
      </w:r>
      <w:r>
        <w:rPr>
          <w:rFonts w:hint="default" w:ascii="Times New Roman Regular" w:hAnsi="Times New Roman Regular" w:eastAsia="仿宋_GB2312" w:cs="Times New Roman Regular"/>
          <w:color w:val="auto"/>
          <w:sz w:val="32"/>
          <w:szCs w:val="40"/>
          <w:highlight w:val="none"/>
          <w:lang w:val="en-US" w:eastAsia="en-US"/>
        </w:rPr>
        <w:t>数据</w:t>
      </w:r>
      <w:r>
        <w:rPr>
          <w:rFonts w:hint="eastAsia" w:ascii="Times New Roman Regular" w:hAnsi="Times New Roman Regular" w:eastAsia="仿宋_GB2312" w:cs="Times New Roman Regular"/>
          <w:color w:val="auto"/>
          <w:sz w:val="32"/>
          <w:szCs w:val="40"/>
          <w:highlight w:val="none"/>
          <w:lang w:val="en-US" w:eastAsia="zh-CN"/>
        </w:rPr>
        <w:t>情况</w:t>
      </w:r>
      <w:r>
        <w:rPr>
          <w:rFonts w:hint="default" w:ascii="Times New Roman Regular" w:hAnsi="Times New Roman Regular" w:eastAsia="仿宋_GB2312" w:cs="Times New Roman Regular"/>
          <w:color w:val="auto"/>
          <w:sz w:val="32"/>
          <w:szCs w:val="40"/>
          <w:highlight w:val="none"/>
          <w:lang w:val="en-US" w:eastAsia="en-US"/>
        </w:rPr>
        <w:t>，结合被调查单位的实际情况，真实客观</w:t>
      </w:r>
      <w:r>
        <w:rPr>
          <w:rFonts w:hint="eastAsia" w:ascii="Times New Roman Regular" w:hAnsi="Times New Roman Regular" w:eastAsia="仿宋_GB2312" w:cs="Times New Roman Regular"/>
          <w:color w:val="auto"/>
          <w:sz w:val="32"/>
          <w:szCs w:val="40"/>
          <w:highlight w:val="none"/>
          <w:lang w:val="en-US" w:eastAsia="zh-CN"/>
        </w:rPr>
        <w:t>地</w:t>
      </w:r>
      <w:r>
        <w:rPr>
          <w:rFonts w:hint="default" w:ascii="Times New Roman Regular" w:hAnsi="Times New Roman Regular" w:eastAsia="仿宋_GB2312" w:cs="Times New Roman Regular"/>
          <w:color w:val="auto"/>
          <w:sz w:val="32"/>
          <w:szCs w:val="40"/>
          <w:highlight w:val="none"/>
          <w:lang w:val="en-US" w:eastAsia="en-US"/>
        </w:rPr>
        <w:t>对</w:t>
      </w:r>
      <w:r>
        <w:rPr>
          <w:rFonts w:hint="eastAsia" w:ascii="Times New Roman Regular" w:hAnsi="Times New Roman Regular" w:eastAsia="仿宋_GB2312" w:cs="Times New Roman Regular"/>
          <w:color w:val="auto"/>
          <w:sz w:val="32"/>
          <w:szCs w:val="40"/>
          <w:highlight w:val="none"/>
          <w:lang w:val="en-US" w:eastAsia="zh-CN"/>
        </w:rPr>
        <w:t>项目</w:t>
      </w:r>
      <w:r>
        <w:rPr>
          <w:rFonts w:hint="default" w:ascii="Times New Roman Regular" w:hAnsi="Times New Roman Regular" w:eastAsia="仿宋_GB2312" w:cs="Times New Roman Regular"/>
          <w:color w:val="auto"/>
          <w:sz w:val="32"/>
          <w:szCs w:val="40"/>
          <w:highlight w:val="none"/>
          <w:lang w:val="en-US" w:eastAsia="en-US"/>
        </w:rPr>
        <w:t>予以打分评价，最终项目得分为</w:t>
      </w:r>
      <w:r>
        <w:rPr>
          <w:rFonts w:hint="eastAsia" w:ascii="Times New Roman Regular" w:hAnsi="Times New Roman Regular" w:eastAsia="仿宋_GB2312" w:cs="Times New Roman Regular"/>
          <w:color w:val="auto"/>
          <w:sz w:val="32"/>
          <w:szCs w:val="40"/>
          <w:highlight w:val="none"/>
          <w:lang w:val="en-US" w:eastAsia="zh-CN"/>
        </w:rPr>
        <w:t>92.5</w:t>
      </w:r>
      <w:r>
        <w:rPr>
          <w:rFonts w:hint="default" w:ascii="Times New Roman Regular" w:hAnsi="Times New Roman Regular" w:eastAsia="仿宋_GB2312" w:cs="Times New Roman Regular"/>
          <w:color w:val="auto"/>
          <w:sz w:val="32"/>
          <w:szCs w:val="40"/>
          <w:highlight w:val="none"/>
          <w:lang w:val="en-US" w:eastAsia="en-US"/>
        </w:rPr>
        <w:t>分，总体评价等级为“</w:t>
      </w:r>
      <w:r>
        <w:rPr>
          <w:rFonts w:hint="eastAsia" w:ascii="Times New Roman Regular" w:hAnsi="Times New Roman Regular" w:eastAsia="仿宋_GB2312" w:cs="Times New Roman Regular"/>
          <w:color w:val="auto"/>
          <w:sz w:val="32"/>
          <w:szCs w:val="40"/>
          <w:highlight w:val="none"/>
          <w:lang w:val="en-US" w:eastAsia="zh-CN"/>
        </w:rPr>
        <w:t>优</w:t>
      </w:r>
      <w:r>
        <w:rPr>
          <w:rFonts w:hint="default" w:ascii="Times New Roman Regular" w:hAnsi="Times New Roman Regular" w:eastAsia="仿宋_GB2312" w:cs="Times New Roman Regular"/>
          <w:color w:val="auto"/>
          <w:sz w:val="32"/>
          <w:szCs w:val="40"/>
          <w:highlight w:val="none"/>
          <w:lang w:val="en-US" w:eastAsia="en-US"/>
        </w:rPr>
        <w:t>”。</w:t>
      </w:r>
    </w:p>
    <w:p w14:paraId="2C218B2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bookmarkStart w:id="12" w:name="_Toc16519"/>
      <w:bookmarkStart w:id="13" w:name="_Toc21133"/>
      <w:bookmarkStart w:id="14" w:name="_Toc5312"/>
      <w:r>
        <w:rPr>
          <w:rFonts w:hint="eastAsia" w:ascii="Times New Roman Regular" w:hAnsi="Times New Roman Regular" w:eastAsia="仿宋_GB2312" w:cs="Times New Roman Regular"/>
          <w:color w:val="auto"/>
          <w:sz w:val="32"/>
          <w:szCs w:val="40"/>
          <w:highlight w:val="none"/>
          <w:lang w:val="en-US" w:eastAsia="zh-CN"/>
        </w:rPr>
        <w:t>项目决策，评价分值</w:t>
      </w:r>
      <w:r>
        <w:rPr>
          <w:rFonts w:hint="default" w:ascii="Times New Roman Regular" w:hAnsi="Times New Roman Regular" w:eastAsia="仿宋_GB2312" w:cs="Times New Roman Regular"/>
          <w:color w:val="auto"/>
          <w:sz w:val="32"/>
          <w:szCs w:val="40"/>
          <w:highlight w:val="none"/>
          <w:lang w:val="en-US" w:eastAsia="zh-CN"/>
        </w:rPr>
        <w:t>10分，得分</w:t>
      </w:r>
      <w:r>
        <w:rPr>
          <w:rFonts w:hint="eastAsia" w:ascii="Times New Roman Regular" w:hAnsi="Times New Roman Regular" w:eastAsia="仿宋_GB2312" w:cs="Times New Roman Regular"/>
          <w:color w:val="auto"/>
          <w:sz w:val="32"/>
          <w:szCs w:val="40"/>
          <w:highlight w:val="none"/>
          <w:lang w:val="en-US" w:eastAsia="zh-CN"/>
        </w:rPr>
        <w:t>8.5</w:t>
      </w:r>
      <w:r>
        <w:rPr>
          <w:rFonts w:hint="default" w:ascii="Times New Roman Regular" w:hAnsi="Times New Roman Regular" w:eastAsia="仿宋_GB2312" w:cs="Times New Roman Regular"/>
          <w:color w:val="auto"/>
          <w:sz w:val="32"/>
          <w:szCs w:val="40"/>
          <w:highlight w:val="none"/>
          <w:lang w:val="en-US" w:eastAsia="zh-CN"/>
        </w:rPr>
        <w:t>分。项目符合荣成市国民经济和社会发展规划以及行业相关政策要求</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属于公共财政支持范围。立项与部门职责范围相符、依据充分，</w:t>
      </w:r>
      <w:r>
        <w:rPr>
          <w:rFonts w:hint="eastAsia" w:ascii="Times New Roman Regular" w:hAnsi="Times New Roman Regular" w:eastAsia="仿宋_GB2312" w:cs="Times New Roman Regular"/>
          <w:color w:val="auto"/>
          <w:sz w:val="32"/>
          <w:szCs w:val="40"/>
          <w:highlight w:val="none"/>
          <w:lang w:val="en-US" w:eastAsia="zh-CN"/>
        </w:rPr>
        <w:t>项目决策当期</w:t>
      </w:r>
      <w:r>
        <w:rPr>
          <w:rFonts w:hint="default" w:ascii="Times New Roman Regular" w:hAnsi="Times New Roman Regular" w:eastAsia="仿宋_GB2312" w:cs="Times New Roman Regular"/>
          <w:color w:val="auto"/>
          <w:sz w:val="32"/>
          <w:szCs w:val="40"/>
          <w:highlight w:val="none"/>
          <w:lang w:val="en-US" w:eastAsia="zh-CN"/>
        </w:rPr>
        <w:t>未发现重复立项情况</w:t>
      </w:r>
      <w:r>
        <w:rPr>
          <w:rFonts w:hint="eastAsia" w:ascii="Times New Roman Regular" w:hAnsi="Times New Roman Regular" w:eastAsia="仿宋_GB2312" w:cs="Times New Roman Regular"/>
          <w:color w:val="auto"/>
          <w:sz w:val="32"/>
          <w:szCs w:val="40"/>
          <w:highlight w:val="none"/>
          <w:lang w:val="en-US" w:eastAsia="zh-CN"/>
        </w:rPr>
        <w:t>，重点工作事项经过集体决策。但</w:t>
      </w:r>
      <w:r>
        <w:rPr>
          <w:rFonts w:hint="default" w:ascii="Times New Roman Regular" w:hAnsi="Times New Roman Regular" w:eastAsia="仿宋_GB2312" w:cs="Times New Roman Regular"/>
          <w:color w:val="auto"/>
          <w:sz w:val="32"/>
          <w:szCs w:val="40"/>
          <w:highlight w:val="none"/>
          <w:lang w:val="en-US" w:eastAsia="zh-CN"/>
        </w:rPr>
        <w:t>2022年度</w:t>
      </w:r>
      <w:r>
        <w:rPr>
          <w:rFonts w:hint="eastAsia" w:ascii="Times New Roman Regular" w:hAnsi="Times New Roman Regular" w:eastAsia="仿宋_GB2312" w:cs="Times New Roman Regular"/>
          <w:color w:val="auto"/>
          <w:sz w:val="32"/>
          <w:szCs w:val="40"/>
          <w:highlight w:val="none"/>
          <w:lang w:val="en-US" w:eastAsia="zh-CN"/>
        </w:rPr>
        <w:t>存在</w:t>
      </w:r>
      <w:r>
        <w:rPr>
          <w:rFonts w:hint="default" w:ascii="Times New Roman Regular" w:hAnsi="Times New Roman Regular" w:eastAsia="仿宋_GB2312" w:cs="Times New Roman Regular"/>
          <w:color w:val="auto"/>
          <w:sz w:val="32"/>
          <w:szCs w:val="40"/>
          <w:highlight w:val="none"/>
          <w:lang w:val="en-US" w:eastAsia="zh-CN"/>
        </w:rPr>
        <w:t>绩效目标</w:t>
      </w:r>
      <w:r>
        <w:rPr>
          <w:rFonts w:hint="eastAsia" w:ascii="Times New Roman Regular" w:hAnsi="Times New Roman Regular" w:eastAsia="仿宋_GB2312" w:cs="Times New Roman Regular"/>
          <w:color w:val="auto"/>
          <w:sz w:val="32"/>
          <w:szCs w:val="40"/>
          <w:highlight w:val="none"/>
          <w:lang w:val="en-US" w:eastAsia="zh-CN"/>
        </w:rPr>
        <w:t>及绩效指标制定不完善问题。</w:t>
      </w:r>
    </w:p>
    <w:p w14:paraId="5AB4257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项目过程，评价分值30分，得分24分。已签订的各项服务合同较为完善。但存在预算批复率较低，</w:t>
      </w:r>
      <w:r>
        <w:rPr>
          <w:rFonts w:hint="default" w:ascii="Times New Roman Regular" w:hAnsi="Times New Roman Regular" w:eastAsia="仿宋_GB2312" w:cs="Times New Roman Regular"/>
          <w:color w:val="auto"/>
          <w:sz w:val="32"/>
          <w:szCs w:val="40"/>
          <w:highlight w:val="none"/>
          <w:lang w:val="en-US" w:eastAsia="zh-CN"/>
        </w:rPr>
        <w:t>保安</w:t>
      </w:r>
      <w:r>
        <w:rPr>
          <w:rFonts w:hint="eastAsia" w:ascii="Times New Roman Regular" w:hAnsi="Times New Roman Regular" w:eastAsia="仿宋_GB2312" w:cs="Times New Roman Regular"/>
          <w:color w:val="auto"/>
          <w:sz w:val="32"/>
          <w:szCs w:val="40"/>
          <w:highlight w:val="none"/>
          <w:lang w:val="en-US" w:eastAsia="zh-CN"/>
        </w:rPr>
        <w:t>及</w:t>
      </w:r>
      <w:r>
        <w:rPr>
          <w:rFonts w:hint="default" w:ascii="Times New Roman Regular" w:hAnsi="Times New Roman Regular" w:eastAsia="仿宋_GB2312" w:cs="Times New Roman Regular"/>
          <w:color w:val="auto"/>
          <w:sz w:val="32"/>
          <w:szCs w:val="40"/>
          <w:highlight w:val="none"/>
          <w:lang w:val="en-US" w:eastAsia="zh-CN"/>
        </w:rPr>
        <w:t>保洁服务未履行政府采购程序</w:t>
      </w:r>
      <w:r>
        <w:rPr>
          <w:rFonts w:hint="eastAsia" w:ascii="Times New Roman Regular" w:hAnsi="Times New Roman Regular" w:eastAsia="仿宋_GB2312" w:cs="Times New Roman Regular"/>
          <w:color w:val="auto"/>
          <w:sz w:val="32"/>
          <w:szCs w:val="40"/>
          <w:highlight w:val="none"/>
          <w:lang w:val="en-US" w:eastAsia="zh-CN"/>
        </w:rPr>
        <w:t>等情形。</w:t>
      </w:r>
    </w:p>
    <w:p w14:paraId="72EE509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项目产出，评价分值35</w:t>
      </w:r>
      <w:r>
        <w:rPr>
          <w:rFonts w:hint="default" w:ascii="Times New Roman Regular" w:hAnsi="Times New Roman Regular" w:eastAsia="仿宋_GB2312" w:cs="Times New Roman Regular"/>
          <w:color w:val="auto"/>
          <w:sz w:val="32"/>
          <w:szCs w:val="40"/>
          <w:highlight w:val="none"/>
          <w:lang w:val="en-US" w:eastAsia="zh-CN"/>
        </w:rPr>
        <w:t>分，得分</w:t>
      </w:r>
      <w:r>
        <w:rPr>
          <w:rFonts w:hint="eastAsia" w:ascii="Times New Roman Regular" w:hAnsi="Times New Roman Regular" w:eastAsia="仿宋_GB2312" w:cs="Times New Roman Regular"/>
          <w:color w:val="auto"/>
          <w:sz w:val="32"/>
          <w:szCs w:val="40"/>
          <w:highlight w:val="none"/>
          <w:lang w:val="en-US" w:eastAsia="zh-CN"/>
        </w:rPr>
        <w:t>35</w:t>
      </w:r>
      <w:r>
        <w:rPr>
          <w:rFonts w:hint="default" w:ascii="Times New Roman Regular" w:hAnsi="Times New Roman Regular" w:eastAsia="仿宋_GB2312" w:cs="Times New Roman Regular"/>
          <w:color w:val="auto"/>
          <w:sz w:val="32"/>
          <w:szCs w:val="40"/>
          <w:highlight w:val="none"/>
          <w:lang w:val="en-US" w:eastAsia="zh-CN"/>
        </w:rPr>
        <w:t>分。</w:t>
      </w:r>
      <w:r>
        <w:rPr>
          <w:rFonts w:hint="eastAsia" w:ascii="Times New Roman Regular" w:hAnsi="Times New Roman Regular" w:eastAsia="仿宋_GB2312" w:cs="Times New Roman Regular"/>
          <w:color w:val="auto"/>
          <w:sz w:val="32"/>
          <w:szCs w:val="40"/>
          <w:highlight w:val="none"/>
          <w:lang w:val="en-US" w:eastAsia="zh-CN"/>
        </w:rPr>
        <w:t>项目范围内设施设备维修及时，项目能够高效率高质量完成日常运行工作。项目对于安保、保洁等人工成本以及专项委托事项成本控制良好，符合市场行情</w:t>
      </w:r>
      <w:r>
        <w:rPr>
          <w:rFonts w:hint="default" w:ascii="Times New Roman Regular" w:hAnsi="Times New Roman Regular" w:eastAsia="仿宋_GB2312" w:cs="Times New Roman Regular"/>
          <w:color w:val="auto"/>
          <w:sz w:val="32"/>
          <w:szCs w:val="40"/>
          <w:highlight w:val="none"/>
          <w:lang w:val="en-US" w:eastAsia="zh-CN"/>
        </w:rPr>
        <w:t>。</w:t>
      </w:r>
    </w:p>
    <w:p w14:paraId="5D37A3F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项目效益，评价分值25</w:t>
      </w:r>
      <w:r>
        <w:rPr>
          <w:rFonts w:hint="default" w:ascii="Times New Roman Regular" w:hAnsi="Times New Roman Regular" w:eastAsia="仿宋_GB2312" w:cs="Times New Roman Regular"/>
          <w:color w:val="auto"/>
          <w:sz w:val="32"/>
          <w:szCs w:val="40"/>
          <w:highlight w:val="none"/>
          <w:lang w:val="en-US" w:eastAsia="zh-CN"/>
        </w:rPr>
        <w:t>分，评价得分</w:t>
      </w:r>
      <w:r>
        <w:rPr>
          <w:rFonts w:hint="eastAsia" w:ascii="Times New Roman Regular" w:hAnsi="Times New Roman Regular" w:eastAsia="仿宋_GB2312" w:cs="Times New Roman Regular"/>
          <w:color w:val="auto"/>
          <w:sz w:val="32"/>
          <w:szCs w:val="40"/>
          <w:highlight w:val="none"/>
          <w:lang w:val="en-US" w:eastAsia="zh-CN"/>
        </w:rPr>
        <w:t>25</w:t>
      </w:r>
      <w:r>
        <w:rPr>
          <w:rFonts w:hint="default" w:ascii="Times New Roman Regular" w:hAnsi="Times New Roman Regular" w:eastAsia="仿宋_GB2312" w:cs="Times New Roman Regular"/>
          <w:color w:val="auto"/>
          <w:sz w:val="32"/>
          <w:szCs w:val="40"/>
          <w:highlight w:val="none"/>
          <w:lang w:val="en-US" w:eastAsia="zh-CN"/>
        </w:rPr>
        <w:t>分。</w:t>
      </w:r>
      <w:r>
        <w:rPr>
          <w:rFonts w:hint="eastAsia" w:ascii="Times New Roman Regular" w:hAnsi="Times New Roman Regular" w:eastAsia="仿宋_GB2312" w:cs="Times New Roman Regular"/>
          <w:color w:val="auto"/>
          <w:sz w:val="32"/>
          <w:szCs w:val="40"/>
          <w:highlight w:val="none"/>
          <w:lang w:val="en-US" w:eastAsia="zh-CN"/>
        </w:rPr>
        <w:t>近年来，荣成博物馆积极开展宣讲、展览、纪念等活动，实现各年度客流量大幅上升，对地方文化发展产生积极影响。同时，各年度荣成博物馆陈列馆开展培训活动所获得的收入均超出绩效目标金额，取得了良好的经济效益。对</w:t>
      </w:r>
      <w:r>
        <w:rPr>
          <w:rFonts w:hint="default" w:ascii="Times New Roman Regular" w:hAnsi="Times New Roman Regular" w:eastAsia="仿宋_GB2312" w:cs="Times New Roman Regular"/>
          <w:color w:val="auto"/>
          <w:sz w:val="32"/>
          <w:szCs w:val="40"/>
          <w:highlight w:val="none"/>
          <w:lang w:val="en-US" w:eastAsia="zh-CN"/>
        </w:rPr>
        <w:t>博物馆游客</w:t>
      </w:r>
      <w:r>
        <w:rPr>
          <w:rFonts w:hint="eastAsia" w:ascii="Times New Roman Regular" w:hAnsi="Times New Roman Regular" w:eastAsia="仿宋_GB2312" w:cs="Times New Roman Regular"/>
          <w:color w:val="auto"/>
          <w:sz w:val="32"/>
          <w:szCs w:val="40"/>
          <w:highlight w:val="none"/>
          <w:lang w:val="en-US" w:eastAsia="zh-CN"/>
        </w:rPr>
        <w:t>进行</w:t>
      </w:r>
      <w:r>
        <w:rPr>
          <w:rFonts w:hint="default" w:ascii="Times New Roman Regular" w:hAnsi="Times New Roman Regular" w:eastAsia="仿宋_GB2312" w:cs="Times New Roman Regular"/>
          <w:color w:val="auto"/>
          <w:sz w:val="32"/>
          <w:szCs w:val="40"/>
          <w:highlight w:val="none"/>
          <w:lang w:val="en-US" w:eastAsia="zh-CN"/>
        </w:rPr>
        <w:t>满意</w:t>
      </w:r>
      <w:r>
        <w:rPr>
          <w:rFonts w:hint="eastAsia" w:ascii="Times New Roman Regular" w:hAnsi="Times New Roman Regular" w:eastAsia="仿宋_GB2312" w:cs="Times New Roman Regular"/>
          <w:color w:val="auto"/>
          <w:sz w:val="32"/>
          <w:szCs w:val="40"/>
          <w:highlight w:val="none"/>
          <w:lang w:val="en-US" w:eastAsia="zh-CN"/>
        </w:rPr>
        <w:t>度调查，群众反馈良好。</w:t>
      </w:r>
    </w:p>
    <w:p w14:paraId="3BD88A8B">
      <w:pPr>
        <w:keepNext/>
        <w:keepLines w:val="0"/>
        <w:pageBreakBefore w:val="0"/>
        <w:widowControl/>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黑体" w:cs="Times New Roman Regular"/>
          <w:color w:val="auto"/>
          <w:sz w:val="32"/>
          <w:szCs w:val="40"/>
          <w:highlight w:val="none"/>
          <w:lang w:val="en-US" w:eastAsia="zh-CN"/>
        </w:rPr>
      </w:pPr>
      <w:r>
        <w:rPr>
          <w:rFonts w:hint="default" w:ascii="Times New Roman Regular" w:hAnsi="Times New Roman Regular" w:eastAsia="黑体" w:cs="Times New Roman Regular"/>
          <w:color w:val="auto"/>
          <w:sz w:val="32"/>
          <w:szCs w:val="40"/>
          <w:highlight w:val="none"/>
          <w:lang w:val="en-US" w:eastAsia="zh-CN"/>
        </w:rPr>
        <w:t>四、存在问题</w:t>
      </w:r>
      <w:bookmarkEnd w:id="12"/>
      <w:bookmarkEnd w:id="13"/>
      <w:bookmarkEnd w:id="14"/>
    </w:p>
    <w:p w14:paraId="7C5B2B9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（一）绩效目标与指标管理不规范</w:t>
      </w:r>
    </w:p>
    <w:p w14:paraId="4AD99E0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荣成博物馆该年度预算费用申报及管理工作不到位，一是2022年度绩效目标仅陈列工作事项，未约定工作标准、要求及目标效果；二是绩效指标中，成本指标中未设置单项费用目标，无法衡量单项费用支出是否合理。</w:t>
      </w:r>
    </w:p>
    <w:p w14:paraId="566A708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（二）预算编制与资金到位存在问题</w:t>
      </w:r>
    </w:p>
    <w:p w14:paraId="5F364DB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资金到位率</w:t>
      </w:r>
      <w:r>
        <w:rPr>
          <w:rFonts w:hint="eastAsia" w:ascii="Times New Roman Regular" w:hAnsi="Times New Roman Regular" w:eastAsia="仿宋_GB2312" w:cs="Times New Roman Regular"/>
          <w:color w:val="auto"/>
          <w:sz w:val="32"/>
          <w:szCs w:val="40"/>
          <w:highlight w:val="none"/>
          <w:lang w:val="en-US" w:eastAsia="zh-CN"/>
        </w:rPr>
        <w:t>较低</w:t>
      </w:r>
      <w:r>
        <w:rPr>
          <w:rFonts w:hint="default" w:ascii="Times New Roman Regular" w:hAnsi="Times New Roman Regular" w:eastAsia="仿宋_GB2312" w:cs="Times New Roman Regular"/>
          <w:color w:val="auto"/>
          <w:sz w:val="32"/>
          <w:szCs w:val="40"/>
          <w:highlight w:val="none"/>
          <w:lang w:val="en-US" w:eastAsia="zh-CN"/>
        </w:rPr>
        <w:t>，资金落实情况未能有效保障项目实施需求。</w:t>
      </w:r>
    </w:p>
    <w:p w14:paraId="7D5BEC1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（三）采购管理不规范</w:t>
      </w:r>
    </w:p>
    <w:p w14:paraId="3552E23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采购环节存在多处不合规情况。一是采购方式违规，保安保洁工作属于政府集中采购目录范畴，却未履行政府采购程序，直接与第三方签订委托合同；二是采购计划备案缺失，各项委托服务未制定采购计划、未按时备案，缺乏采购计划的完整准确性；三是合同签订时效性不足，因未履行采购流程、无中标（成交）通知书环节，导致合同未按时签订，采购全流程规范性欠缺。</w:t>
      </w:r>
    </w:p>
    <w:p w14:paraId="6FDBDD9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黑体" w:cs="Times New Roman Regular"/>
          <w:color w:val="auto"/>
          <w:sz w:val="32"/>
          <w:szCs w:val="40"/>
          <w:highlight w:val="none"/>
          <w:lang w:val="en-US" w:eastAsia="zh-CN"/>
        </w:rPr>
      </w:pPr>
      <w:bookmarkStart w:id="15" w:name="_Toc4456"/>
      <w:bookmarkStart w:id="16" w:name="_Toc22656"/>
      <w:bookmarkStart w:id="17" w:name="_Toc236"/>
      <w:r>
        <w:rPr>
          <w:rFonts w:hint="default" w:ascii="Times New Roman Regular" w:hAnsi="Times New Roman Regular" w:eastAsia="黑体" w:cs="Times New Roman Regular"/>
          <w:color w:val="auto"/>
          <w:sz w:val="32"/>
          <w:szCs w:val="40"/>
          <w:highlight w:val="none"/>
          <w:lang w:val="en-US" w:eastAsia="zh-CN"/>
        </w:rPr>
        <w:t>五、有关建议</w:t>
      </w:r>
      <w:bookmarkEnd w:id="15"/>
      <w:bookmarkEnd w:id="16"/>
      <w:bookmarkEnd w:id="17"/>
    </w:p>
    <w:p w14:paraId="5B6DE8B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楷体_GB2312" w:cs="Times New Roman Regular"/>
          <w:color w:val="auto"/>
          <w:sz w:val="32"/>
          <w:szCs w:val="40"/>
          <w:highlight w:val="none"/>
          <w:lang w:val="en-US" w:eastAsia="zh-CN"/>
        </w:rPr>
      </w:pPr>
      <w:bookmarkStart w:id="18" w:name="_Toc11042"/>
      <w:r>
        <w:rPr>
          <w:rFonts w:hint="eastAsia" w:ascii="Times New Roman Regular" w:hAnsi="Times New Roman Regular" w:eastAsia="楷体_GB2312" w:cs="Times New Roman Regular"/>
          <w:color w:val="auto"/>
          <w:sz w:val="32"/>
          <w:szCs w:val="40"/>
          <w:highlight w:val="none"/>
          <w:lang w:val="en-US" w:eastAsia="zh-CN"/>
        </w:rPr>
        <w:t>（一）规范绩效目标与指标管理，提升目标导向性。</w:t>
      </w:r>
      <w:bookmarkEnd w:id="18"/>
    </w:p>
    <w:p w14:paraId="2DB5390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一是完善年度绩效目标设定，制定系统全面的目标，明确与项目关联度及预期成效；二是细化分解绩效指标，从多维度设定可衡量指标值，规避指标细化不足问题；三是建立审核机制，严格审核立项阶段绩效目标表，未通过审核需重新修订。</w:t>
      </w:r>
    </w:p>
    <w:p w14:paraId="1020129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楷体_GB2312" w:cs="Times New Roman Regular"/>
          <w:color w:val="auto"/>
          <w:sz w:val="32"/>
          <w:szCs w:val="40"/>
          <w:highlight w:val="none"/>
          <w:lang w:val="en-US" w:eastAsia="zh-CN"/>
        </w:rPr>
      </w:pPr>
      <w:bookmarkStart w:id="19" w:name="_Toc1236"/>
      <w:r>
        <w:rPr>
          <w:rFonts w:hint="eastAsia" w:ascii="Times New Roman Regular" w:hAnsi="Times New Roman Regular" w:eastAsia="楷体_GB2312" w:cs="Times New Roman Regular"/>
          <w:color w:val="auto"/>
          <w:sz w:val="32"/>
          <w:szCs w:val="40"/>
          <w:highlight w:val="none"/>
          <w:lang w:val="en-US" w:eastAsia="zh-CN"/>
        </w:rPr>
        <w:t>（二）强化预算编制与资金保障，避免资金拖欠。</w:t>
      </w:r>
      <w:bookmarkEnd w:id="19"/>
    </w:p>
    <w:p w14:paraId="526EB4F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建立资金到位跟踪机制，加强与财政部门沟通，及时解决资金到位滞后问题。</w:t>
      </w:r>
    </w:p>
    <w:p w14:paraId="7D96CBA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楷体_GB2312" w:cs="Times New Roman Regular"/>
          <w:color w:val="auto"/>
          <w:sz w:val="32"/>
          <w:szCs w:val="40"/>
          <w:highlight w:val="none"/>
          <w:lang w:val="en-US" w:eastAsia="zh-CN"/>
        </w:rPr>
      </w:pPr>
      <w:bookmarkStart w:id="20" w:name="_Toc9919"/>
      <w:r>
        <w:rPr>
          <w:rFonts w:hint="eastAsia" w:ascii="Times New Roman Regular" w:hAnsi="Times New Roman Regular" w:eastAsia="楷体_GB2312" w:cs="Times New Roman Regular"/>
          <w:color w:val="auto"/>
          <w:sz w:val="32"/>
          <w:szCs w:val="40"/>
          <w:highlight w:val="none"/>
          <w:lang w:val="en-US" w:eastAsia="zh-CN"/>
        </w:rPr>
        <w:t>（三）规范采购管理流程，提升采购合规性。</w:t>
      </w:r>
      <w:bookmarkEnd w:id="20"/>
    </w:p>
    <w:p w14:paraId="5029009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一是严格执行政府采购程序，按要求选择采购方式，杜绝违规行为；二是完善采购计划备案工作；三是保障合同签订时效性。</w:t>
      </w:r>
    </w:p>
    <w:p w14:paraId="7925676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Times New Roman Regular" w:hAnsi="Times New Roman Regular" w:eastAsia="楷体_GB2312" w:cs="Times New Roman Regular"/>
          <w:color w:val="auto"/>
          <w:sz w:val="32"/>
          <w:szCs w:val="40"/>
          <w:highlight w:val="none"/>
          <w:lang w:val="en-US" w:eastAsia="zh-CN"/>
        </w:rPr>
      </w:pPr>
      <w:bookmarkStart w:id="21" w:name="_Toc15842"/>
      <w:r>
        <w:rPr>
          <w:rFonts w:hint="eastAsia" w:ascii="Times New Roman Regular" w:hAnsi="Times New Roman Regular" w:eastAsia="楷体_GB2312" w:cs="Times New Roman Regular"/>
          <w:color w:val="auto"/>
          <w:sz w:val="32"/>
          <w:szCs w:val="40"/>
          <w:highlight w:val="none"/>
          <w:lang w:val="en-US" w:eastAsia="zh-CN"/>
        </w:rPr>
        <w:t>（四）加强活动成本控制，严防预算超支。</w:t>
      </w:r>
      <w:bookmarkEnd w:id="21"/>
    </w:p>
    <w:p w14:paraId="1ED7644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一是强化年度预算执行监控，定期对比实际支出与预算目标，跟踪重点费用；二是建立超支预警与审批机制，接近预算上限及时预警，超支需严格审批。</w:t>
      </w:r>
    </w:p>
    <w:p w14:paraId="3AF66C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sectPr>
          <w:footerReference r:id="rId5" w:type="default"/>
          <w:pgSz w:w="11906" w:h="16838"/>
          <w:pgMar w:top="1814" w:right="1417" w:bottom="1814" w:left="1474" w:header="851" w:footer="1134" w:gutter="0"/>
          <w:pgNumType w:fmt="upperRoman" w:start="1"/>
          <w:cols w:space="0" w:num="1"/>
          <w:rtlGutter w:val="0"/>
          <w:docGrid w:linePitch="312" w:charSpace="0"/>
        </w:sectPr>
      </w:pPr>
    </w:p>
    <w:p w14:paraId="25D0450A">
      <w:pPr>
        <w:pStyle w:val="11"/>
        <w:keepNext w:val="0"/>
        <w:keepLines w:val="0"/>
        <w:pageBreakBefore/>
        <w:widowControl w:val="0"/>
        <w:kinsoku/>
        <w:wordWrap/>
        <w:overflowPunct/>
        <w:topLinePunct w:val="0"/>
        <w:autoSpaceDE/>
        <w:autoSpaceDN/>
        <w:bidi w:val="0"/>
        <w:adjustRightInd w:val="0"/>
        <w:snapToGrid w:val="0"/>
        <w:spacing w:line="600" w:lineRule="exact"/>
        <w:ind w:left="0" w:leftChars="0" w:firstLine="0" w:firstLineChars="0"/>
        <w:jc w:val="center"/>
        <w:textAlignment w:val="auto"/>
        <w:outlineLvl w:val="9"/>
        <w:rPr>
          <w:rFonts w:hint="default" w:ascii="Times New Roman Regular" w:hAnsi="Times New Roman Regular" w:eastAsia="方正小标宋简体" w:cs="Times New Roman Regular"/>
          <w:color w:val="auto"/>
          <w:sz w:val="44"/>
          <w:szCs w:val="44"/>
          <w:highlight w:val="none"/>
          <w:lang w:val="en-US" w:eastAsia="zh-CN"/>
        </w:rPr>
      </w:pPr>
      <w:r>
        <w:rPr>
          <w:rFonts w:hint="default" w:ascii="Times New Roman Regular" w:hAnsi="Times New Roman Regular" w:eastAsia="方正小标宋简体" w:cs="Times New Roman Regular"/>
          <w:color w:val="auto"/>
          <w:sz w:val="44"/>
          <w:szCs w:val="44"/>
          <w:highlight w:val="none"/>
          <w:lang w:val="en-US" w:eastAsia="zh-CN"/>
        </w:rPr>
        <w:t>目  录</w:t>
      </w:r>
    </w:p>
    <w:p w14:paraId="69154BD6">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color w:val="auto"/>
          <w:sz w:val="32"/>
          <w:szCs w:val="32"/>
          <w:highlight w:val="none"/>
          <w:lang w:val="en-US" w:eastAsia="zh-CN"/>
        </w:rPr>
        <w:instrText xml:space="preserve">TOC \o "1-2" \h \u </w:instrText>
      </w:r>
      <w:r>
        <w:rPr>
          <w:rFonts w:hint="default" w:ascii="Times New Roman Regular" w:hAnsi="Times New Roman Regular" w:cs="Times New Roman Regular"/>
          <w:color w:val="auto"/>
          <w:sz w:val="32"/>
          <w:szCs w:val="32"/>
          <w:highlight w:val="none"/>
          <w:lang w:val="en-US" w:eastAsia="zh-CN"/>
        </w:rPr>
        <w:fldChar w:fldCharType="separate"/>
      </w: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_Toc28034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w:hAnsi="Times New Roman" w:eastAsia="黑体" w:cs="Times New Roman"/>
          <w:sz w:val="32"/>
          <w:szCs w:val="32"/>
          <w:highlight w:val="none"/>
          <w:lang w:val="en-US" w:eastAsia="zh-CN"/>
        </w:rPr>
        <w:t>一、项目基本情况</w:t>
      </w:r>
      <w:r>
        <w:rPr>
          <w:sz w:val="32"/>
          <w:szCs w:val="32"/>
        </w:rPr>
        <w:tab/>
      </w:r>
      <w:r>
        <w:rPr>
          <w:sz w:val="32"/>
          <w:szCs w:val="32"/>
        </w:rPr>
        <w:fldChar w:fldCharType="begin"/>
      </w:r>
      <w:r>
        <w:rPr>
          <w:sz w:val="32"/>
          <w:szCs w:val="32"/>
        </w:rPr>
        <w:instrText xml:space="preserve"> PAGEREF _Toc28034 \h </w:instrText>
      </w:r>
      <w:r>
        <w:rPr>
          <w:sz w:val="32"/>
          <w:szCs w:val="32"/>
        </w:rPr>
        <w:fldChar w:fldCharType="separate"/>
      </w:r>
      <w:r>
        <w:rPr>
          <w:sz w:val="32"/>
          <w:szCs w:val="32"/>
        </w:rPr>
        <w:t>1</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62D00265">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_Toc29313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（一）项目</w:t>
      </w:r>
      <w:r>
        <w:rPr>
          <w:rFonts w:hint="eastAsia" w:ascii="Times New Roman Regular" w:hAnsi="Times New Roman Regular" w:eastAsia="楷体_GB2312" w:cs="Times New Roman Regular"/>
          <w:sz w:val="32"/>
          <w:szCs w:val="32"/>
          <w:highlight w:val="none"/>
          <w:lang w:val="en-US" w:eastAsia="zh-CN"/>
        </w:rPr>
        <w:t>立项</w:t>
      </w:r>
      <w:r>
        <w:rPr>
          <w:sz w:val="32"/>
          <w:szCs w:val="32"/>
        </w:rPr>
        <w:tab/>
      </w:r>
      <w:r>
        <w:rPr>
          <w:sz w:val="32"/>
          <w:szCs w:val="32"/>
        </w:rPr>
        <w:fldChar w:fldCharType="begin"/>
      </w:r>
      <w:r>
        <w:rPr>
          <w:sz w:val="32"/>
          <w:szCs w:val="32"/>
        </w:rPr>
        <w:instrText xml:space="preserve"> PAGEREF _Toc29313 \h </w:instrText>
      </w:r>
      <w:r>
        <w:rPr>
          <w:sz w:val="32"/>
          <w:szCs w:val="32"/>
        </w:rPr>
        <w:fldChar w:fldCharType="separate"/>
      </w:r>
      <w:r>
        <w:rPr>
          <w:sz w:val="32"/>
          <w:szCs w:val="32"/>
        </w:rPr>
        <w:t>1</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59498E4A">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_Toc10464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Regular" w:hAnsi="Times New Roman Regular" w:eastAsia="楷体_GB2312" w:cs="Times New Roman Regular"/>
          <w:sz w:val="32"/>
          <w:szCs w:val="32"/>
          <w:highlight w:val="none"/>
          <w:lang w:val="en-US" w:eastAsia="zh-CN"/>
        </w:rPr>
        <w:t>（二）项目预算</w:t>
      </w:r>
      <w:r>
        <w:rPr>
          <w:sz w:val="32"/>
          <w:szCs w:val="32"/>
        </w:rPr>
        <w:tab/>
      </w:r>
      <w:r>
        <w:rPr>
          <w:sz w:val="32"/>
          <w:szCs w:val="32"/>
        </w:rPr>
        <w:fldChar w:fldCharType="begin"/>
      </w:r>
      <w:r>
        <w:rPr>
          <w:sz w:val="32"/>
          <w:szCs w:val="32"/>
        </w:rPr>
        <w:instrText xml:space="preserve"> PAGEREF _Toc10464 \h </w:instrText>
      </w:r>
      <w:r>
        <w:rPr>
          <w:sz w:val="32"/>
          <w:szCs w:val="32"/>
        </w:rPr>
        <w:fldChar w:fldCharType="separate"/>
      </w:r>
      <w:r>
        <w:rPr>
          <w:sz w:val="32"/>
          <w:szCs w:val="32"/>
        </w:rPr>
        <w:t>2</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09B77DC">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_Toc5660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Regular" w:hAnsi="Times New Roman Regular" w:eastAsia="楷体_GB2312" w:cs="Times New Roman Regular"/>
          <w:sz w:val="32"/>
          <w:szCs w:val="32"/>
          <w:highlight w:val="none"/>
          <w:lang w:val="en-US" w:eastAsia="zh-CN"/>
        </w:rPr>
        <w:t>（三）项目计划实施内容</w:t>
      </w:r>
      <w:r>
        <w:rPr>
          <w:sz w:val="32"/>
          <w:szCs w:val="32"/>
        </w:rPr>
        <w:tab/>
      </w:r>
      <w:r>
        <w:rPr>
          <w:sz w:val="32"/>
          <w:szCs w:val="32"/>
        </w:rPr>
        <w:fldChar w:fldCharType="begin"/>
      </w:r>
      <w:r>
        <w:rPr>
          <w:sz w:val="32"/>
          <w:szCs w:val="32"/>
        </w:rPr>
        <w:instrText xml:space="preserve"> PAGEREF _Toc5660 \h </w:instrText>
      </w:r>
      <w:r>
        <w:rPr>
          <w:sz w:val="32"/>
          <w:szCs w:val="32"/>
        </w:rPr>
        <w:fldChar w:fldCharType="separate"/>
      </w:r>
      <w:r>
        <w:rPr>
          <w:sz w:val="32"/>
          <w:szCs w:val="32"/>
        </w:rPr>
        <w:t>2</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7C5E749D">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_Toc15375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四</w:t>
      </w:r>
      <w:r>
        <w:rPr>
          <w:rFonts w:hint="default" w:ascii="Times New Roman Regular" w:hAnsi="Times New Roman Regular" w:eastAsia="楷体_GB2312" w:cs="Times New Roman Regular"/>
          <w:sz w:val="32"/>
          <w:szCs w:val="32"/>
          <w:highlight w:val="none"/>
          <w:lang w:val="en-US" w:eastAsia="zh-CN"/>
        </w:rPr>
        <w:t>）项目</w:t>
      </w:r>
      <w:r>
        <w:rPr>
          <w:rFonts w:hint="eastAsia" w:ascii="Times New Roman Regular" w:hAnsi="Times New Roman Regular" w:eastAsia="楷体_GB2312" w:cs="Times New Roman Regular"/>
          <w:sz w:val="32"/>
          <w:szCs w:val="32"/>
          <w:highlight w:val="none"/>
          <w:lang w:val="en-US" w:eastAsia="zh-CN"/>
        </w:rPr>
        <w:t>组织管理</w:t>
      </w:r>
      <w:r>
        <w:rPr>
          <w:sz w:val="32"/>
          <w:szCs w:val="32"/>
        </w:rPr>
        <w:tab/>
      </w:r>
      <w:r>
        <w:rPr>
          <w:sz w:val="32"/>
          <w:szCs w:val="32"/>
        </w:rPr>
        <w:fldChar w:fldCharType="begin"/>
      </w:r>
      <w:r>
        <w:rPr>
          <w:sz w:val="32"/>
          <w:szCs w:val="32"/>
        </w:rPr>
        <w:instrText xml:space="preserve"> PAGEREF _Toc15375 \h </w:instrText>
      </w:r>
      <w:r>
        <w:rPr>
          <w:sz w:val="32"/>
          <w:szCs w:val="32"/>
        </w:rPr>
        <w:fldChar w:fldCharType="separate"/>
      </w:r>
      <w:r>
        <w:rPr>
          <w:sz w:val="32"/>
          <w:szCs w:val="32"/>
        </w:rPr>
        <w:t>3</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1EF579AA">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_Toc25902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项目绩效目标</w:t>
      </w:r>
      <w:r>
        <w:rPr>
          <w:sz w:val="32"/>
          <w:szCs w:val="32"/>
        </w:rPr>
        <w:tab/>
      </w:r>
      <w:r>
        <w:rPr>
          <w:sz w:val="32"/>
          <w:szCs w:val="32"/>
        </w:rPr>
        <w:fldChar w:fldCharType="begin"/>
      </w:r>
      <w:r>
        <w:rPr>
          <w:sz w:val="32"/>
          <w:szCs w:val="32"/>
        </w:rPr>
        <w:instrText xml:space="preserve"> PAGEREF _Toc25902 \h </w:instrText>
      </w:r>
      <w:r>
        <w:rPr>
          <w:sz w:val="32"/>
          <w:szCs w:val="32"/>
        </w:rPr>
        <w:fldChar w:fldCharType="separate"/>
      </w:r>
      <w:r>
        <w:rPr>
          <w:sz w:val="32"/>
          <w:szCs w:val="32"/>
        </w:rPr>
        <w:t>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11D2DBD0">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_Toc11548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Regular" w:hAnsi="Times New Roman Regular" w:eastAsia="楷体_GB2312" w:cs="Times New Roman Regular"/>
          <w:sz w:val="32"/>
          <w:szCs w:val="32"/>
          <w:highlight w:val="none"/>
          <w:lang w:val="en-US" w:eastAsia="zh-CN"/>
        </w:rPr>
        <w:t>（一）</w:t>
      </w:r>
      <w:r>
        <w:rPr>
          <w:rFonts w:hint="default" w:ascii="Times New Roman Regular" w:hAnsi="Times New Roman Regular" w:eastAsia="楷体_GB2312" w:cs="Times New Roman Regular"/>
          <w:sz w:val="32"/>
          <w:szCs w:val="32"/>
          <w:highlight w:val="none"/>
          <w:lang w:val="en-US" w:eastAsia="zh-CN"/>
        </w:rPr>
        <w:t>总体目标</w:t>
      </w:r>
      <w:r>
        <w:rPr>
          <w:sz w:val="32"/>
          <w:szCs w:val="32"/>
        </w:rPr>
        <w:tab/>
      </w:r>
      <w:r>
        <w:rPr>
          <w:sz w:val="32"/>
          <w:szCs w:val="32"/>
        </w:rPr>
        <w:fldChar w:fldCharType="begin"/>
      </w:r>
      <w:r>
        <w:rPr>
          <w:sz w:val="32"/>
          <w:szCs w:val="32"/>
        </w:rPr>
        <w:instrText xml:space="preserve"> PAGEREF _Toc11548 \h </w:instrText>
      </w:r>
      <w:r>
        <w:rPr>
          <w:sz w:val="32"/>
          <w:szCs w:val="32"/>
        </w:rPr>
        <w:fldChar w:fldCharType="separate"/>
      </w:r>
      <w:r>
        <w:rPr>
          <w:sz w:val="32"/>
          <w:szCs w:val="32"/>
        </w:rPr>
        <w:t>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04E2DEE">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_Toc3812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Regular" w:hAnsi="Times New Roman Regular" w:eastAsia="楷体_GB2312" w:cs="Times New Roman Regular"/>
          <w:sz w:val="32"/>
          <w:szCs w:val="32"/>
          <w:highlight w:val="none"/>
          <w:lang w:val="en-US" w:eastAsia="zh-CN"/>
        </w:rPr>
        <w:t>（二）</w:t>
      </w:r>
      <w:r>
        <w:rPr>
          <w:rFonts w:hint="default" w:ascii="Times New Roman Regular" w:hAnsi="Times New Roman Regular" w:eastAsia="楷体_GB2312" w:cs="Times New Roman Regular"/>
          <w:sz w:val="32"/>
          <w:szCs w:val="32"/>
          <w:highlight w:val="none"/>
          <w:lang w:val="en-US" w:eastAsia="zh-CN"/>
        </w:rPr>
        <w:t>年度目标</w:t>
      </w:r>
      <w:r>
        <w:rPr>
          <w:sz w:val="32"/>
          <w:szCs w:val="32"/>
        </w:rPr>
        <w:tab/>
      </w:r>
      <w:r>
        <w:rPr>
          <w:sz w:val="32"/>
          <w:szCs w:val="32"/>
        </w:rPr>
        <w:fldChar w:fldCharType="begin"/>
      </w:r>
      <w:r>
        <w:rPr>
          <w:sz w:val="32"/>
          <w:szCs w:val="32"/>
        </w:rPr>
        <w:instrText xml:space="preserve"> PAGEREF _Toc3812 \h </w:instrText>
      </w:r>
      <w:r>
        <w:rPr>
          <w:sz w:val="32"/>
          <w:szCs w:val="32"/>
        </w:rPr>
        <w:fldChar w:fldCharType="separate"/>
      </w:r>
      <w:r>
        <w:rPr>
          <w:sz w:val="32"/>
          <w:szCs w:val="32"/>
        </w:rPr>
        <w:t>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2EC313F1">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_Toc29320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w:t>
      </w:r>
      <w:r>
        <w:rPr>
          <w:rFonts w:hint="eastAsia" w:ascii="Times New Roman" w:hAnsi="Times New Roman" w:eastAsia="黑体" w:cs="Times New Roman"/>
          <w:sz w:val="32"/>
          <w:szCs w:val="32"/>
          <w:highlight w:val="none"/>
          <w:lang w:val="en-US" w:eastAsia="zh-CN"/>
        </w:rPr>
        <w:t>评价基本情况</w:t>
      </w:r>
      <w:r>
        <w:rPr>
          <w:sz w:val="32"/>
          <w:szCs w:val="32"/>
        </w:rPr>
        <w:tab/>
      </w:r>
      <w:r>
        <w:rPr>
          <w:sz w:val="32"/>
          <w:szCs w:val="32"/>
        </w:rPr>
        <w:fldChar w:fldCharType="begin"/>
      </w:r>
      <w:r>
        <w:rPr>
          <w:sz w:val="32"/>
          <w:szCs w:val="32"/>
        </w:rPr>
        <w:instrText xml:space="preserve"> PAGEREF _Toc29320 \h </w:instrText>
      </w:r>
      <w:r>
        <w:rPr>
          <w:sz w:val="32"/>
          <w:szCs w:val="32"/>
        </w:rPr>
        <w:fldChar w:fldCharType="separate"/>
      </w:r>
      <w:r>
        <w:rPr>
          <w:sz w:val="32"/>
          <w:szCs w:val="32"/>
        </w:rPr>
        <w:t>8</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86189FB">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_Toc19355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（一）评价目的、评价对象和范围</w:t>
      </w:r>
      <w:r>
        <w:rPr>
          <w:sz w:val="32"/>
          <w:szCs w:val="32"/>
        </w:rPr>
        <w:tab/>
      </w:r>
      <w:r>
        <w:rPr>
          <w:sz w:val="32"/>
          <w:szCs w:val="32"/>
        </w:rPr>
        <w:fldChar w:fldCharType="begin"/>
      </w:r>
      <w:r>
        <w:rPr>
          <w:sz w:val="32"/>
          <w:szCs w:val="32"/>
        </w:rPr>
        <w:instrText xml:space="preserve"> PAGEREF _Toc19355 \h </w:instrText>
      </w:r>
      <w:r>
        <w:rPr>
          <w:sz w:val="32"/>
          <w:szCs w:val="32"/>
        </w:rPr>
        <w:fldChar w:fldCharType="separate"/>
      </w:r>
      <w:r>
        <w:rPr>
          <w:sz w:val="32"/>
          <w:szCs w:val="32"/>
        </w:rPr>
        <w:t>8</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4B953A14">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_Toc6036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二</w:t>
      </w:r>
      <w:r>
        <w:rPr>
          <w:rFonts w:hint="default" w:ascii="Times New Roman Regular" w:hAnsi="Times New Roman Regular" w:eastAsia="楷体_GB2312" w:cs="Times New Roman Regular"/>
          <w:sz w:val="32"/>
          <w:szCs w:val="32"/>
          <w:highlight w:val="none"/>
          <w:lang w:val="en-US" w:eastAsia="zh-CN"/>
        </w:rPr>
        <w:t>）评价对象和范围</w:t>
      </w:r>
      <w:r>
        <w:rPr>
          <w:sz w:val="32"/>
          <w:szCs w:val="32"/>
        </w:rPr>
        <w:tab/>
      </w:r>
      <w:r>
        <w:rPr>
          <w:sz w:val="32"/>
          <w:szCs w:val="32"/>
        </w:rPr>
        <w:fldChar w:fldCharType="begin"/>
      </w:r>
      <w:r>
        <w:rPr>
          <w:sz w:val="32"/>
          <w:szCs w:val="32"/>
        </w:rPr>
        <w:instrText xml:space="preserve"> PAGEREF _Toc6036 \h </w:instrText>
      </w:r>
      <w:r>
        <w:rPr>
          <w:sz w:val="32"/>
          <w:szCs w:val="32"/>
        </w:rPr>
        <w:fldChar w:fldCharType="separate"/>
      </w:r>
      <w:r>
        <w:rPr>
          <w:sz w:val="32"/>
          <w:szCs w:val="32"/>
        </w:rPr>
        <w:t>8</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21F132AE">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_Toc17535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Regular" w:hAnsi="Times New Roman Regular" w:eastAsia="楷体_GB2312" w:cs="Times New Roman Regular"/>
          <w:sz w:val="32"/>
          <w:szCs w:val="32"/>
          <w:highlight w:val="none"/>
          <w:lang w:val="en-US" w:eastAsia="zh-CN"/>
        </w:rPr>
        <w:t>（三）评价依据</w:t>
      </w:r>
      <w:r>
        <w:rPr>
          <w:sz w:val="32"/>
          <w:szCs w:val="32"/>
        </w:rPr>
        <w:tab/>
      </w:r>
      <w:r>
        <w:rPr>
          <w:sz w:val="32"/>
          <w:szCs w:val="32"/>
        </w:rPr>
        <w:fldChar w:fldCharType="begin"/>
      </w:r>
      <w:r>
        <w:rPr>
          <w:sz w:val="32"/>
          <w:szCs w:val="32"/>
        </w:rPr>
        <w:instrText xml:space="preserve"> PAGEREF _Toc17535 \h </w:instrText>
      </w:r>
      <w:r>
        <w:rPr>
          <w:sz w:val="32"/>
          <w:szCs w:val="32"/>
        </w:rPr>
        <w:fldChar w:fldCharType="separate"/>
      </w:r>
      <w:r>
        <w:rPr>
          <w:sz w:val="32"/>
          <w:szCs w:val="32"/>
        </w:rPr>
        <w:t>8</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44BE332B">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_Toc2025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四</w:t>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评价原则、评价方法</w:t>
      </w:r>
      <w:r>
        <w:rPr>
          <w:sz w:val="32"/>
          <w:szCs w:val="32"/>
        </w:rPr>
        <w:tab/>
      </w:r>
      <w:r>
        <w:rPr>
          <w:sz w:val="32"/>
          <w:szCs w:val="32"/>
        </w:rPr>
        <w:fldChar w:fldCharType="begin"/>
      </w:r>
      <w:r>
        <w:rPr>
          <w:sz w:val="32"/>
          <w:szCs w:val="32"/>
        </w:rPr>
        <w:instrText xml:space="preserve"> PAGEREF _Toc2025 \h </w:instrText>
      </w:r>
      <w:r>
        <w:rPr>
          <w:sz w:val="32"/>
          <w:szCs w:val="32"/>
        </w:rPr>
        <w:fldChar w:fldCharType="separate"/>
      </w:r>
      <w:r>
        <w:rPr>
          <w:sz w:val="32"/>
          <w:szCs w:val="32"/>
        </w:rPr>
        <w:t>11</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EAA2F23">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_Toc10526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五</w:t>
      </w:r>
      <w:r>
        <w:rPr>
          <w:rFonts w:hint="default" w:ascii="Times New Roman Regular" w:hAnsi="Times New Roman Regular" w:eastAsia="楷体_GB2312" w:cs="Times New Roman Regular"/>
          <w:sz w:val="32"/>
          <w:szCs w:val="32"/>
          <w:highlight w:val="none"/>
          <w:lang w:val="en-US" w:eastAsia="zh-CN"/>
        </w:rPr>
        <w:t>）评价重点、评价指标体系和评价标准</w:t>
      </w:r>
      <w:r>
        <w:rPr>
          <w:sz w:val="32"/>
          <w:szCs w:val="32"/>
        </w:rPr>
        <w:tab/>
      </w:r>
      <w:r>
        <w:rPr>
          <w:sz w:val="32"/>
          <w:szCs w:val="32"/>
        </w:rPr>
        <w:fldChar w:fldCharType="begin"/>
      </w:r>
      <w:r>
        <w:rPr>
          <w:sz w:val="32"/>
          <w:szCs w:val="32"/>
        </w:rPr>
        <w:instrText xml:space="preserve"> PAGEREF _Toc10526 \h </w:instrText>
      </w:r>
      <w:r>
        <w:rPr>
          <w:sz w:val="32"/>
          <w:szCs w:val="32"/>
        </w:rPr>
        <w:fldChar w:fldCharType="separate"/>
      </w:r>
      <w:r>
        <w:rPr>
          <w:sz w:val="32"/>
          <w:szCs w:val="32"/>
        </w:rPr>
        <w:t>12</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9765CF5">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_Toc25941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六</w:t>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评价人员组成</w:t>
      </w:r>
      <w:r>
        <w:rPr>
          <w:sz w:val="32"/>
          <w:szCs w:val="32"/>
        </w:rPr>
        <w:tab/>
      </w:r>
      <w:r>
        <w:rPr>
          <w:sz w:val="32"/>
          <w:szCs w:val="32"/>
        </w:rPr>
        <w:fldChar w:fldCharType="begin"/>
      </w:r>
      <w:r>
        <w:rPr>
          <w:sz w:val="32"/>
          <w:szCs w:val="32"/>
        </w:rPr>
        <w:instrText xml:space="preserve"> PAGEREF _Toc25941 \h </w:instrText>
      </w:r>
      <w:r>
        <w:rPr>
          <w:sz w:val="32"/>
          <w:szCs w:val="32"/>
        </w:rPr>
        <w:fldChar w:fldCharType="separate"/>
      </w:r>
      <w:r>
        <w:rPr>
          <w:sz w:val="32"/>
          <w:szCs w:val="32"/>
        </w:rPr>
        <w:t>13</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6C4AF627">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_Toc27289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七</w:t>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绩效评价工作过程</w:t>
      </w:r>
      <w:r>
        <w:rPr>
          <w:sz w:val="32"/>
          <w:szCs w:val="32"/>
        </w:rPr>
        <w:tab/>
      </w:r>
      <w:r>
        <w:rPr>
          <w:sz w:val="32"/>
          <w:szCs w:val="32"/>
        </w:rPr>
        <w:fldChar w:fldCharType="begin"/>
      </w:r>
      <w:r>
        <w:rPr>
          <w:sz w:val="32"/>
          <w:szCs w:val="32"/>
        </w:rPr>
        <w:instrText xml:space="preserve"> PAGEREF _Toc27289 \h </w:instrText>
      </w:r>
      <w:r>
        <w:rPr>
          <w:sz w:val="32"/>
          <w:szCs w:val="32"/>
        </w:rPr>
        <w:fldChar w:fldCharType="separate"/>
      </w:r>
      <w:r>
        <w:rPr>
          <w:sz w:val="32"/>
          <w:szCs w:val="32"/>
        </w:rPr>
        <w:t>14</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761AC889">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_Toc8387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w:t>
      </w:r>
      <w:r>
        <w:rPr>
          <w:rFonts w:hint="eastAsia" w:ascii="Times New Roman Regular" w:hAnsi="Times New Roman Regular" w:eastAsia="楷体_GB2312" w:cs="Times New Roman Regular"/>
          <w:sz w:val="32"/>
          <w:szCs w:val="32"/>
          <w:highlight w:val="none"/>
          <w:lang w:val="en-US" w:eastAsia="zh-CN"/>
        </w:rPr>
        <w:t>八</w:t>
      </w:r>
      <w:r>
        <w:rPr>
          <w:rFonts w:hint="default" w:ascii="Times New Roman Regular" w:hAnsi="Times New Roman Regular" w:eastAsia="楷体_GB2312" w:cs="Times New Roman Regular"/>
          <w:sz w:val="32"/>
          <w:szCs w:val="32"/>
          <w:highlight w:val="none"/>
          <w:lang w:val="en-US" w:eastAsia="zh-CN"/>
        </w:rPr>
        <w:t>）评价局限性</w:t>
      </w:r>
      <w:r>
        <w:rPr>
          <w:sz w:val="32"/>
          <w:szCs w:val="32"/>
        </w:rPr>
        <w:tab/>
      </w:r>
      <w:r>
        <w:rPr>
          <w:sz w:val="32"/>
          <w:szCs w:val="32"/>
        </w:rPr>
        <w:fldChar w:fldCharType="begin"/>
      </w:r>
      <w:r>
        <w:rPr>
          <w:sz w:val="32"/>
          <w:szCs w:val="32"/>
        </w:rPr>
        <w:instrText xml:space="preserve"> PAGEREF _Toc8387 \h </w:instrText>
      </w:r>
      <w:r>
        <w:rPr>
          <w:sz w:val="32"/>
          <w:szCs w:val="32"/>
        </w:rPr>
        <w:fldChar w:fldCharType="separate"/>
      </w:r>
      <w:r>
        <w:rPr>
          <w:sz w:val="32"/>
          <w:szCs w:val="32"/>
        </w:rPr>
        <w:t>15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566C8193">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_Toc4440 </w:instrText>
      </w:r>
      <w:r>
        <w:rPr>
          <w:rFonts w:hint="default" w:ascii="Times New Roman Regular" w:hAnsi="Times New Roman Regular" w:cs="Times New Roman Regular"/>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、评价结论及</w:t>
      </w:r>
      <w:r>
        <w:rPr>
          <w:rFonts w:hint="eastAsia" w:ascii="Times New Roman" w:hAnsi="Times New Roman" w:eastAsia="黑体" w:cs="Times New Roman"/>
          <w:sz w:val="32"/>
          <w:szCs w:val="32"/>
          <w:highlight w:val="none"/>
          <w:lang w:val="en-US" w:eastAsia="zh-CN"/>
        </w:rPr>
        <w:t>指标</w:t>
      </w:r>
      <w:r>
        <w:rPr>
          <w:rFonts w:hint="default" w:ascii="Times New Roman" w:hAnsi="Times New Roman" w:eastAsia="黑体" w:cs="Times New Roman"/>
          <w:sz w:val="32"/>
          <w:szCs w:val="32"/>
          <w:highlight w:val="none"/>
          <w:lang w:val="en-US" w:eastAsia="zh-CN"/>
        </w:rPr>
        <w:t>分析</w:t>
      </w:r>
      <w:r>
        <w:rPr>
          <w:sz w:val="32"/>
          <w:szCs w:val="32"/>
        </w:rPr>
        <w:tab/>
      </w:r>
      <w:r>
        <w:rPr>
          <w:sz w:val="32"/>
          <w:szCs w:val="32"/>
        </w:rPr>
        <w:fldChar w:fldCharType="begin"/>
      </w:r>
      <w:r>
        <w:rPr>
          <w:sz w:val="32"/>
          <w:szCs w:val="32"/>
        </w:rPr>
        <w:instrText xml:space="preserve"> PAGEREF _Toc4440 \h </w:instrText>
      </w:r>
      <w:r>
        <w:rPr>
          <w:sz w:val="32"/>
          <w:szCs w:val="32"/>
        </w:rPr>
        <w:fldChar w:fldCharType="separate"/>
      </w:r>
      <w:r>
        <w:rPr>
          <w:sz w:val="32"/>
          <w:szCs w:val="32"/>
        </w:rPr>
        <w:t>15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4591495">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_Toc6032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（一）综合评价结论</w:t>
      </w:r>
      <w:r>
        <w:rPr>
          <w:sz w:val="32"/>
          <w:szCs w:val="32"/>
        </w:rPr>
        <w:tab/>
      </w:r>
      <w:r>
        <w:rPr>
          <w:sz w:val="32"/>
          <w:szCs w:val="32"/>
        </w:rPr>
        <w:fldChar w:fldCharType="begin"/>
      </w:r>
      <w:r>
        <w:rPr>
          <w:sz w:val="32"/>
          <w:szCs w:val="32"/>
        </w:rPr>
        <w:instrText xml:space="preserve"> PAGEREF _Toc6032 \h </w:instrText>
      </w:r>
      <w:r>
        <w:rPr>
          <w:sz w:val="32"/>
          <w:szCs w:val="32"/>
        </w:rPr>
        <w:fldChar w:fldCharType="separate"/>
      </w:r>
      <w:r>
        <w:rPr>
          <w:sz w:val="32"/>
          <w:szCs w:val="32"/>
        </w:rPr>
        <w:t>15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7D640650">
      <w:pPr>
        <w:pStyle w:val="9"/>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_Toc2416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楷体_GB2312" w:cs="Times New Roman Regular"/>
          <w:sz w:val="32"/>
          <w:szCs w:val="32"/>
          <w:highlight w:val="none"/>
          <w:lang w:val="en-US" w:eastAsia="zh-CN"/>
        </w:rPr>
        <w:t>（二）指标分析</w:t>
      </w:r>
      <w:r>
        <w:rPr>
          <w:sz w:val="32"/>
          <w:szCs w:val="32"/>
        </w:rPr>
        <w:tab/>
      </w:r>
      <w:r>
        <w:rPr>
          <w:sz w:val="32"/>
          <w:szCs w:val="32"/>
        </w:rPr>
        <w:fldChar w:fldCharType="begin"/>
      </w:r>
      <w:r>
        <w:rPr>
          <w:sz w:val="32"/>
          <w:szCs w:val="32"/>
        </w:rPr>
        <w:instrText xml:space="preserve"> PAGEREF _Toc2416 \h </w:instrText>
      </w:r>
      <w:r>
        <w:rPr>
          <w:sz w:val="32"/>
          <w:szCs w:val="32"/>
        </w:rPr>
        <w:fldChar w:fldCharType="separate"/>
      </w:r>
      <w:r>
        <w:rPr>
          <w:sz w:val="32"/>
          <w:szCs w:val="32"/>
        </w:rPr>
        <w:t>15</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0243DBBB">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_Toc16620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w:hAnsi="Times New Roman" w:eastAsia="黑体" w:cs="Times New Roman"/>
          <w:sz w:val="32"/>
          <w:szCs w:val="32"/>
          <w:highlight w:val="none"/>
          <w:lang w:val="en-US" w:eastAsia="zh-CN"/>
        </w:rPr>
        <w:t>五、</w:t>
      </w:r>
      <w:r>
        <w:rPr>
          <w:rFonts w:hint="eastAsia" w:ascii="Times New Roman" w:hAnsi="Times New Roman" w:eastAsia="黑体" w:cs="Times New Roman"/>
          <w:sz w:val="32"/>
          <w:szCs w:val="32"/>
          <w:highlight w:val="none"/>
          <w:lang w:val="en-US" w:eastAsia="zh-CN"/>
        </w:rPr>
        <w:t>存在</w:t>
      </w:r>
      <w:r>
        <w:rPr>
          <w:rFonts w:hint="default" w:ascii="Times New Roman" w:hAnsi="Times New Roman" w:eastAsia="黑体" w:cs="Times New Roman"/>
          <w:sz w:val="32"/>
          <w:szCs w:val="32"/>
          <w:highlight w:val="none"/>
          <w:lang w:val="en-US" w:eastAsia="zh-CN"/>
        </w:rPr>
        <w:t>的问题及原因分析</w:t>
      </w:r>
      <w:r>
        <w:rPr>
          <w:sz w:val="32"/>
          <w:szCs w:val="32"/>
        </w:rPr>
        <w:tab/>
      </w:r>
      <w:r>
        <w:rPr>
          <w:sz w:val="32"/>
          <w:szCs w:val="32"/>
        </w:rPr>
        <w:fldChar w:fldCharType="begin"/>
      </w:r>
      <w:r>
        <w:rPr>
          <w:sz w:val="32"/>
          <w:szCs w:val="32"/>
        </w:rPr>
        <w:instrText xml:space="preserve"> PAGEREF _Toc16620 \h </w:instrText>
      </w:r>
      <w:r>
        <w:rPr>
          <w:sz w:val="32"/>
          <w:szCs w:val="32"/>
        </w:rPr>
        <w:fldChar w:fldCharType="separate"/>
      </w:r>
      <w:r>
        <w:rPr>
          <w:sz w:val="32"/>
          <w:szCs w:val="32"/>
        </w:rPr>
        <w:t>18</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584C46C9">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_Toc25366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w:hAnsi="Times New Roman" w:eastAsia="黑体" w:cs="Times New Roman"/>
          <w:sz w:val="32"/>
          <w:szCs w:val="32"/>
          <w:highlight w:val="none"/>
          <w:lang w:val="en-US" w:eastAsia="zh-CN"/>
        </w:rPr>
        <w:t>六、</w:t>
      </w:r>
      <w:r>
        <w:rPr>
          <w:rFonts w:hint="eastAsia" w:ascii="Times New Roman" w:hAnsi="Times New Roman" w:eastAsia="黑体" w:cs="Times New Roman"/>
          <w:sz w:val="32"/>
          <w:szCs w:val="32"/>
          <w:highlight w:val="none"/>
          <w:lang w:val="en-US" w:eastAsia="zh-CN"/>
        </w:rPr>
        <w:t>意见</w:t>
      </w:r>
      <w:r>
        <w:rPr>
          <w:rFonts w:hint="default" w:ascii="Times New Roman" w:hAnsi="Times New Roman" w:eastAsia="黑体" w:cs="Times New Roman"/>
          <w:sz w:val="32"/>
          <w:szCs w:val="32"/>
          <w:highlight w:val="none"/>
          <w:lang w:val="en-US" w:eastAsia="zh-CN"/>
        </w:rPr>
        <w:t>建议</w:t>
      </w:r>
      <w:r>
        <w:rPr>
          <w:sz w:val="32"/>
          <w:szCs w:val="32"/>
        </w:rPr>
        <w:tab/>
      </w:r>
      <w:r>
        <w:rPr>
          <w:sz w:val="32"/>
          <w:szCs w:val="32"/>
        </w:rPr>
        <w:fldChar w:fldCharType="begin"/>
      </w:r>
      <w:r>
        <w:rPr>
          <w:sz w:val="32"/>
          <w:szCs w:val="32"/>
        </w:rPr>
        <w:instrText xml:space="preserve"> PAGEREF _Toc25366 \h </w:instrText>
      </w:r>
      <w:r>
        <w:rPr>
          <w:sz w:val="32"/>
          <w:szCs w:val="32"/>
        </w:rPr>
        <w:fldChar w:fldCharType="separate"/>
      </w:r>
      <w:r>
        <w:rPr>
          <w:sz w:val="32"/>
          <w:szCs w:val="32"/>
        </w:rPr>
        <w:t>20</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2E056174">
      <w:pPr>
        <w:pStyle w:val="8"/>
        <w:keepNext w:val="0"/>
        <w:keepLines w:val="0"/>
        <w:widowControl w:val="0"/>
        <w:tabs>
          <w:tab w:val="right" w:leader="dot" w:pos="9015"/>
          <w:tab w:val="clear" w:pos="8504"/>
        </w:tabs>
        <w:kinsoku/>
        <w:wordWrap/>
        <w:overflowPunct/>
        <w:topLinePunct w:val="0"/>
        <w:autoSpaceDE/>
        <w:autoSpaceDN/>
        <w:bidi w:val="0"/>
        <w:snapToGrid w:val="0"/>
        <w:spacing w:line="600" w:lineRule="exact"/>
        <w:textAlignment w:val="auto"/>
        <w:rPr>
          <w:sz w:val="32"/>
          <w:szCs w:val="32"/>
        </w:rPr>
      </w:pPr>
      <w:r>
        <w:rPr>
          <w:rFonts w:hint="default" w:ascii="Times New Roman Regular" w:hAnsi="Times New Roman Regular" w:cs="Times New Roman Regular"/>
          <w:color w:val="auto"/>
          <w:sz w:val="32"/>
          <w:szCs w:val="32"/>
          <w:highlight w:val="none"/>
          <w:lang w:val="en-US" w:eastAsia="zh-CN"/>
        </w:rPr>
        <w:fldChar w:fldCharType="begin"/>
      </w:r>
      <w:r>
        <w:rPr>
          <w:rFonts w:hint="default" w:ascii="Times New Roman Regular" w:hAnsi="Times New Roman Regular" w:cs="Times New Roman Regular"/>
          <w:sz w:val="32"/>
          <w:szCs w:val="32"/>
          <w:highlight w:val="none"/>
          <w:lang w:val="en-US" w:eastAsia="zh-CN"/>
        </w:rPr>
        <w:instrText xml:space="preserve"> HYPERLINK \l _Toc4845 </w:instrText>
      </w:r>
      <w:r>
        <w:rPr>
          <w:rFonts w:hint="default" w:ascii="Times New Roman Regular" w:hAnsi="Times New Roman Regular" w:cs="Times New Roman Regular"/>
          <w:sz w:val="32"/>
          <w:szCs w:val="32"/>
          <w:highlight w:val="none"/>
          <w:lang w:val="en-US" w:eastAsia="zh-CN"/>
        </w:rPr>
        <w:fldChar w:fldCharType="separate"/>
      </w:r>
      <w:r>
        <w:rPr>
          <w:rFonts w:hint="default" w:ascii="Times New Roman Regular" w:hAnsi="Times New Roman Regular" w:eastAsia="黑体" w:cs="Times New Roman Regular"/>
          <w:sz w:val="32"/>
          <w:szCs w:val="32"/>
          <w:highlight w:val="none"/>
          <w:lang w:val="en-US" w:eastAsia="zh-CN"/>
        </w:rPr>
        <w:t>附</w:t>
      </w:r>
      <w:r>
        <w:rPr>
          <w:rFonts w:hint="eastAsia" w:ascii="Times New Roman Regular" w:hAnsi="Times New Roman Regular" w:eastAsia="黑体" w:cs="Times New Roman Regular"/>
          <w:sz w:val="32"/>
          <w:szCs w:val="32"/>
          <w:highlight w:val="none"/>
          <w:lang w:val="en-US" w:eastAsia="zh-CN"/>
        </w:rPr>
        <w:t xml:space="preserve">  </w:t>
      </w:r>
      <w:r>
        <w:rPr>
          <w:rFonts w:hint="default" w:ascii="Times New Roman Regular" w:hAnsi="Times New Roman Regular" w:eastAsia="黑体" w:cs="Times New Roman Regular"/>
          <w:sz w:val="32"/>
          <w:szCs w:val="32"/>
          <w:highlight w:val="none"/>
          <w:lang w:val="en-US" w:eastAsia="zh-CN"/>
        </w:rPr>
        <w:t>件</w:t>
      </w:r>
      <w:r>
        <w:rPr>
          <w:sz w:val="32"/>
          <w:szCs w:val="32"/>
        </w:rPr>
        <w:tab/>
      </w:r>
      <w:r>
        <w:rPr>
          <w:sz w:val="32"/>
          <w:szCs w:val="32"/>
        </w:rPr>
        <w:fldChar w:fldCharType="begin"/>
      </w:r>
      <w:r>
        <w:rPr>
          <w:sz w:val="32"/>
          <w:szCs w:val="32"/>
        </w:rPr>
        <w:instrText xml:space="preserve"> PAGEREF _Toc4845 \h </w:instrText>
      </w:r>
      <w:r>
        <w:rPr>
          <w:sz w:val="32"/>
          <w:szCs w:val="32"/>
        </w:rPr>
        <w:fldChar w:fldCharType="separate"/>
      </w:r>
      <w:r>
        <w:rPr>
          <w:sz w:val="32"/>
          <w:szCs w:val="32"/>
        </w:rPr>
        <w:t>23</w:t>
      </w:r>
      <w:r>
        <w:rPr>
          <w:sz w:val="32"/>
          <w:szCs w:val="32"/>
        </w:rPr>
        <w:fldChar w:fldCharType="end"/>
      </w:r>
      <w:r>
        <w:rPr>
          <w:rFonts w:hint="default" w:ascii="Times New Roman Regular" w:hAnsi="Times New Roman Regular" w:cs="Times New Roman Regular"/>
          <w:color w:val="auto"/>
          <w:sz w:val="32"/>
          <w:szCs w:val="32"/>
          <w:highlight w:val="none"/>
          <w:lang w:val="en-US" w:eastAsia="zh-CN"/>
        </w:rPr>
        <w:fldChar w:fldCharType="end"/>
      </w:r>
    </w:p>
    <w:p w14:paraId="79DE6197">
      <w:pPr>
        <w:pStyle w:val="8"/>
        <w:keepNext w:val="0"/>
        <w:keepLines w:val="0"/>
        <w:pageBreakBefore w:val="0"/>
        <w:widowControl w:val="0"/>
        <w:tabs>
          <w:tab w:val="right" w:leader="dot" w:pos="9015"/>
          <w:tab w:val="clear" w:pos="8504"/>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color w:val="auto"/>
          <w:sz w:val="32"/>
          <w:szCs w:val="32"/>
          <w:highlight w:val="none"/>
          <w:lang w:val="en-US" w:eastAsia="zh-CN"/>
        </w:rPr>
        <w:fldChar w:fldCharType="begin"/>
      </w:r>
      <w:r>
        <w:rPr>
          <w:rFonts w:hint="default" w:ascii="Times New Roman" w:hAnsi="Times New Roman" w:eastAsia="楷体_GB2312" w:cs="Times New Roman"/>
          <w:sz w:val="32"/>
          <w:szCs w:val="32"/>
          <w:highlight w:val="none"/>
          <w:lang w:val="en-US" w:eastAsia="zh-CN"/>
        </w:rPr>
        <w:instrText xml:space="preserve"> HYPERLINK \l _Toc12248 </w:instrText>
      </w:r>
      <w:r>
        <w:rPr>
          <w:rFonts w:hint="default" w:ascii="Times New Roman" w:hAnsi="Times New Roman" w:eastAsia="楷体_GB2312" w:cs="Times New Roman"/>
          <w:sz w:val="32"/>
          <w:szCs w:val="32"/>
          <w:highlight w:val="none"/>
          <w:lang w:val="en-US" w:eastAsia="zh-CN"/>
        </w:rPr>
        <w:fldChar w:fldCharType="separate"/>
      </w:r>
      <w:r>
        <w:rPr>
          <w:rFonts w:hint="default" w:ascii="Times New Roman" w:hAnsi="Times New Roman" w:eastAsia="楷体_GB2312" w:cs="Times New Roman"/>
          <w:sz w:val="32"/>
          <w:szCs w:val="32"/>
          <w:highlight w:val="none"/>
          <w:lang w:val="en-US" w:eastAsia="zh-CN"/>
        </w:rPr>
        <w:t>附件1：绩效评价指标体系</w:t>
      </w:r>
      <w:r>
        <w:rPr>
          <w:rFonts w:hint="default" w:ascii="Times New Roman" w:hAnsi="Times New Roman" w:eastAsia="楷体_GB2312" w:cs="Times New Roman"/>
          <w:sz w:val="32"/>
          <w:szCs w:val="32"/>
        </w:rPr>
        <w:tab/>
      </w: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PAGEREF _Toc12248 \h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24</w:t>
      </w:r>
      <w:r>
        <w:rPr>
          <w:rFonts w:hint="default" w:ascii="Times New Roman" w:hAnsi="Times New Roman" w:eastAsia="楷体_GB2312" w:cs="Times New Roman"/>
          <w:sz w:val="32"/>
          <w:szCs w:val="32"/>
        </w:rPr>
        <w:fldChar w:fldCharType="end"/>
      </w:r>
      <w:r>
        <w:rPr>
          <w:rFonts w:hint="default" w:ascii="Times New Roman" w:hAnsi="Times New Roman" w:eastAsia="楷体_GB2312" w:cs="Times New Roman"/>
          <w:color w:val="auto"/>
          <w:sz w:val="32"/>
          <w:szCs w:val="32"/>
          <w:highlight w:val="none"/>
          <w:lang w:val="en-US" w:eastAsia="zh-CN"/>
        </w:rPr>
        <w:fldChar w:fldCharType="end"/>
      </w:r>
    </w:p>
    <w:p w14:paraId="30D3D46B">
      <w:pPr>
        <w:pStyle w:val="8"/>
        <w:keepNext w:val="0"/>
        <w:keepLines w:val="0"/>
        <w:pageBreakBefore w:val="0"/>
        <w:widowControl w:val="0"/>
        <w:tabs>
          <w:tab w:val="right" w:leader="dot" w:pos="9015"/>
          <w:tab w:val="clear" w:pos="8504"/>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color w:val="auto"/>
          <w:sz w:val="32"/>
          <w:szCs w:val="32"/>
          <w:highlight w:val="none"/>
          <w:lang w:val="en-US" w:eastAsia="zh-CN"/>
        </w:rPr>
        <w:fldChar w:fldCharType="begin"/>
      </w:r>
      <w:r>
        <w:rPr>
          <w:rFonts w:hint="default" w:ascii="Times New Roman" w:hAnsi="Times New Roman" w:eastAsia="楷体_GB2312" w:cs="Times New Roman"/>
          <w:sz w:val="32"/>
          <w:szCs w:val="32"/>
          <w:highlight w:val="none"/>
          <w:lang w:val="en-US" w:eastAsia="zh-CN"/>
        </w:rPr>
        <w:instrText xml:space="preserve"> HYPERLINK \l _Toc17780 </w:instrText>
      </w:r>
      <w:r>
        <w:rPr>
          <w:rFonts w:hint="default" w:ascii="Times New Roman" w:hAnsi="Times New Roman" w:eastAsia="楷体_GB2312" w:cs="Times New Roman"/>
          <w:sz w:val="32"/>
          <w:szCs w:val="32"/>
          <w:highlight w:val="none"/>
          <w:lang w:val="en-US" w:eastAsia="zh-CN"/>
        </w:rPr>
        <w:fldChar w:fldCharType="separate"/>
      </w:r>
      <w:r>
        <w:rPr>
          <w:rFonts w:hint="default" w:ascii="Times New Roman" w:hAnsi="Times New Roman" w:eastAsia="楷体_GB2312" w:cs="Times New Roman"/>
          <w:sz w:val="32"/>
          <w:szCs w:val="32"/>
          <w:highlight w:val="none"/>
          <w:lang w:val="en-US" w:eastAsia="zh-CN"/>
        </w:rPr>
        <w:t>附件2：绩效评价得分表</w:t>
      </w:r>
      <w:r>
        <w:rPr>
          <w:rFonts w:hint="default" w:ascii="Times New Roman" w:hAnsi="Times New Roman" w:eastAsia="楷体_GB2312" w:cs="Times New Roman"/>
          <w:sz w:val="32"/>
          <w:szCs w:val="32"/>
        </w:rPr>
        <w:tab/>
      </w: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PAGEREF _Toc17780 \h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31</w:t>
      </w:r>
      <w:r>
        <w:rPr>
          <w:rFonts w:hint="default" w:ascii="Times New Roman" w:hAnsi="Times New Roman" w:eastAsia="楷体_GB2312" w:cs="Times New Roman"/>
          <w:sz w:val="32"/>
          <w:szCs w:val="32"/>
        </w:rPr>
        <w:fldChar w:fldCharType="end"/>
      </w:r>
      <w:r>
        <w:rPr>
          <w:rFonts w:hint="default" w:ascii="Times New Roman" w:hAnsi="Times New Roman" w:eastAsia="楷体_GB2312" w:cs="Times New Roman"/>
          <w:color w:val="auto"/>
          <w:sz w:val="32"/>
          <w:szCs w:val="32"/>
          <w:highlight w:val="none"/>
          <w:lang w:val="en-US" w:eastAsia="zh-CN"/>
        </w:rPr>
        <w:fldChar w:fldCharType="end"/>
      </w:r>
    </w:p>
    <w:p w14:paraId="02F332B2">
      <w:pPr>
        <w:pStyle w:val="8"/>
        <w:keepNext w:val="0"/>
        <w:keepLines w:val="0"/>
        <w:pageBreakBefore w:val="0"/>
        <w:widowControl w:val="0"/>
        <w:tabs>
          <w:tab w:val="right" w:leader="dot" w:pos="9015"/>
          <w:tab w:val="clear" w:pos="8504"/>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color w:val="auto"/>
          <w:sz w:val="32"/>
          <w:szCs w:val="32"/>
          <w:highlight w:val="none"/>
          <w:lang w:val="en-US" w:eastAsia="zh-CN"/>
        </w:rPr>
        <w:fldChar w:fldCharType="begin"/>
      </w:r>
      <w:r>
        <w:rPr>
          <w:rFonts w:hint="default" w:ascii="Times New Roman" w:hAnsi="Times New Roman" w:eastAsia="楷体_GB2312" w:cs="Times New Roman"/>
          <w:sz w:val="32"/>
          <w:szCs w:val="32"/>
          <w:highlight w:val="none"/>
          <w:lang w:val="en-US" w:eastAsia="zh-CN"/>
        </w:rPr>
        <w:instrText xml:space="preserve"> HYPERLINK \l _Toc10869 </w:instrText>
      </w:r>
      <w:r>
        <w:rPr>
          <w:rFonts w:hint="default" w:ascii="Times New Roman" w:hAnsi="Times New Roman" w:eastAsia="楷体_GB2312" w:cs="Times New Roman"/>
          <w:sz w:val="32"/>
          <w:szCs w:val="32"/>
          <w:highlight w:val="none"/>
          <w:lang w:val="en-US" w:eastAsia="zh-CN"/>
        </w:rPr>
        <w:fldChar w:fldCharType="separate"/>
      </w:r>
      <w:r>
        <w:rPr>
          <w:rFonts w:hint="default" w:ascii="Times New Roman" w:hAnsi="Times New Roman" w:eastAsia="楷体_GB2312" w:cs="Times New Roman"/>
          <w:sz w:val="32"/>
          <w:szCs w:val="32"/>
          <w:highlight w:val="none"/>
          <w:lang w:val="en-US" w:eastAsia="zh-CN"/>
        </w:rPr>
        <w:t>附件3：调查问卷情况</w:t>
      </w:r>
      <w:r>
        <w:rPr>
          <w:rFonts w:hint="default" w:ascii="Times New Roman" w:hAnsi="Times New Roman" w:eastAsia="楷体_GB2312" w:cs="Times New Roman"/>
          <w:sz w:val="32"/>
          <w:szCs w:val="32"/>
        </w:rPr>
        <w:tab/>
      </w: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PAGEREF _Toc10869 \h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47</w:t>
      </w:r>
      <w:r>
        <w:rPr>
          <w:rFonts w:hint="default" w:ascii="Times New Roman" w:hAnsi="Times New Roman" w:eastAsia="楷体_GB2312" w:cs="Times New Roman"/>
          <w:sz w:val="32"/>
          <w:szCs w:val="32"/>
        </w:rPr>
        <w:fldChar w:fldCharType="end"/>
      </w:r>
      <w:r>
        <w:rPr>
          <w:rFonts w:hint="default" w:ascii="Times New Roman" w:hAnsi="Times New Roman" w:eastAsia="楷体_GB2312" w:cs="Times New Roman"/>
          <w:color w:val="auto"/>
          <w:sz w:val="32"/>
          <w:szCs w:val="32"/>
          <w:highlight w:val="none"/>
          <w:lang w:val="en-US" w:eastAsia="zh-CN"/>
        </w:rPr>
        <w:fldChar w:fldCharType="end"/>
      </w:r>
    </w:p>
    <w:p w14:paraId="40AB6ABE">
      <w:pPr>
        <w:pStyle w:val="8"/>
        <w:keepNext w:val="0"/>
        <w:keepLines w:val="0"/>
        <w:pageBreakBefore w:val="0"/>
        <w:widowControl w:val="0"/>
        <w:tabs>
          <w:tab w:val="right" w:leader="dot" w:pos="9015"/>
          <w:tab w:val="clear" w:pos="8504"/>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color w:val="auto"/>
          <w:sz w:val="32"/>
          <w:szCs w:val="32"/>
          <w:highlight w:val="none"/>
          <w:lang w:val="en-US" w:eastAsia="zh-CN"/>
        </w:rPr>
        <w:fldChar w:fldCharType="begin"/>
      </w:r>
      <w:r>
        <w:rPr>
          <w:rFonts w:hint="default" w:ascii="Times New Roman" w:hAnsi="Times New Roman" w:eastAsia="楷体_GB2312" w:cs="Times New Roman"/>
          <w:sz w:val="32"/>
          <w:szCs w:val="32"/>
          <w:highlight w:val="none"/>
          <w:lang w:val="en-US" w:eastAsia="zh-CN"/>
        </w:rPr>
        <w:instrText xml:space="preserve"> HYPERLINK \l _Toc2337 </w:instrText>
      </w:r>
      <w:r>
        <w:rPr>
          <w:rFonts w:hint="default" w:ascii="Times New Roman" w:hAnsi="Times New Roman" w:eastAsia="楷体_GB2312" w:cs="Times New Roman"/>
          <w:sz w:val="32"/>
          <w:szCs w:val="32"/>
          <w:highlight w:val="none"/>
          <w:lang w:val="en-US" w:eastAsia="zh-CN"/>
        </w:rPr>
        <w:fldChar w:fldCharType="separate"/>
      </w:r>
      <w:r>
        <w:rPr>
          <w:rFonts w:hint="default" w:ascii="Times New Roman" w:hAnsi="Times New Roman" w:eastAsia="楷体_GB2312" w:cs="Times New Roman"/>
          <w:sz w:val="32"/>
          <w:szCs w:val="32"/>
          <w:highlight w:val="none"/>
          <w:lang w:val="en-US" w:eastAsia="zh-CN"/>
        </w:rPr>
        <w:t>附件4：调研情况</w:t>
      </w:r>
      <w:r>
        <w:rPr>
          <w:rFonts w:hint="default" w:ascii="Times New Roman" w:hAnsi="Times New Roman" w:eastAsia="楷体_GB2312" w:cs="Times New Roman"/>
          <w:sz w:val="32"/>
          <w:szCs w:val="32"/>
        </w:rPr>
        <w:tab/>
      </w: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PAGEREF _Toc2337 \h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53</w:t>
      </w:r>
      <w:r>
        <w:rPr>
          <w:rFonts w:hint="default" w:ascii="Times New Roman" w:hAnsi="Times New Roman" w:eastAsia="楷体_GB2312" w:cs="Times New Roman"/>
          <w:sz w:val="32"/>
          <w:szCs w:val="32"/>
        </w:rPr>
        <w:fldChar w:fldCharType="end"/>
      </w:r>
      <w:r>
        <w:rPr>
          <w:rFonts w:hint="default" w:ascii="Times New Roman" w:hAnsi="Times New Roman" w:eastAsia="楷体_GB2312" w:cs="Times New Roman"/>
          <w:color w:val="auto"/>
          <w:sz w:val="32"/>
          <w:szCs w:val="32"/>
          <w:highlight w:val="none"/>
          <w:lang w:val="en-US" w:eastAsia="zh-CN"/>
        </w:rPr>
        <w:fldChar w:fldCharType="end"/>
      </w:r>
    </w:p>
    <w:p w14:paraId="0376BA2D">
      <w:pPr>
        <w:pStyle w:val="9"/>
        <w:keepNext w:val="0"/>
        <w:keepLines w:val="0"/>
        <w:widowControl w:val="0"/>
        <w:kinsoku/>
        <w:wordWrap/>
        <w:overflowPunct/>
        <w:topLinePunct w:val="0"/>
        <w:autoSpaceDE/>
        <w:autoSpaceDN/>
        <w:bidi w:val="0"/>
        <w:snapToGrid w:val="0"/>
        <w:spacing w:line="600" w:lineRule="exact"/>
        <w:textAlignment w:val="auto"/>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sz w:val="32"/>
          <w:szCs w:val="32"/>
          <w:highlight w:val="none"/>
          <w:lang w:val="en-US" w:eastAsia="zh-CN"/>
        </w:rPr>
        <w:fldChar w:fldCharType="end"/>
      </w:r>
    </w:p>
    <w:p w14:paraId="7D64E6F3">
      <w:pPr>
        <w:spacing w:line="360" w:lineRule="auto"/>
        <w:rPr>
          <w:rFonts w:hint="default" w:ascii="Times New Roman Regular" w:hAnsi="Times New Roman Regular" w:cs="Times New Roman Regular"/>
          <w:color w:val="auto"/>
          <w:highlight w:val="none"/>
          <w:lang w:val="en-US" w:eastAsia="zh-CN"/>
        </w:rPr>
        <w:sectPr>
          <w:headerReference r:id="rId6" w:type="default"/>
          <w:footerReference r:id="rId7" w:type="default"/>
          <w:pgSz w:w="11906" w:h="16838"/>
          <w:pgMar w:top="1814" w:right="1417" w:bottom="1814" w:left="1474" w:header="851" w:footer="1134" w:gutter="0"/>
          <w:pgNumType w:fmt="decimal" w:start="1"/>
          <w:cols w:space="0" w:num="1"/>
          <w:rtlGutter w:val="0"/>
          <w:docGrid w:linePitch="312" w:charSpace="0"/>
        </w:sectPr>
      </w:pPr>
    </w:p>
    <w:p w14:paraId="2921058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Times New Roman Regular" w:hAnsi="Times New Roman Regular" w:eastAsia="方正小标宋简体" w:cs="Times New Roman Regular"/>
          <w:color w:val="auto"/>
          <w:sz w:val="44"/>
          <w:szCs w:val="44"/>
          <w:highlight w:val="none"/>
          <w:lang w:val="en-US" w:eastAsia="zh-CN"/>
        </w:rPr>
      </w:pPr>
      <w:bookmarkStart w:id="22" w:name="_Toc1135768681"/>
      <w:r>
        <w:rPr>
          <w:rFonts w:hint="eastAsia" w:ascii="Times New Roman Regular" w:hAnsi="Times New Roman Regular" w:eastAsia="方正小标宋简体" w:cs="Times New Roman Regular"/>
          <w:color w:val="auto"/>
          <w:sz w:val="44"/>
          <w:szCs w:val="44"/>
          <w:highlight w:val="none"/>
          <w:lang w:val="en-US" w:eastAsia="zh-CN"/>
        </w:rPr>
        <w:t>荣成博物馆运转经费项目</w:t>
      </w:r>
    </w:p>
    <w:p w14:paraId="21F2C3A7">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default" w:ascii="Times New Roman Regular" w:hAnsi="Times New Roman Regular" w:eastAsia="方正小标宋简体" w:cs="Times New Roman Regular"/>
          <w:color w:val="auto"/>
          <w:sz w:val="44"/>
          <w:szCs w:val="44"/>
          <w:highlight w:val="none"/>
          <w:lang w:val="en-US" w:eastAsia="zh-CN"/>
        </w:rPr>
      </w:pPr>
      <w:r>
        <w:rPr>
          <w:rFonts w:hint="default" w:ascii="Times New Roman Regular" w:hAnsi="Times New Roman Regular" w:eastAsia="方正小标宋简体" w:cs="Times New Roman Regular"/>
          <w:color w:val="auto"/>
          <w:sz w:val="44"/>
          <w:szCs w:val="44"/>
          <w:highlight w:val="none"/>
          <w:lang w:val="en-US" w:eastAsia="zh-CN"/>
        </w:rPr>
        <w:t>支出绩效评价报告</w:t>
      </w:r>
      <w:bookmarkEnd w:id="22"/>
    </w:p>
    <w:p w14:paraId="4258589B">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default" w:ascii="Times New Roman Regular" w:hAnsi="Times New Roman Regular" w:eastAsia="方正小标宋简体" w:cs="Times New Roman Regular"/>
          <w:color w:val="auto"/>
          <w:sz w:val="44"/>
          <w:szCs w:val="44"/>
          <w:highlight w:val="none"/>
          <w:lang w:val="en-US" w:eastAsia="zh-CN"/>
        </w:rPr>
      </w:pPr>
    </w:p>
    <w:p w14:paraId="318B8A1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23" w:name="_Toc1916828221"/>
      <w:bookmarkStart w:id="24" w:name="_Toc28034"/>
      <w:r>
        <w:rPr>
          <w:rFonts w:hint="default" w:ascii="Times New Roman" w:hAnsi="Times New Roman" w:eastAsia="黑体" w:cs="Times New Roman"/>
          <w:sz w:val="32"/>
          <w:szCs w:val="32"/>
          <w:highlight w:val="none"/>
          <w:lang w:val="en-US" w:eastAsia="zh-CN"/>
        </w:rPr>
        <w:t>一、项目基本情况</w:t>
      </w:r>
      <w:bookmarkEnd w:id="23"/>
      <w:bookmarkEnd w:id="24"/>
    </w:p>
    <w:p w14:paraId="518CDE1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25" w:name="_Toc1729721700"/>
      <w:bookmarkStart w:id="26" w:name="_Toc29313"/>
      <w:r>
        <w:rPr>
          <w:rFonts w:hint="default" w:ascii="Times New Roman Regular" w:hAnsi="Times New Roman Regular" w:eastAsia="楷体_GB2312" w:cs="Times New Roman Regular"/>
          <w:color w:val="auto"/>
          <w:sz w:val="32"/>
          <w:szCs w:val="40"/>
          <w:highlight w:val="none"/>
          <w:lang w:val="en-US" w:eastAsia="zh-CN"/>
        </w:rPr>
        <w:t>（一）项目</w:t>
      </w:r>
      <w:bookmarkEnd w:id="25"/>
      <w:r>
        <w:rPr>
          <w:rFonts w:hint="eastAsia" w:ascii="Times New Roman Regular" w:hAnsi="Times New Roman Regular" w:eastAsia="楷体_GB2312" w:cs="Times New Roman Regular"/>
          <w:color w:val="auto"/>
          <w:sz w:val="32"/>
          <w:szCs w:val="40"/>
          <w:highlight w:val="none"/>
          <w:lang w:val="en-US" w:eastAsia="zh-CN"/>
        </w:rPr>
        <w:t>立项</w:t>
      </w:r>
      <w:bookmarkEnd w:id="26"/>
    </w:p>
    <w:p w14:paraId="6567B64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bookmarkStart w:id="27" w:name="_Hlk62650774"/>
      <w:r>
        <w:rPr>
          <w:rFonts w:hint="default" w:ascii="Times New Roman Regular" w:hAnsi="Times New Roman Regular" w:eastAsia="仿宋_GB2312" w:cs="Times New Roman Regular"/>
          <w:color w:val="auto"/>
          <w:sz w:val="32"/>
          <w:szCs w:val="40"/>
          <w:highlight w:val="none"/>
          <w:lang w:val="en-US" w:eastAsia="zh-CN"/>
        </w:rPr>
        <w:t>根据中共中央宣传部、财政部、文化部、国家文物局联合印发的《关于全国博物馆、纪念馆免费开放的通知》（中宣发〔2008〕2号），明确全国各级文化文物部门归口管理的公共博物馆、纪念馆，全国爱国主义教育示范基地全部免费开放，并要求各级财政部门应将博物馆、纪念馆免费开放相关经费纳入财政预算，切实予以保障。</w:t>
      </w:r>
    </w:p>
    <w:p w14:paraId="63FC7AA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荣成博物馆建于2000年5月，2001年12月正式开馆，总建筑面积2.8万平方米，展览面积1.2万平方米，是以展示荣成海洋历史文化、红色文化、当代发展成就为主的大型综合性博物馆，集陈列展览、文物保护、科研教育、游览服务四大功能为一体，拥有各类藏品1.5万件套，是荣成市的标志性文化建筑。荣成博物馆</w:t>
      </w:r>
      <w:r>
        <w:rPr>
          <w:rFonts w:hint="eastAsia" w:ascii="Times New Roman Regular" w:hAnsi="Times New Roman Regular" w:eastAsia="仿宋_GB2312" w:cs="Times New Roman Regular"/>
          <w:color w:val="auto"/>
          <w:sz w:val="32"/>
          <w:szCs w:val="40"/>
          <w:highlight w:val="none"/>
          <w:lang w:val="en-US" w:eastAsia="zh-CN"/>
        </w:rPr>
        <w:t>内设</w:t>
      </w:r>
      <w:r>
        <w:rPr>
          <w:rFonts w:hint="default" w:ascii="Times New Roman Regular" w:hAnsi="Times New Roman Regular" w:eastAsia="仿宋_GB2312" w:cs="Times New Roman Regular"/>
          <w:color w:val="auto"/>
          <w:sz w:val="32"/>
          <w:szCs w:val="40"/>
          <w:highlight w:val="none"/>
          <w:lang w:val="en-US" w:eastAsia="zh-CN"/>
        </w:rPr>
        <w:t>荣成市郭永怀事迹陈列馆，为市文化和旅游局所属正科级公益一类事业单位，属于免费开放博物馆范畴，运转经费由荣成市财政通过一般公共预算资金提供。</w:t>
      </w:r>
    </w:p>
    <w:p w14:paraId="33C3FCA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结合中共荣成市委、荣成市人民政府《关于全面推进预算绩效管理的实施意见》（荣发〔2020〕4号）要求：选择部分资金规模大、社会关注度高的政策和项目开展重点评价，特选定荣成博物馆运转经费项目开展支出绩效评价工作，评价结果作为后续预算资源配置、管理改进的重要参考。</w:t>
      </w:r>
    </w:p>
    <w:bookmarkEnd w:id="27"/>
    <w:p w14:paraId="34B56AA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eastAsia" w:ascii="Times New Roman Regular" w:hAnsi="Times New Roman Regular" w:eastAsia="楷体_GB2312" w:cs="Times New Roman Regular"/>
          <w:color w:val="auto"/>
          <w:sz w:val="32"/>
          <w:szCs w:val="40"/>
          <w:highlight w:val="none"/>
          <w:lang w:val="en-US" w:eastAsia="zh-CN"/>
        </w:rPr>
      </w:pPr>
      <w:bookmarkStart w:id="28" w:name="_Toc10464"/>
      <w:r>
        <w:rPr>
          <w:rFonts w:hint="eastAsia" w:ascii="Times New Roman Regular" w:hAnsi="Times New Roman Regular" w:eastAsia="楷体_GB2312" w:cs="Times New Roman Regular"/>
          <w:color w:val="auto"/>
          <w:sz w:val="32"/>
          <w:szCs w:val="40"/>
          <w:highlight w:val="none"/>
          <w:lang w:val="en-US" w:eastAsia="zh-CN"/>
        </w:rPr>
        <w:t>（二）项目预算</w:t>
      </w:r>
      <w:bookmarkEnd w:id="28"/>
    </w:p>
    <w:p w14:paraId="38DF1BC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荣成博物馆根据历史年度运营支出成本数据，结合博物馆预算编制管理标准，编制年度预算。</w:t>
      </w:r>
      <w:r>
        <w:rPr>
          <w:rFonts w:hint="default" w:ascii="Times New Roman Regular" w:hAnsi="Times New Roman Regular" w:eastAsia="仿宋_GB2312" w:cs="Times New Roman Regular"/>
          <w:color w:val="auto"/>
          <w:sz w:val="32"/>
          <w:szCs w:val="40"/>
          <w:highlight w:val="none"/>
          <w:lang w:val="en-US" w:eastAsia="zh-CN"/>
        </w:rPr>
        <w:t>本项目预算资金</w:t>
      </w:r>
      <w:r>
        <w:rPr>
          <w:rFonts w:hint="eastAsia" w:ascii="Times New Roman Regular" w:hAnsi="Times New Roman Regular" w:eastAsia="仿宋_GB2312" w:cs="Times New Roman Regular"/>
          <w:color w:val="auto"/>
          <w:sz w:val="32"/>
          <w:szCs w:val="40"/>
          <w:highlight w:val="none"/>
          <w:lang w:val="en-US" w:eastAsia="zh-CN"/>
        </w:rPr>
        <w:t>来源为财政拨款，各年度预算未变更调整，2022—2024年度预算安排、资金拨付</w:t>
      </w:r>
      <w:r>
        <w:rPr>
          <w:rFonts w:hint="default" w:ascii="Times New Roman Regular" w:hAnsi="Times New Roman Regular" w:eastAsia="仿宋_GB2312" w:cs="Times New Roman Regular"/>
          <w:color w:val="auto"/>
          <w:sz w:val="32"/>
          <w:szCs w:val="40"/>
          <w:highlight w:val="none"/>
          <w:lang w:val="en-US" w:eastAsia="zh-CN"/>
        </w:rPr>
        <w:t>具体情况如下表。</w:t>
      </w:r>
    </w:p>
    <w:p w14:paraId="664F97E5">
      <w:pPr>
        <w:keepNext w:val="0"/>
        <w:keepLines w:val="0"/>
        <w:pageBreakBefore w:val="0"/>
        <w:widowControl w:val="0"/>
        <w:kinsoku/>
        <w:wordWrap/>
        <w:overflowPunct/>
        <w:topLinePunct w:val="0"/>
        <w:autoSpaceDE/>
        <w:autoSpaceDN/>
        <w:bidi w:val="0"/>
        <w:adjustRightInd/>
        <w:snapToGrid w:val="0"/>
        <w:spacing w:line="600" w:lineRule="exact"/>
        <w:ind w:left="-1" w:leftChars="0" w:firstLine="0" w:firstLineChars="0"/>
        <w:jc w:val="center"/>
        <w:textAlignment w:val="auto"/>
        <w:rPr>
          <w:rFonts w:hint="default" w:ascii="Times New Roman" w:hAnsi="Times New Roman" w:eastAsia="仿宋_GB2312" w:cs="Times New Roman"/>
          <w:b/>
          <w:bCs/>
          <w:iCs/>
          <w:color w:val="auto"/>
          <w:kern w:val="0"/>
          <w:sz w:val="28"/>
          <w:szCs w:val="28"/>
          <w:highlight w:val="none"/>
          <w:lang w:val="en-US" w:eastAsia="zh-CN"/>
        </w:rPr>
      </w:pPr>
      <w:r>
        <w:rPr>
          <w:rFonts w:hint="default" w:ascii="Times New Roman" w:hAnsi="Times New Roman" w:eastAsia="仿宋_GB2312" w:cs="Times New Roman"/>
          <w:b/>
          <w:bCs/>
          <w:iCs/>
          <w:color w:val="auto"/>
          <w:kern w:val="0"/>
          <w:sz w:val="28"/>
          <w:szCs w:val="28"/>
          <w:highlight w:val="none"/>
          <w:lang w:val="en-US" w:eastAsia="zh-CN"/>
        </w:rPr>
        <w:t>表1—1 项目资金情况表</w:t>
      </w:r>
    </w:p>
    <w:tbl>
      <w:tblPr>
        <w:tblStyle w:val="13"/>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33"/>
        <w:gridCol w:w="3691"/>
        <w:gridCol w:w="3408"/>
      </w:tblGrid>
      <w:tr w14:paraId="6C0F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1070" w:type="pct"/>
            <w:vAlign w:val="center"/>
          </w:tcPr>
          <w:p w14:paraId="0A94DDE5">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b/>
                <w:bCs/>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b/>
                <w:bCs/>
                <w:iCs/>
                <w:color w:val="auto"/>
                <w:kern w:val="0"/>
                <w:sz w:val="28"/>
                <w:szCs w:val="28"/>
                <w:highlight w:val="none"/>
                <w:vertAlign w:val="baseline"/>
                <w:lang w:val="en-US" w:eastAsia="zh-CN"/>
              </w:rPr>
              <w:t>预算年度</w:t>
            </w:r>
          </w:p>
        </w:tc>
        <w:tc>
          <w:tcPr>
            <w:tcW w:w="2043" w:type="pct"/>
            <w:vAlign w:val="center"/>
          </w:tcPr>
          <w:p w14:paraId="04F50F65">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b/>
                <w:bCs/>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b/>
                <w:bCs/>
                <w:iCs/>
                <w:color w:val="auto"/>
                <w:kern w:val="0"/>
                <w:sz w:val="28"/>
                <w:szCs w:val="28"/>
                <w:highlight w:val="none"/>
                <w:vertAlign w:val="baseline"/>
                <w:lang w:val="en-US" w:eastAsia="zh-CN"/>
              </w:rPr>
              <w:t>预算批复金额（万元）</w:t>
            </w:r>
          </w:p>
        </w:tc>
        <w:tc>
          <w:tcPr>
            <w:tcW w:w="1886" w:type="pct"/>
            <w:vAlign w:val="center"/>
          </w:tcPr>
          <w:p w14:paraId="7228D375">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b/>
                <w:bCs/>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b/>
                <w:bCs/>
                <w:iCs/>
                <w:color w:val="auto"/>
                <w:kern w:val="0"/>
                <w:sz w:val="28"/>
                <w:szCs w:val="28"/>
                <w:highlight w:val="none"/>
                <w:vertAlign w:val="baseline"/>
                <w:lang w:val="en-US" w:eastAsia="zh-CN"/>
              </w:rPr>
              <w:t>预算到位金额（万元）</w:t>
            </w:r>
          </w:p>
        </w:tc>
      </w:tr>
      <w:tr w14:paraId="3D83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pct"/>
            <w:vAlign w:val="center"/>
          </w:tcPr>
          <w:p w14:paraId="429904FB">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2022年</w:t>
            </w:r>
          </w:p>
        </w:tc>
        <w:tc>
          <w:tcPr>
            <w:tcW w:w="2043" w:type="pct"/>
            <w:vAlign w:val="center"/>
          </w:tcPr>
          <w:p w14:paraId="16FBC9E7">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252.00</w:t>
            </w:r>
          </w:p>
        </w:tc>
        <w:tc>
          <w:tcPr>
            <w:tcW w:w="1886" w:type="pct"/>
            <w:vAlign w:val="center"/>
          </w:tcPr>
          <w:p w14:paraId="61C80F0D">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138.80</w:t>
            </w:r>
          </w:p>
        </w:tc>
      </w:tr>
      <w:tr w14:paraId="203E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pct"/>
            <w:vAlign w:val="center"/>
          </w:tcPr>
          <w:p w14:paraId="6C9C5F70">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2023年</w:t>
            </w:r>
          </w:p>
        </w:tc>
        <w:tc>
          <w:tcPr>
            <w:tcW w:w="2043" w:type="pct"/>
            <w:vAlign w:val="center"/>
          </w:tcPr>
          <w:p w14:paraId="441B351D">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272.00</w:t>
            </w:r>
          </w:p>
        </w:tc>
        <w:tc>
          <w:tcPr>
            <w:tcW w:w="1886" w:type="pct"/>
            <w:vAlign w:val="center"/>
          </w:tcPr>
          <w:p w14:paraId="3315A50F">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55.12</w:t>
            </w:r>
          </w:p>
        </w:tc>
      </w:tr>
      <w:tr w14:paraId="75D3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pct"/>
            <w:vAlign w:val="center"/>
          </w:tcPr>
          <w:p w14:paraId="71A1D9D7">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2024年</w:t>
            </w:r>
          </w:p>
        </w:tc>
        <w:tc>
          <w:tcPr>
            <w:tcW w:w="2043" w:type="pct"/>
            <w:vAlign w:val="center"/>
          </w:tcPr>
          <w:p w14:paraId="010E71CA">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254.00</w:t>
            </w:r>
          </w:p>
        </w:tc>
        <w:tc>
          <w:tcPr>
            <w:tcW w:w="1886" w:type="pct"/>
            <w:vAlign w:val="center"/>
          </w:tcPr>
          <w:p w14:paraId="24F4C190">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25.34</w:t>
            </w:r>
          </w:p>
        </w:tc>
      </w:tr>
      <w:tr w14:paraId="4EC0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pct"/>
            <w:vAlign w:val="center"/>
          </w:tcPr>
          <w:p w14:paraId="7C3BD711">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b/>
                <w:bCs/>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b/>
                <w:bCs/>
                <w:iCs/>
                <w:color w:val="auto"/>
                <w:kern w:val="0"/>
                <w:sz w:val="28"/>
                <w:szCs w:val="28"/>
                <w:highlight w:val="none"/>
                <w:vertAlign w:val="baseline"/>
                <w:lang w:val="en-US" w:eastAsia="zh-CN"/>
              </w:rPr>
              <w:t>合计</w:t>
            </w:r>
          </w:p>
        </w:tc>
        <w:tc>
          <w:tcPr>
            <w:tcW w:w="3482" w:type="dxa"/>
            <w:vAlign w:val="center"/>
          </w:tcPr>
          <w:p w14:paraId="4F0BD3D2">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778.00</w:t>
            </w:r>
          </w:p>
        </w:tc>
        <w:tc>
          <w:tcPr>
            <w:tcW w:w="3215" w:type="dxa"/>
            <w:vAlign w:val="center"/>
          </w:tcPr>
          <w:p w14:paraId="4218E528">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Regular" w:hAnsi="Times New Roman Regular" w:eastAsia="FangSong_GB2312" w:cs="Times New Roman Regular"/>
                <w:iCs/>
                <w:color w:val="auto"/>
                <w:kern w:val="0"/>
                <w:sz w:val="28"/>
                <w:szCs w:val="28"/>
                <w:highlight w:val="none"/>
                <w:vertAlign w:val="baseline"/>
                <w:lang w:val="en-US" w:eastAsia="zh-CN"/>
              </w:rPr>
            </w:pPr>
            <w:r>
              <w:rPr>
                <w:rFonts w:hint="eastAsia" w:ascii="Times New Roman Regular" w:hAnsi="Times New Roman Regular" w:eastAsia="FangSong_GB2312" w:cs="Times New Roman Regular"/>
                <w:iCs/>
                <w:color w:val="auto"/>
                <w:kern w:val="0"/>
                <w:sz w:val="28"/>
                <w:szCs w:val="28"/>
                <w:highlight w:val="none"/>
                <w:vertAlign w:val="baseline"/>
                <w:lang w:val="en-US" w:eastAsia="zh-CN"/>
              </w:rPr>
              <w:t>219.26</w:t>
            </w:r>
          </w:p>
        </w:tc>
      </w:tr>
    </w:tbl>
    <w:p w14:paraId="386EA3E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29" w:name="_Toc5660"/>
      <w:r>
        <w:rPr>
          <w:rFonts w:hint="eastAsia" w:ascii="Times New Roman Regular" w:hAnsi="Times New Roman Regular" w:eastAsia="楷体_GB2312" w:cs="Times New Roman Regular"/>
          <w:color w:val="auto"/>
          <w:sz w:val="32"/>
          <w:szCs w:val="40"/>
          <w:highlight w:val="none"/>
          <w:lang w:val="en-US" w:eastAsia="zh-CN"/>
        </w:rPr>
        <w:t>（三）项目计划实施内容</w:t>
      </w:r>
      <w:bookmarkEnd w:id="29"/>
    </w:p>
    <w:p w14:paraId="197C1BE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荣成博物馆运转经费项目（以下简称“本项目”）为每年度常规性项目，包含荣成博物馆的保安保洁费、基础设施维护费、展馆建设费、布展联系费、冬季取暖费等五类费用。</w:t>
      </w:r>
    </w:p>
    <w:p w14:paraId="467E2AD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1．保安保洁费用于支付外包第三方的保安费、保洁费</w:t>
      </w:r>
      <w:r>
        <w:rPr>
          <w:rFonts w:hint="eastAsia" w:ascii="Times New Roman Regular" w:hAnsi="Times New Roman Regular" w:eastAsia="仿宋_GB2312" w:cs="Times New Roman Regular"/>
          <w:color w:val="auto"/>
          <w:sz w:val="32"/>
          <w:szCs w:val="40"/>
          <w:highlight w:val="none"/>
          <w:lang w:val="en-US" w:eastAsia="zh-CN"/>
        </w:rPr>
        <w:t>，以</w:t>
      </w:r>
      <w:r>
        <w:rPr>
          <w:rFonts w:hint="default" w:ascii="Times New Roman Regular" w:hAnsi="Times New Roman Regular" w:eastAsia="仿宋_GB2312" w:cs="Times New Roman Regular"/>
          <w:color w:val="auto"/>
          <w:sz w:val="32"/>
          <w:szCs w:val="40"/>
          <w:highlight w:val="none"/>
          <w:lang w:val="en-US" w:eastAsia="zh-CN"/>
        </w:rPr>
        <w:t>及其他用于安保物业等方面的费用。目前博物馆保安人员18</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20人，保洁员4</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6人。</w:t>
      </w:r>
    </w:p>
    <w:p w14:paraId="35D2F3D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2．基础设施维护费用于博物馆基础设施的日常维修，主要有电梯维修保养</w:t>
      </w:r>
      <w:r>
        <w:rPr>
          <w:rFonts w:hint="eastAsia" w:ascii="Times New Roman Regular" w:hAnsi="Times New Roman Regular" w:eastAsia="仿宋_GB2312" w:cs="Times New Roman Regular"/>
          <w:color w:val="auto"/>
          <w:sz w:val="32"/>
          <w:szCs w:val="40"/>
          <w:highlight w:val="none"/>
          <w:lang w:val="en-US" w:eastAsia="zh-CN"/>
        </w:rPr>
        <w:t>费</w:t>
      </w:r>
      <w:r>
        <w:rPr>
          <w:rFonts w:hint="default" w:ascii="Times New Roman Regular" w:hAnsi="Times New Roman Regular" w:eastAsia="仿宋_GB2312" w:cs="Times New Roman Regular"/>
          <w:color w:val="auto"/>
          <w:sz w:val="32"/>
          <w:szCs w:val="40"/>
          <w:highlight w:val="none"/>
          <w:lang w:val="en-US" w:eastAsia="zh-CN"/>
        </w:rPr>
        <w:t>、自动消防报警系统维护保养费、中央空调系统维护保养费、电子监控系统维护保养费等国家强制性维保项目，广场砖更换、消防系统维修、电路系统安全维护、多媒体维修、网站微信维护、空调清洗等基础设施维修等。</w:t>
      </w:r>
    </w:p>
    <w:p w14:paraId="0433F67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3．展馆建设费用于展陈内容的更换、展览设备的维护、展厅升级改造、展馆的建设宣传等方面。</w:t>
      </w:r>
    </w:p>
    <w:p w14:paraId="1A68782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布展联系费包含两部分：一是布展费，用于举办展览的各种费用，主要有设计费、材料费、人工布展费、运输费、场地费、出版费等。二是通联费，与布展、文物、宣讲等开展博物馆业务有关的接待费、差旅费等。</w:t>
      </w:r>
    </w:p>
    <w:p w14:paraId="034D38F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5．冬季暖气费用于博物馆整个展馆的冬季取暖费用。</w:t>
      </w:r>
    </w:p>
    <w:p w14:paraId="2075F23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30" w:name="_Toc15375"/>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四</w:t>
      </w:r>
      <w:r>
        <w:rPr>
          <w:rFonts w:hint="default" w:ascii="Times New Roman Regular" w:hAnsi="Times New Roman Regular" w:eastAsia="楷体_GB2312" w:cs="Times New Roman Regular"/>
          <w:color w:val="auto"/>
          <w:sz w:val="32"/>
          <w:szCs w:val="40"/>
          <w:highlight w:val="none"/>
          <w:lang w:val="en-US" w:eastAsia="zh-CN"/>
        </w:rPr>
        <w:t>）项目</w:t>
      </w:r>
      <w:r>
        <w:rPr>
          <w:rFonts w:hint="eastAsia" w:ascii="Times New Roman Regular" w:hAnsi="Times New Roman Regular" w:eastAsia="楷体_GB2312" w:cs="Times New Roman Regular"/>
          <w:color w:val="auto"/>
          <w:sz w:val="32"/>
          <w:szCs w:val="40"/>
          <w:highlight w:val="none"/>
          <w:lang w:val="en-US" w:eastAsia="zh-CN"/>
        </w:rPr>
        <w:t>组织管理</w:t>
      </w:r>
      <w:bookmarkEnd w:id="30"/>
    </w:p>
    <w:p w14:paraId="769C75D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1．项目组织情况</w:t>
      </w:r>
    </w:p>
    <w:p w14:paraId="700CA72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（1）荣成市财政局</w:t>
      </w:r>
    </w:p>
    <w:p w14:paraId="7FABFBB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负责监督本项目财政预算的编制和执行情况，审核项目年度预决算，负责会同荣成博物馆开展运转经费项目重点绩效评估工作，合理安排、及时拨付项目预算资金。</w:t>
      </w:r>
    </w:p>
    <w:p w14:paraId="0D1DE2C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（2）荣成市文化和旅游局</w:t>
      </w:r>
    </w:p>
    <w:p w14:paraId="32DD136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作为项目主管部门，负责管理、指导文物保护和博物馆工作。负责市级以上文物保护单位的推荐申报与保护。负责全市博物馆的设立备案和监督管理工作。对博物馆公共文化场所进行安全监督管理。负责主办、承办的各类图书展销会、订货会、交易会、书市等活动的安全监督管理。</w:t>
      </w:r>
    </w:p>
    <w:p w14:paraId="437FEA0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w:t>
      </w:r>
      <w:r>
        <w:rPr>
          <w:rFonts w:hint="eastAsia" w:ascii="Times New Roman Regular" w:hAnsi="Times New Roman Regular" w:eastAsia="仿宋_GB2312" w:cs="Times New Roman Regular"/>
          <w:color w:val="auto"/>
          <w:sz w:val="32"/>
          <w:szCs w:val="40"/>
          <w:highlight w:val="none"/>
          <w:lang w:val="en-US" w:eastAsia="zh-CN"/>
        </w:rPr>
        <w:t>荣成博物馆</w:t>
      </w:r>
    </w:p>
    <w:p w14:paraId="73EAE8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负责征集、收藏、展览文物和自然标本，开展对各类文物的发掘、研究、保护和利用工作；承担文物修复、复制以及文创产品的开发和应用工作；承担宣传教育、文化交流、社会培训、青少年研学等工作，传播历史、科学文化和党史知识，进行爱国主义教育；负责本单位管理的公共文化场所及举办的公益活动的安全工作；承担郭永怀事迹陈列教育工作；完成市文化和旅游局交办的其他任务。</w:t>
      </w:r>
    </w:p>
    <w:p w14:paraId="65FBAA4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（4）第三方服务单位</w:t>
      </w:r>
    </w:p>
    <w:p w14:paraId="2291CEC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荣成市城投物业服务有限公司作为项目物业卫生保洁供应单位、荣成市保安服务有限公司作为安全保卫供应单位，为荣成博物馆日常运营提供卫生保洁及安全保卫工作。</w:t>
      </w:r>
    </w:p>
    <w:p w14:paraId="6DA75A9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其他如荣成市环卫集团有限公司、芙芮（山东）文化有限公司、荣成市吉祥电梯技术服务有限公司、山东乙森消防技术服务有限公司、荣成市凯立鉴电气有限公司、中国联合网络通信有限公司荣成市分公司分别根据服务合同要求，提供垃圾清运、展览物料供应、电梯维保、消防维护、电气维护、网络通信等专项服务。</w:t>
      </w:r>
    </w:p>
    <w:p w14:paraId="24CC880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2．项目实施流程</w:t>
      </w:r>
    </w:p>
    <w:p w14:paraId="212CAD0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荣成博物馆根据《关于全国博物馆、纪念馆免费开放的通知》（中宣发〔2008〕2号）专项政策及单位管理要求，通过选定第三方服务单位，完成博物馆的保安保洁、基础设施维护、展馆建设、布展、冬季取暖等运营工作，保障荣成博物馆的陈列展览、文物保护、科研教育、游览服务等服务供应。</w:t>
      </w:r>
    </w:p>
    <w:p w14:paraId="26B0143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荣成博物馆根据预算管理及财务管理要求，及时提报上述工作涉及费用的预算申报及费用支付工作。</w:t>
      </w:r>
    </w:p>
    <w:p w14:paraId="363DB05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31" w:name="_Toc25902"/>
      <w:bookmarkStart w:id="32" w:name="_Toc946482461"/>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项目绩效目标</w:t>
      </w:r>
      <w:bookmarkEnd w:id="31"/>
      <w:bookmarkEnd w:id="32"/>
    </w:p>
    <w:p w14:paraId="6361C9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33" w:name="_Toc11548"/>
      <w:r>
        <w:rPr>
          <w:rFonts w:hint="eastAsia" w:ascii="Times New Roman Regular" w:hAnsi="Times New Roman Regular" w:eastAsia="楷体_GB2312" w:cs="Times New Roman Regular"/>
          <w:color w:val="auto"/>
          <w:sz w:val="32"/>
          <w:szCs w:val="40"/>
          <w:highlight w:val="none"/>
          <w:lang w:val="en-US" w:eastAsia="zh-CN"/>
        </w:rPr>
        <w:t>（一）</w:t>
      </w:r>
      <w:r>
        <w:rPr>
          <w:rFonts w:hint="default" w:ascii="Times New Roman Regular" w:hAnsi="Times New Roman Regular" w:eastAsia="楷体_GB2312" w:cs="Times New Roman Regular"/>
          <w:color w:val="auto"/>
          <w:sz w:val="32"/>
          <w:szCs w:val="40"/>
          <w:highlight w:val="none"/>
          <w:lang w:val="en-US" w:eastAsia="zh-CN"/>
        </w:rPr>
        <w:t>总体目标</w:t>
      </w:r>
      <w:bookmarkEnd w:id="33"/>
    </w:p>
    <w:p w14:paraId="6B1EB0C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通过项目实施，加强</w:t>
      </w:r>
      <w:r>
        <w:rPr>
          <w:rFonts w:hint="eastAsia" w:ascii="Times New Roman Regular" w:hAnsi="Times New Roman Regular" w:eastAsia="仿宋_GB2312" w:cs="Times New Roman Regular"/>
          <w:color w:val="auto"/>
          <w:sz w:val="32"/>
          <w:szCs w:val="40"/>
          <w:highlight w:val="none"/>
          <w:lang w:val="en-US" w:eastAsia="zh-CN"/>
        </w:rPr>
        <w:t>荣成博物馆的</w:t>
      </w:r>
      <w:r>
        <w:rPr>
          <w:rFonts w:hint="default" w:ascii="Times New Roman Regular" w:hAnsi="Times New Roman Regular" w:eastAsia="仿宋_GB2312" w:cs="Times New Roman Regular"/>
          <w:color w:val="auto"/>
          <w:sz w:val="32"/>
          <w:szCs w:val="40"/>
          <w:highlight w:val="none"/>
          <w:lang w:val="en-US" w:eastAsia="zh-CN"/>
        </w:rPr>
        <w:t>展馆安全，保障展馆室内外卫生达到公共卫生标准，改造展厅展陈设施，更新展陈内容，营造良好公共文化场馆形象，弘扬爱党爱国精神。同时做到郭永怀事迹陈列馆培训费非税收入达标，提高观众和培训学员满意度。</w:t>
      </w:r>
    </w:p>
    <w:p w14:paraId="16E23AE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34" w:name="_Toc3812"/>
      <w:r>
        <w:rPr>
          <w:rFonts w:hint="eastAsia" w:ascii="Times New Roman Regular" w:hAnsi="Times New Roman Regular" w:eastAsia="楷体_GB2312" w:cs="Times New Roman Regular"/>
          <w:color w:val="auto"/>
          <w:sz w:val="32"/>
          <w:szCs w:val="40"/>
          <w:highlight w:val="none"/>
          <w:lang w:val="en-US" w:eastAsia="zh-CN"/>
        </w:rPr>
        <w:t>（二）</w:t>
      </w:r>
      <w:r>
        <w:rPr>
          <w:rFonts w:hint="default" w:ascii="Times New Roman Regular" w:hAnsi="Times New Roman Regular" w:eastAsia="楷体_GB2312" w:cs="Times New Roman Regular"/>
          <w:color w:val="auto"/>
          <w:sz w:val="32"/>
          <w:szCs w:val="40"/>
          <w:highlight w:val="none"/>
          <w:lang w:val="en-US" w:eastAsia="zh-CN"/>
        </w:rPr>
        <w:t>年度目标</w:t>
      </w:r>
      <w:bookmarkEnd w:id="34"/>
    </w:p>
    <w:p w14:paraId="2CF483A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根据各年度荣成博物馆运转经费项目支出绩效自评表，2022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2024年度计划达成的目标如下：</w:t>
      </w:r>
    </w:p>
    <w:p w14:paraId="15BCD4B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1．2022年年度目标</w:t>
      </w:r>
    </w:p>
    <w:p w14:paraId="282DD44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（1）成本目标</w:t>
      </w:r>
    </w:p>
    <w:p w14:paraId="00AC8F6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年度内的保安保洁费、基础设施维护费、展馆建设费、布展联系费、冬季取暖费总额控制在323万元及以内。</w:t>
      </w:r>
    </w:p>
    <w:p w14:paraId="2818EBA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（2）产出目标</w:t>
      </w:r>
    </w:p>
    <w:p w14:paraId="3471EF3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数量指标：基础设施维修内容</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5项、举办展览场次</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5次、供暖天数</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100天、保安人员</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20人、建设项目数量</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3项、保洁面积</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12000平方米；</w:t>
      </w:r>
    </w:p>
    <w:p w14:paraId="047631C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质量指标：项目范围内的环境卫生、设备验收、展馆安全、展馆卫生等内容的运营质量合格，保障冬季供暖温度在19摄氏度及以上；</w:t>
      </w:r>
    </w:p>
    <w:p w14:paraId="246EAC8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时效指标：每展览展期天数在7天及以上、全年场馆安全、文物租借时间1年及以上；</w:t>
      </w:r>
    </w:p>
    <w:p w14:paraId="004FF5C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（3）效益目标</w:t>
      </w:r>
    </w:p>
    <w:p w14:paraId="297A1B9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社会效益：卫生自检通过率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95%、公共场馆形象良好、年度内无安全事故发生；</w:t>
      </w:r>
    </w:p>
    <w:p w14:paraId="1AFE209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可持续发展影响：健全保洁卫生制度、安保管理制度规范。</w:t>
      </w:r>
    </w:p>
    <w:p w14:paraId="79803AF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（4）满意度指标</w:t>
      </w:r>
    </w:p>
    <w:p w14:paraId="0D98822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观众满意度</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95%。</w:t>
      </w:r>
    </w:p>
    <w:p w14:paraId="66DC433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2．2023年年度目标</w:t>
      </w:r>
    </w:p>
    <w:p w14:paraId="7B32428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（1）成本目标</w:t>
      </w:r>
    </w:p>
    <w:p w14:paraId="2F1B491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保障非税收入返款在20万元及以上，控制冬季取暖费在26万元及以</w:t>
      </w:r>
      <w:r>
        <w:rPr>
          <w:rFonts w:hint="eastAsia" w:ascii="Times New Roman Regular" w:hAnsi="Times New Roman Regular" w:eastAsia="仿宋_GB2312" w:cs="Times New Roman Regular"/>
          <w:color w:val="auto"/>
          <w:sz w:val="32"/>
          <w:szCs w:val="40"/>
          <w:highlight w:val="none"/>
          <w:lang w:val="en-US" w:eastAsia="zh-CN"/>
        </w:rPr>
        <w:t>下</w:t>
      </w:r>
      <w:r>
        <w:rPr>
          <w:rFonts w:hint="default" w:ascii="Times New Roman Regular" w:hAnsi="Times New Roman Regular" w:eastAsia="仿宋_GB2312" w:cs="Times New Roman Regular"/>
          <w:color w:val="auto"/>
          <w:sz w:val="32"/>
          <w:szCs w:val="40"/>
          <w:highlight w:val="none"/>
          <w:lang w:val="en-US" w:eastAsia="zh-CN"/>
        </w:rPr>
        <w:t>、布展联系费15万元及以下、基础设施维护费29.4万元及以下、物业管理费161.8万元及以下。</w:t>
      </w:r>
    </w:p>
    <w:p w14:paraId="1F832A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（2）产出目标</w:t>
      </w:r>
    </w:p>
    <w:p w14:paraId="615ED3C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数量指标：保障年度内完成国家强制维保4项及以上、配备不少于20</w:t>
      </w:r>
      <w:r>
        <w:rPr>
          <w:rFonts w:hint="eastAsia" w:ascii="Times New Roman Regular" w:hAnsi="Times New Roman Regular" w:eastAsia="仿宋_GB2312" w:cs="Times New Roman Regular"/>
          <w:color w:val="auto"/>
          <w:sz w:val="32"/>
          <w:szCs w:val="40"/>
          <w:highlight w:val="none"/>
          <w:lang w:val="en-US" w:eastAsia="zh-CN"/>
        </w:rPr>
        <w:t>名</w:t>
      </w:r>
      <w:r>
        <w:rPr>
          <w:rFonts w:hint="default" w:ascii="Times New Roman Regular" w:hAnsi="Times New Roman Regular" w:eastAsia="仿宋_GB2312" w:cs="Times New Roman Regular"/>
          <w:color w:val="auto"/>
          <w:sz w:val="32"/>
          <w:szCs w:val="40"/>
          <w:highlight w:val="none"/>
          <w:lang w:val="en-US" w:eastAsia="zh-CN"/>
        </w:rPr>
        <w:t>保安人员、保洁面积</w:t>
      </w:r>
      <w:r>
        <w:rPr>
          <w:rFonts w:hint="eastAsia" w:ascii="仿宋_GB2312" w:hAnsi="仿宋_GB2312" w:eastAsia="仿宋_GB2312" w:cs="仿宋_GB2312"/>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10000平方米、供暖天数</w:t>
      </w:r>
      <w:r>
        <w:rPr>
          <w:rFonts w:hint="eastAsia" w:ascii="仿宋_GB2312" w:hAnsi="仿宋_GB2312" w:eastAsia="仿宋_GB2312" w:cs="仿宋_GB2312"/>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100天；</w:t>
      </w:r>
    </w:p>
    <w:p w14:paraId="1ED926A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质量指标：展馆安全合格率、展馆卫生合格率、供暖温度达标率、设备验收合格率均达到100%；</w:t>
      </w:r>
    </w:p>
    <w:p w14:paraId="43B41D9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时效指标：设施维修及时率100%、展品更新及时率100%。</w:t>
      </w:r>
    </w:p>
    <w:p w14:paraId="371187C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（3）效益目标</w:t>
      </w:r>
    </w:p>
    <w:p w14:paraId="4B46C1B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经济效益指标：郭永怀事迹陈列馆培训费非税收入</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10万元。</w:t>
      </w:r>
    </w:p>
    <w:p w14:paraId="27BB0E2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社会效益指标：公共文化场馆形象良好。</w:t>
      </w:r>
    </w:p>
    <w:p w14:paraId="6AFAE79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（4）满意度指标</w:t>
      </w:r>
    </w:p>
    <w:p w14:paraId="5819F1A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观众满意度</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95%。</w:t>
      </w:r>
    </w:p>
    <w:p w14:paraId="5713393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3．2024年年度目标</w:t>
      </w:r>
    </w:p>
    <w:p w14:paraId="12F0495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（1）成本目标</w:t>
      </w:r>
    </w:p>
    <w:p w14:paraId="6F4893F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博物馆运行维护费成本控制在254万元及以内，其中物业管理费118万元，用于支付保安公司保安费、城投物业保洁费以及物业用品采购等；基础设施维护50万元，用于支付电梯、消防、空调等室内外公共基础设施的维修保养等费用；展馆建设费35万元，用于展厅展陈设施设备的维护及升级改造；布展联系费27万元，用于</w:t>
      </w:r>
      <w:r>
        <w:rPr>
          <w:rFonts w:hint="eastAsia" w:ascii="Times New Roman Regular" w:hAnsi="Times New Roman Regular" w:eastAsia="仿宋_GB2312" w:cs="Times New Roman Regular"/>
          <w:color w:val="auto"/>
          <w:sz w:val="32"/>
          <w:szCs w:val="40"/>
          <w:highlight w:val="none"/>
          <w:lang w:val="en-US" w:eastAsia="zh-CN"/>
        </w:rPr>
        <w:t>支付</w:t>
      </w:r>
      <w:r>
        <w:rPr>
          <w:rFonts w:hint="default" w:ascii="Times New Roman Regular" w:hAnsi="Times New Roman Regular" w:eastAsia="仿宋_GB2312" w:cs="Times New Roman Regular"/>
          <w:color w:val="auto"/>
          <w:sz w:val="32"/>
          <w:szCs w:val="40"/>
          <w:highlight w:val="none"/>
          <w:lang w:val="en-US" w:eastAsia="zh-CN"/>
        </w:rPr>
        <w:t>布置展览、外出宣讲、交流联系等费用；冬季供暖费用20万元，用于支付冬季供暖费用；支付水费等其他费用4万元，用于保证场馆正常运行。</w:t>
      </w:r>
    </w:p>
    <w:p w14:paraId="4E02F00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（2）产出目标</w:t>
      </w:r>
    </w:p>
    <w:p w14:paraId="3E141FB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数量指标：保洁人数6人、保安人员18人、基础设施维护项目数</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5项、展馆建设项目数</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4项、布展次数</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5次。</w:t>
      </w:r>
    </w:p>
    <w:p w14:paraId="2197A57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质量指标：维修维保验收合格率100%、卫生达标率100%、供暖温度达标率100%。</w:t>
      </w:r>
    </w:p>
    <w:p w14:paraId="2A44BEF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时效指标：布展及时性100%、基础设施维修及时率100%、安全事故处置及时性100%。</w:t>
      </w:r>
    </w:p>
    <w:p w14:paraId="0755C2E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（3）效益目标</w:t>
      </w:r>
    </w:p>
    <w:p w14:paraId="7D4125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经济效益指标：郭永怀事迹陈列馆培训费非税收入</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22万元。</w:t>
      </w:r>
    </w:p>
    <w:p w14:paraId="0B8C7D7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社会效益指标：公共文化场馆形象提升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95%。</w:t>
      </w:r>
    </w:p>
    <w:p w14:paraId="49198BC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可持续发展影响指标：提升群众爱国主义情怀</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2年。</w:t>
      </w:r>
    </w:p>
    <w:p w14:paraId="428C597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（4）满意度指标</w:t>
      </w:r>
    </w:p>
    <w:p w14:paraId="43372D0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观众满意度</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95%。</w:t>
      </w:r>
    </w:p>
    <w:p w14:paraId="67EDED1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35" w:name="_Toc1119348698"/>
      <w:bookmarkStart w:id="36" w:name="_Toc29320"/>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w:t>
      </w:r>
      <w:bookmarkEnd w:id="35"/>
      <w:r>
        <w:rPr>
          <w:rFonts w:hint="eastAsia" w:ascii="Times New Roman" w:hAnsi="Times New Roman" w:eastAsia="黑体" w:cs="Times New Roman"/>
          <w:sz w:val="32"/>
          <w:szCs w:val="32"/>
          <w:highlight w:val="none"/>
          <w:lang w:val="en-US" w:eastAsia="zh-CN"/>
        </w:rPr>
        <w:t>评价基本情况</w:t>
      </w:r>
      <w:bookmarkEnd w:id="36"/>
    </w:p>
    <w:p w14:paraId="041C12D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37" w:name="_Toc936819566"/>
      <w:bookmarkStart w:id="38" w:name="_Toc19355"/>
      <w:r>
        <w:rPr>
          <w:rFonts w:hint="default" w:ascii="Times New Roman Regular" w:hAnsi="Times New Roman Regular" w:eastAsia="楷体_GB2312" w:cs="Times New Roman Regular"/>
          <w:color w:val="auto"/>
          <w:sz w:val="32"/>
          <w:szCs w:val="40"/>
          <w:highlight w:val="none"/>
          <w:lang w:val="en-US" w:eastAsia="zh-CN"/>
        </w:rPr>
        <w:t>（一）评价目的、评价对象和范围</w:t>
      </w:r>
      <w:bookmarkEnd w:id="37"/>
      <w:bookmarkEnd w:id="38"/>
    </w:p>
    <w:p w14:paraId="4619676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对本项目2022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2024年度的成本支出、组织实施、采购管理、成本支出、综合效益等方面进行评价分析，全面了解本项目2022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资金使用效率和效果，项目管理的过程是否规范、是否实现了预期绩效目标。同时，围绕决策、过程、产出及效益情况开展评价，总结经验、发现问题、剖析原因，提出改进建议，为科学决策、规范管理提供参考。进一步优化相关工作，提高财政资金配置效率和使用效益。</w:t>
      </w:r>
    </w:p>
    <w:p w14:paraId="667808B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39" w:name="_Toc6036"/>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二</w:t>
      </w:r>
      <w:r>
        <w:rPr>
          <w:rFonts w:hint="default" w:ascii="Times New Roman Regular" w:hAnsi="Times New Roman Regular" w:eastAsia="楷体_GB2312" w:cs="Times New Roman Regular"/>
          <w:color w:val="auto"/>
          <w:sz w:val="32"/>
          <w:szCs w:val="40"/>
          <w:highlight w:val="none"/>
          <w:lang w:val="en-US" w:eastAsia="zh-CN"/>
        </w:rPr>
        <w:t>）评价对象和范围</w:t>
      </w:r>
      <w:bookmarkEnd w:id="39"/>
    </w:p>
    <w:p w14:paraId="2198BC7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w:t>
      </w:r>
      <w:r>
        <w:rPr>
          <w:rFonts w:hint="default" w:ascii="Times New Roman Regular" w:hAnsi="Times New Roman Regular" w:eastAsia="仿宋_GB2312" w:cs="Times New Roman Regular"/>
          <w:color w:val="auto"/>
          <w:sz w:val="32"/>
          <w:szCs w:val="40"/>
          <w:highlight w:val="none"/>
          <w:lang w:val="en-US" w:eastAsia="zh-CN"/>
        </w:rPr>
        <w:t>评价对象</w:t>
      </w:r>
    </w:p>
    <w:p w14:paraId="48A1209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本次绩效评价的对象为</w:t>
      </w:r>
      <w:r>
        <w:rPr>
          <w:rFonts w:hint="eastAsia" w:ascii="Times New Roman Regular" w:hAnsi="Times New Roman Regular" w:eastAsia="仿宋_GB2312" w:cs="Times New Roman Regular"/>
          <w:color w:val="auto"/>
          <w:sz w:val="32"/>
          <w:szCs w:val="40"/>
          <w:highlight w:val="none"/>
          <w:lang w:val="en-US" w:eastAsia="zh-CN"/>
        </w:rPr>
        <w:t>荣成博物馆运转经费项目</w:t>
      </w:r>
      <w:r>
        <w:rPr>
          <w:rFonts w:hint="default" w:ascii="Times New Roman Regular" w:hAnsi="Times New Roman Regular" w:eastAsia="仿宋_GB2312" w:cs="Times New Roman Regular"/>
          <w:color w:val="auto"/>
          <w:sz w:val="32"/>
          <w:szCs w:val="40"/>
          <w:highlight w:val="none"/>
          <w:lang w:val="en-US" w:eastAsia="zh-CN"/>
        </w:rPr>
        <w:t>。</w:t>
      </w:r>
    </w:p>
    <w:p w14:paraId="624A6D4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w:t>
      </w:r>
      <w:r>
        <w:rPr>
          <w:rFonts w:hint="default" w:ascii="Times New Roman Regular" w:hAnsi="Times New Roman Regular" w:eastAsia="仿宋_GB2312" w:cs="Times New Roman Regular"/>
          <w:color w:val="auto"/>
          <w:sz w:val="32"/>
          <w:szCs w:val="40"/>
          <w:highlight w:val="none"/>
          <w:lang w:val="en-US" w:eastAsia="zh-CN"/>
        </w:rPr>
        <w:t>评价范围</w:t>
      </w:r>
    </w:p>
    <w:p w14:paraId="6F8AB2F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本次评价范围包括2022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2024年度项目预算覆盖的服务周期内项目开展情况。</w:t>
      </w:r>
    </w:p>
    <w:p w14:paraId="1215694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0" w:name="_Toc17535"/>
      <w:bookmarkStart w:id="41" w:name="_Toc1923829605"/>
      <w:r>
        <w:rPr>
          <w:rFonts w:hint="eastAsia" w:ascii="Times New Roman Regular" w:hAnsi="Times New Roman Regular" w:eastAsia="楷体_GB2312" w:cs="Times New Roman Regular"/>
          <w:color w:val="auto"/>
          <w:sz w:val="32"/>
          <w:szCs w:val="40"/>
          <w:highlight w:val="none"/>
          <w:lang w:val="en-US" w:eastAsia="zh-CN"/>
        </w:rPr>
        <w:t>（三）评价依据</w:t>
      </w:r>
      <w:bookmarkEnd w:id="40"/>
    </w:p>
    <w:p w14:paraId="6CD0007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1．预算绩效管理相关政策</w:t>
      </w:r>
    </w:p>
    <w:p w14:paraId="4FA72AA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（1）《财政部关于印发〈项目支出绩效评价管理办法〉的通知》（财预〔2020〕10号）；</w:t>
      </w:r>
    </w:p>
    <w:p w14:paraId="1DFA1DD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（2）《山东省财政厅关于开展成本预算绩效管理的实施意见》（鲁财绩〔2022〕4号）；</w:t>
      </w:r>
    </w:p>
    <w:p w14:paraId="5371D08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（3）《山东省财政厅关于全面实施成本预算绩效管理的通知》（鲁财绩〔2023〕4号）；</w:t>
      </w:r>
    </w:p>
    <w:p w14:paraId="14EC9C8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（4）《中共荣成市委 荣成市人民政府关于全面推进预算绩效管理的实施意见》（荣发〔2020〕4号）；</w:t>
      </w:r>
    </w:p>
    <w:p w14:paraId="4C1796F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（5）《荣成市人民政府办公室关于印发〈荣成市市直部门单位预算绩效管理办法〉的通知》（荣政办字〔2020〕14号）；</w:t>
      </w:r>
    </w:p>
    <w:p w14:paraId="2E50ECE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（6）《荣成市财政局关于印发〈荣成市财政重点绩效评价工作规程〉的通知》（荣财字〔2023〕37号）。</w:t>
      </w:r>
    </w:p>
    <w:p w14:paraId="2C5D85A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2．行业相关政策</w:t>
      </w:r>
    </w:p>
    <w:p w14:paraId="31B4978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（1）《博物馆条例》（中华人民共和国国务院令第659号）；</w:t>
      </w:r>
    </w:p>
    <w:p w14:paraId="2071DDC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（2）《关于全国博物馆、纪念馆免费开放的通知》（中宣发〔2008〕2号）；</w:t>
      </w:r>
    </w:p>
    <w:p w14:paraId="470F7E8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（3）《关于加强文物保护利用改革的若干意见》；</w:t>
      </w:r>
    </w:p>
    <w:p w14:paraId="7400405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（4）《国务院关于进一步加强文物工作的指导意见》；</w:t>
      </w:r>
    </w:p>
    <w:p w14:paraId="6A6DFF1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（5）《关于推动文化文物单位文化创意产品开发的若干意见》；</w:t>
      </w:r>
    </w:p>
    <w:p w14:paraId="71EED0F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（6）《关于推进博物馆改革发展的指导意见》；</w:t>
      </w:r>
    </w:p>
    <w:p w14:paraId="03A0C32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（7）《文物认定管理暂行办法》；</w:t>
      </w:r>
    </w:p>
    <w:p w14:paraId="2A8B54D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（8）《博物馆藏品管理办法》等。</w:t>
      </w:r>
    </w:p>
    <w:p w14:paraId="2736CA6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3．政府采购相关政策文件</w:t>
      </w:r>
    </w:p>
    <w:p w14:paraId="3C84ADC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（1）《中华人民共和国政府采购法》；</w:t>
      </w:r>
    </w:p>
    <w:p w14:paraId="2279F22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（2）《中华人民共和国政府采购法实施条例》（中华人民共和国国务院令第658号）；</w:t>
      </w:r>
    </w:p>
    <w:p w14:paraId="58635F7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（3）《山东省政府采购管理办法》（山东省人民政府令第262号）；</w:t>
      </w:r>
    </w:p>
    <w:p w14:paraId="45F7F90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（4）山东省财政厅关于印发《山东省政府采购预算单位内部控制管理规范》的通知（鲁财采〔2016〕48号）；</w:t>
      </w:r>
    </w:p>
    <w:p w14:paraId="41D4413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（5）山东省财政厅关于印发《山东省政府采购需求管理办法》的通知（鲁财采〔2018〕16号）；</w:t>
      </w:r>
    </w:p>
    <w:p w14:paraId="3593171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（6）山东省财政厅关于印发《山东省政府采购信息发布管理办法》的通知（鲁财采〔2020〕35号）；</w:t>
      </w:r>
    </w:p>
    <w:p w14:paraId="66E257C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（7）山东省财政厅关于印发《山东省政府采购履约验收管理办法》的通知（鲁财采〔2021〕25号）。</w:t>
      </w:r>
    </w:p>
    <w:p w14:paraId="773AA91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4．项目资料</w:t>
      </w:r>
    </w:p>
    <w:p w14:paraId="74F4003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（1）2022—2024年度项目预算申请资料及批复文件；</w:t>
      </w:r>
    </w:p>
    <w:p w14:paraId="5B5222E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（2）2022—2024年度项目支出明细账及支出凭证；</w:t>
      </w:r>
    </w:p>
    <w:p w14:paraId="2A34540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（3）2022—2024年度项目工作计划、工作总结；</w:t>
      </w:r>
    </w:p>
    <w:p w14:paraId="2EB9CA5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（4）第三方机构服务供应合同；</w:t>
      </w:r>
    </w:p>
    <w:p w14:paraId="24FB0D2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（5）博物馆采购管理制度、内控管理制度、档案管理制度等各项管理制度；</w:t>
      </w:r>
    </w:p>
    <w:p w14:paraId="06E82F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（6）其他与项目有关的资料。</w:t>
      </w:r>
    </w:p>
    <w:p w14:paraId="42F3DE2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2" w:name="_Toc2025"/>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四</w:t>
      </w:r>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评价原则、评价方法</w:t>
      </w:r>
      <w:bookmarkEnd w:id="42"/>
    </w:p>
    <w:p w14:paraId="22E65C6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1．评价</w:t>
      </w:r>
      <w:r>
        <w:rPr>
          <w:rFonts w:hint="eastAsia" w:ascii="Times New Roman Regular" w:hAnsi="Times New Roman Regular" w:eastAsia="仿宋_GB2312" w:cs="Times New Roman Regular"/>
          <w:color w:val="auto"/>
          <w:sz w:val="32"/>
          <w:szCs w:val="40"/>
          <w:highlight w:val="none"/>
          <w:lang w:val="en-US" w:eastAsia="zh-CN"/>
        </w:rPr>
        <w:t>原则</w:t>
      </w:r>
    </w:p>
    <w:p w14:paraId="339F81B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科学规范原则。绩效评价应当严格执行规定的程序，按照科学可行的要求，采用定量与定性分析相结合的方法，通过收集评价信息、初步分析资料、实施评价活动、分析评价结果等规范流程，确保评价过程的科学性与规范性。</w:t>
      </w:r>
    </w:p>
    <w:p w14:paraId="01AEFE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公正公开原则。绩效评价应当符合真实、客观、公正的要求，依法公开并接受监督。在评价的全过程中坚守独立客观的立场，不受任何不当因素干扰，以保证评价工作的公正性，并将评价过程和结果依法公开，主动接受各方监督。</w:t>
      </w:r>
    </w:p>
    <w:p w14:paraId="2B9E990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绩效相关原则。针对项目具体支出及其产出绩效进行评价，评价结果应当清晰反映支出和产出绩效之间的紧密对应关系。在开展收集评价信息、初步分析资料、实施评价活动、分析评价结果等工作时，始终围绕项目支出与产出绩效的关联展开，确保评价聚焦核心绩效目标。</w:t>
      </w:r>
    </w:p>
    <w:p w14:paraId="465C293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4）统筹兼顾原则。绩效评价工作应立足整体视角，在收集评价信息、初步分析资料、实施评价活动、分析评价结果的各个环节，全面考量项目各方面因素，兼顾短期与长期效益、局部与整体利益等多维度关系，使评价结果更具全面性和系统性。</w:t>
      </w:r>
    </w:p>
    <w:p w14:paraId="42D7ADA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2．评价方法</w:t>
      </w:r>
    </w:p>
    <w:p w14:paraId="46C91BB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结合项目实际，本次绩效评价主要采用了目标比较法、因素分析法、公众评判法、文献分析法等方法，分析项目情况进行评价。</w:t>
      </w:r>
    </w:p>
    <w:p w14:paraId="18C3FB4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3" w:name="_Toc10526"/>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五</w:t>
      </w:r>
      <w:r>
        <w:rPr>
          <w:rFonts w:hint="default" w:ascii="Times New Roman Regular" w:hAnsi="Times New Roman Regular" w:eastAsia="楷体_GB2312" w:cs="Times New Roman Regular"/>
          <w:color w:val="auto"/>
          <w:sz w:val="32"/>
          <w:szCs w:val="40"/>
          <w:highlight w:val="none"/>
          <w:lang w:val="en-US" w:eastAsia="zh-CN"/>
        </w:rPr>
        <w:t>）评价重点、评价指标体系和评价标准</w:t>
      </w:r>
      <w:bookmarkEnd w:id="41"/>
      <w:bookmarkEnd w:id="43"/>
    </w:p>
    <w:p w14:paraId="576FDC9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w:t>
      </w:r>
      <w:r>
        <w:rPr>
          <w:rFonts w:hint="default" w:ascii="Times New Roman Regular" w:hAnsi="Times New Roman Regular" w:eastAsia="仿宋_GB2312" w:cs="Times New Roman Regular"/>
          <w:color w:val="auto"/>
          <w:sz w:val="32"/>
          <w:szCs w:val="40"/>
          <w:highlight w:val="none"/>
          <w:lang w:val="en-US" w:eastAsia="zh-CN"/>
        </w:rPr>
        <w:t>．评价重点</w:t>
      </w:r>
    </w:p>
    <w:p w14:paraId="4259C1E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本次评价重点关注</w:t>
      </w:r>
      <w:r>
        <w:rPr>
          <w:rFonts w:hint="eastAsia" w:ascii="Times New Roman Regular" w:hAnsi="Times New Roman Regular" w:eastAsia="仿宋_GB2312" w:cs="Times New Roman Regular"/>
          <w:color w:val="auto"/>
          <w:sz w:val="32"/>
          <w:szCs w:val="40"/>
          <w:highlight w:val="none"/>
          <w:lang w:val="en-US" w:eastAsia="zh-CN"/>
        </w:rPr>
        <w:t>项目产生的经济效益和</w:t>
      </w:r>
      <w:r>
        <w:rPr>
          <w:rFonts w:hint="default" w:ascii="Times New Roman Regular" w:hAnsi="Times New Roman Regular" w:eastAsia="仿宋_GB2312" w:cs="Times New Roman Regular"/>
          <w:color w:val="auto"/>
          <w:sz w:val="32"/>
          <w:szCs w:val="40"/>
          <w:highlight w:val="none"/>
          <w:lang w:val="en-US" w:eastAsia="zh-CN"/>
        </w:rPr>
        <w:t>社会效益，评估项目</w:t>
      </w:r>
      <w:r>
        <w:rPr>
          <w:rFonts w:hint="eastAsia" w:ascii="Times New Roman Regular" w:hAnsi="Times New Roman Regular" w:eastAsia="仿宋_GB2312" w:cs="Times New Roman Regular"/>
          <w:color w:val="auto"/>
          <w:sz w:val="32"/>
          <w:szCs w:val="40"/>
          <w:highlight w:val="none"/>
          <w:lang w:val="en-US" w:eastAsia="zh-CN"/>
        </w:rPr>
        <w:t>在评价周期内的博物馆卫生保洁，安全保卫，展馆维护，活动承办及文化宣传，预算资金申请及使用、非税收入情况等内容，从而全面分析荣成博物馆资金使用效率以及服务产生的社会影响。</w:t>
      </w:r>
    </w:p>
    <w:p w14:paraId="57FF622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w:t>
      </w:r>
      <w:r>
        <w:rPr>
          <w:rFonts w:hint="default" w:ascii="Times New Roman Regular" w:hAnsi="Times New Roman Regular" w:eastAsia="仿宋_GB2312" w:cs="Times New Roman Regular"/>
          <w:color w:val="auto"/>
          <w:sz w:val="32"/>
          <w:szCs w:val="40"/>
          <w:highlight w:val="none"/>
          <w:lang w:val="en-US" w:eastAsia="zh-CN"/>
        </w:rPr>
        <w:t>．评价指标体系</w:t>
      </w:r>
    </w:p>
    <w:p w14:paraId="7E9DC8F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项目整体绩效评价指标体系包括：决策指标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分值占比10%</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、过程指标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分值占比30%</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，产出指标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分值占比</w:t>
      </w:r>
      <w:r>
        <w:rPr>
          <w:rFonts w:hint="eastAsia" w:ascii="Times New Roman Regular" w:hAnsi="Times New Roman Regular" w:eastAsia="仿宋_GB2312" w:cs="Times New Roman Regular"/>
          <w:color w:val="auto"/>
          <w:sz w:val="32"/>
          <w:szCs w:val="40"/>
          <w:highlight w:val="none"/>
          <w:lang w:val="en-US" w:eastAsia="zh-CN"/>
        </w:rPr>
        <w:t>35</w:t>
      </w:r>
      <w:r>
        <w:rPr>
          <w:rFonts w:hint="default" w:ascii="Times New Roman Regular" w:hAnsi="Times New Roman Regular" w:eastAsia="仿宋_GB2312" w:cs="Times New Roman Regular"/>
          <w:color w:val="auto"/>
          <w:sz w:val="32"/>
          <w:szCs w:val="40"/>
          <w:highlight w:val="none"/>
          <w:lang w:val="en-US" w:eastAsia="zh-CN"/>
        </w:rPr>
        <w:t>%</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、效益指标</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分值占比2</w:t>
      </w:r>
      <w:r>
        <w:rPr>
          <w:rFonts w:hint="eastAsia" w:ascii="Times New Roman Regular" w:hAnsi="Times New Roman Regular" w:eastAsia="仿宋_GB2312" w:cs="Times New Roman Regular"/>
          <w:color w:val="auto"/>
          <w:sz w:val="32"/>
          <w:szCs w:val="40"/>
          <w:highlight w:val="none"/>
          <w:lang w:val="en-US" w:eastAsia="zh-CN"/>
        </w:rPr>
        <w:t>5</w:t>
      </w:r>
      <w:r>
        <w:rPr>
          <w:rFonts w:hint="default" w:ascii="Times New Roman Regular" w:hAnsi="Times New Roman Regular" w:eastAsia="仿宋_GB2312" w:cs="Times New Roman Regular"/>
          <w:color w:val="auto"/>
          <w:sz w:val="32"/>
          <w:szCs w:val="40"/>
          <w:highlight w:val="none"/>
          <w:lang w:val="en-US" w:eastAsia="zh-CN"/>
        </w:rPr>
        <w:t>%</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，绩效评价指标体系框架如下表。各指标解释、具体评分标准、评分依据、依据来源及收集方式等详见附件。</w:t>
      </w:r>
    </w:p>
    <w:p w14:paraId="1551C49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Regular" w:hAnsi="Times New Roman Regular" w:eastAsia="黑体" w:cs="Times New Roman Regular"/>
          <w:color w:val="auto"/>
          <w:sz w:val="28"/>
          <w:szCs w:val="28"/>
          <w:highlight w:val="none"/>
          <w:lang w:val="en-US" w:eastAsia="zh-CN"/>
        </w:rPr>
      </w:pPr>
      <w:r>
        <w:rPr>
          <w:rFonts w:hint="eastAsia" w:ascii="Times New Roman Regular" w:hAnsi="Times New Roman Regular" w:eastAsia="黑体" w:cs="Times New Roman Regular"/>
          <w:color w:val="auto"/>
          <w:sz w:val="28"/>
          <w:szCs w:val="28"/>
          <w:highlight w:val="none"/>
          <w:lang w:val="en-US" w:eastAsia="zh-CN"/>
        </w:rPr>
        <w:t>表3-1绩效评价指标体系框架</w:t>
      </w:r>
    </w:p>
    <w:tbl>
      <w:tblPr>
        <w:tblStyle w:val="12"/>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882"/>
        <w:gridCol w:w="2644"/>
        <w:gridCol w:w="3532"/>
        <w:gridCol w:w="1019"/>
      </w:tblGrid>
      <w:tr w14:paraId="0024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blHeader/>
        </w:trPr>
        <w:tc>
          <w:tcPr>
            <w:tcW w:w="1037" w:type="pct"/>
            <w:shd w:val="clear" w:color="auto" w:fill="FFFFFF"/>
            <w:noWrap/>
            <w:vAlign w:val="center"/>
          </w:tcPr>
          <w:p w14:paraId="0DA39BB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一级指标</w:t>
            </w:r>
          </w:p>
        </w:tc>
        <w:tc>
          <w:tcPr>
            <w:tcW w:w="1456" w:type="pct"/>
            <w:shd w:val="clear" w:color="auto" w:fill="FFFFFF"/>
            <w:noWrap/>
            <w:vAlign w:val="center"/>
          </w:tcPr>
          <w:p w14:paraId="54AD826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二级指标</w:t>
            </w:r>
          </w:p>
        </w:tc>
        <w:tc>
          <w:tcPr>
            <w:tcW w:w="1945" w:type="pct"/>
            <w:shd w:val="clear" w:color="auto" w:fill="FFFFFF"/>
            <w:noWrap/>
            <w:vAlign w:val="center"/>
          </w:tcPr>
          <w:p w14:paraId="650DA49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三级指标</w:t>
            </w:r>
          </w:p>
        </w:tc>
        <w:tc>
          <w:tcPr>
            <w:tcW w:w="561" w:type="pct"/>
            <w:shd w:val="clear" w:color="auto" w:fill="FFFFFF"/>
            <w:noWrap/>
            <w:vAlign w:val="center"/>
          </w:tcPr>
          <w:p w14:paraId="3E4D332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分值</w:t>
            </w:r>
          </w:p>
        </w:tc>
      </w:tr>
      <w:tr w14:paraId="18F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restart"/>
            <w:shd w:val="clear" w:color="auto" w:fill="FFFFFF"/>
            <w:noWrap w:val="0"/>
            <w:vAlign w:val="center"/>
          </w:tcPr>
          <w:p w14:paraId="43ABE29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决策（1</w:t>
            </w:r>
            <w:r>
              <w:rPr>
                <w:rFonts w:hint="eastAsia" w:ascii="Times New Roman" w:hAnsi="Times New Roman" w:eastAsia="仿宋_GB2312" w:cs="Times New Roman"/>
                <w:i w:val="0"/>
                <w:iCs w:val="0"/>
                <w:color w:val="auto"/>
                <w:kern w:val="0"/>
                <w:sz w:val="24"/>
                <w:szCs w:val="24"/>
                <w:u w:val="none"/>
                <w:lang w:val="en-US" w:eastAsia="zh-CN" w:bidi="ar"/>
              </w:rPr>
              <w:t>0</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456" w:type="pct"/>
            <w:vMerge w:val="restart"/>
            <w:shd w:val="clear" w:color="auto" w:fill="FFFFFF"/>
            <w:noWrap w:val="0"/>
            <w:vAlign w:val="center"/>
          </w:tcPr>
          <w:p w14:paraId="1232D0B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项目立项（</w:t>
            </w:r>
            <w:r>
              <w:rPr>
                <w:rFonts w:hint="eastAsia" w:ascii="Times New Roman" w:hAnsi="Times New Roman" w:eastAsia="仿宋_GB2312" w:cs="Times New Roman"/>
                <w:i w:val="0"/>
                <w:iCs w:val="0"/>
                <w:color w:val="auto"/>
                <w:kern w:val="0"/>
                <w:sz w:val="24"/>
                <w:szCs w:val="24"/>
                <w:u w:val="none"/>
                <w:lang w:val="en-US" w:eastAsia="zh-CN" w:bidi="ar"/>
              </w:rPr>
              <w:t>3</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5D7A929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立项依据充分性</w:t>
            </w:r>
          </w:p>
        </w:tc>
        <w:tc>
          <w:tcPr>
            <w:tcW w:w="561" w:type="pct"/>
            <w:shd w:val="clear" w:color="auto" w:fill="FFFFFF"/>
            <w:noWrap w:val="0"/>
            <w:vAlign w:val="center"/>
          </w:tcPr>
          <w:p w14:paraId="16C7C26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2</w:t>
            </w:r>
          </w:p>
        </w:tc>
      </w:tr>
      <w:tr w14:paraId="3FAC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363443AF">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5523A74F">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FFFFFF"/>
            <w:noWrap w:val="0"/>
            <w:vAlign w:val="center"/>
          </w:tcPr>
          <w:p w14:paraId="0B162C4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立项程序规范性</w:t>
            </w:r>
          </w:p>
        </w:tc>
        <w:tc>
          <w:tcPr>
            <w:tcW w:w="561" w:type="pct"/>
            <w:shd w:val="clear" w:color="auto" w:fill="FFFFFF"/>
            <w:noWrap w:val="0"/>
            <w:vAlign w:val="center"/>
          </w:tcPr>
          <w:p w14:paraId="6B7618E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1</w:t>
            </w:r>
          </w:p>
        </w:tc>
      </w:tr>
      <w:tr w14:paraId="17CA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331123C5">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restart"/>
            <w:shd w:val="clear" w:color="auto" w:fill="FFFFFF"/>
            <w:noWrap w:val="0"/>
            <w:vAlign w:val="center"/>
          </w:tcPr>
          <w:p w14:paraId="4570BCD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绩效目标（</w:t>
            </w:r>
            <w:r>
              <w:rPr>
                <w:rFonts w:hint="eastAsia" w:ascii="Times New Roman" w:hAnsi="Times New Roman" w:eastAsia="仿宋_GB2312" w:cs="Times New Roman"/>
                <w:i w:val="0"/>
                <w:iCs w:val="0"/>
                <w:color w:val="auto"/>
                <w:kern w:val="0"/>
                <w:sz w:val="24"/>
                <w:szCs w:val="24"/>
                <w:u w:val="none"/>
                <w:lang w:val="en-US" w:eastAsia="zh-CN" w:bidi="ar"/>
              </w:rPr>
              <w:t>3</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5B7AD09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绩效目标合理性</w:t>
            </w:r>
          </w:p>
        </w:tc>
        <w:tc>
          <w:tcPr>
            <w:tcW w:w="561" w:type="pct"/>
            <w:shd w:val="clear" w:color="auto" w:fill="FFFFFF"/>
            <w:noWrap w:val="0"/>
            <w:vAlign w:val="center"/>
          </w:tcPr>
          <w:p w14:paraId="2F94481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0"/>
                <w:sz w:val="24"/>
                <w:szCs w:val="24"/>
                <w:u w:val="none"/>
                <w:lang w:val="en-US" w:eastAsia="zh-CN" w:bidi="ar"/>
              </w:rPr>
              <w:t>2</w:t>
            </w:r>
          </w:p>
        </w:tc>
      </w:tr>
      <w:tr w14:paraId="3DED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AAE5C14">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7AE6491D">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FFFFFF"/>
            <w:noWrap w:val="0"/>
            <w:vAlign w:val="center"/>
          </w:tcPr>
          <w:p w14:paraId="718528F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绩效指标明确性</w:t>
            </w:r>
          </w:p>
        </w:tc>
        <w:tc>
          <w:tcPr>
            <w:tcW w:w="561" w:type="pct"/>
            <w:shd w:val="clear" w:color="auto" w:fill="FFFFFF"/>
            <w:noWrap w:val="0"/>
            <w:vAlign w:val="center"/>
          </w:tcPr>
          <w:p w14:paraId="0336950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0"/>
                <w:sz w:val="24"/>
                <w:szCs w:val="24"/>
                <w:u w:val="none"/>
                <w:lang w:val="en-US" w:eastAsia="zh-CN" w:bidi="ar"/>
              </w:rPr>
              <w:t>1</w:t>
            </w:r>
          </w:p>
        </w:tc>
      </w:tr>
      <w:tr w14:paraId="3DC9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20B93276">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6D4BEDB3">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预算编制（4）</w:t>
            </w:r>
          </w:p>
        </w:tc>
        <w:tc>
          <w:tcPr>
            <w:tcW w:w="1945" w:type="pct"/>
            <w:shd w:val="clear" w:color="auto" w:fill="FFFFFF"/>
            <w:noWrap w:val="0"/>
            <w:vAlign w:val="center"/>
          </w:tcPr>
          <w:p w14:paraId="04D18CE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预算编制科学性</w:t>
            </w:r>
          </w:p>
        </w:tc>
        <w:tc>
          <w:tcPr>
            <w:tcW w:w="561" w:type="pct"/>
            <w:shd w:val="clear" w:color="auto" w:fill="FFFFFF"/>
            <w:noWrap w:val="0"/>
            <w:vAlign w:val="center"/>
          </w:tcPr>
          <w:p w14:paraId="05AA56E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4</w:t>
            </w:r>
          </w:p>
        </w:tc>
      </w:tr>
      <w:tr w14:paraId="686B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restart"/>
            <w:shd w:val="clear" w:color="auto" w:fill="FFFFFF"/>
            <w:noWrap w:val="0"/>
            <w:vAlign w:val="center"/>
          </w:tcPr>
          <w:p w14:paraId="7C669EE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过程（</w:t>
            </w:r>
            <w:r>
              <w:rPr>
                <w:rFonts w:hint="eastAsia" w:ascii="Times New Roman" w:hAnsi="Times New Roman" w:eastAsia="仿宋_GB2312" w:cs="Times New Roman"/>
                <w:i w:val="0"/>
                <w:iCs w:val="0"/>
                <w:color w:val="auto"/>
                <w:kern w:val="0"/>
                <w:sz w:val="24"/>
                <w:szCs w:val="24"/>
                <w:u w:val="none"/>
                <w:lang w:val="en-US" w:eastAsia="zh-CN" w:bidi="ar"/>
              </w:rPr>
              <w:t>30</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456" w:type="pct"/>
            <w:vMerge w:val="restart"/>
            <w:shd w:val="clear" w:color="auto" w:fill="FFFFFF"/>
            <w:noWrap w:val="0"/>
            <w:vAlign w:val="center"/>
          </w:tcPr>
          <w:p w14:paraId="1E8B7A2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资金管理（8）</w:t>
            </w:r>
          </w:p>
        </w:tc>
        <w:tc>
          <w:tcPr>
            <w:tcW w:w="1945" w:type="pct"/>
            <w:shd w:val="clear" w:color="auto" w:fill="auto"/>
            <w:noWrap w:val="0"/>
            <w:vAlign w:val="center"/>
          </w:tcPr>
          <w:p w14:paraId="5785B97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资金到位率</w:t>
            </w:r>
          </w:p>
        </w:tc>
        <w:tc>
          <w:tcPr>
            <w:tcW w:w="561" w:type="pct"/>
            <w:shd w:val="clear" w:color="auto" w:fill="auto"/>
            <w:noWrap w:val="0"/>
            <w:vAlign w:val="center"/>
          </w:tcPr>
          <w:p w14:paraId="3098033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3</w:t>
            </w:r>
          </w:p>
        </w:tc>
      </w:tr>
      <w:tr w14:paraId="458C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1D642EB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456" w:type="pct"/>
            <w:vMerge w:val="continue"/>
            <w:shd w:val="clear" w:color="auto" w:fill="FFFFFF"/>
            <w:noWrap w:val="0"/>
            <w:vAlign w:val="center"/>
          </w:tcPr>
          <w:p w14:paraId="694B709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945" w:type="pct"/>
            <w:shd w:val="clear" w:color="auto" w:fill="FFFFFF"/>
            <w:noWrap w:val="0"/>
            <w:vAlign w:val="center"/>
          </w:tcPr>
          <w:p w14:paraId="4C5B726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预算执行率</w:t>
            </w:r>
          </w:p>
        </w:tc>
        <w:tc>
          <w:tcPr>
            <w:tcW w:w="561" w:type="pct"/>
            <w:shd w:val="clear" w:color="auto" w:fill="FFFFFF"/>
            <w:noWrap w:val="0"/>
            <w:vAlign w:val="center"/>
          </w:tcPr>
          <w:p w14:paraId="1C1D959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3</w:t>
            </w:r>
          </w:p>
        </w:tc>
      </w:tr>
      <w:tr w14:paraId="5092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15F71195">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544900AC">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FFFFFF"/>
            <w:noWrap w:val="0"/>
            <w:vAlign w:val="center"/>
          </w:tcPr>
          <w:p w14:paraId="6309D2B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资金使用合规性</w:t>
            </w:r>
          </w:p>
        </w:tc>
        <w:tc>
          <w:tcPr>
            <w:tcW w:w="561" w:type="pct"/>
            <w:shd w:val="clear" w:color="auto" w:fill="FFFFFF"/>
            <w:noWrap w:val="0"/>
            <w:vAlign w:val="center"/>
          </w:tcPr>
          <w:p w14:paraId="60C9444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2</w:t>
            </w:r>
          </w:p>
        </w:tc>
      </w:tr>
      <w:tr w14:paraId="16AA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1FADE68A">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29EBCFB5">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lang w:val="en-US"/>
              </w:rPr>
            </w:pPr>
            <w:r>
              <w:rPr>
                <w:rFonts w:hint="default" w:ascii="Times New Roman" w:hAnsi="Times New Roman" w:eastAsia="仿宋_GB2312" w:cs="Times New Roman"/>
                <w:i w:val="0"/>
                <w:iCs w:val="0"/>
                <w:color w:val="auto"/>
                <w:sz w:val="24"/>
                <w:szCs w:val="24"/>
                <w:u w:val="none"/>
                <w:lang w:val="en-US" w:eastAsia="zh-CN"/>
              </w:rPr>
              <w:t>采购管理（</w:t>
            </w:r>
            <w:r>
              <w:rPr>
                <w:rFonts w:hint="eastAsia" w:ascii="Times New Roman" w:hAnsi="Times New Roman" w:eastAsia="仿宋_GB2312" w:cs="Times New Roman"/>
                <w:i w:val="0"/>
                <w:iCs w:val="0"/>
                <w:color w:val="auto"/>
                <w:sz w:val="24"/>
                <w:szCs w:val="24"/>
                <w:u w:val="none"/>
                <w:lang w:val="en-US" w:eastAsia="zh-CN"/>
              </w:rPr>
              <w:t>2</w:t>
            </w:r>
            <w:r>
              <w:rPr>
                <w:rFonts w:hint="default" w:ascii="Times New Roman" w:hAnsi="Times New Roman" w:eastAsia="仿宋_GB2312" w:cs="Times New Roman"/>
                <w:i w:val="0"/>
                <w:iCs w:val="0"/>
                <w:color w:val="auto"/>
                <w:sz w:val="24"/>
                <w:szCs w:val="24"/>
                <w:u w:val="none"/>
                <w:lang w:val="en-US" w:eastAsia="zh-CN"/>
              </w:rPr>
              <w:t>）</w:t>
            </w:r>
          </w:p>
        </w:tc>
        <w:tc>
          <w:tcPr>
            <w:tcW w:w="1945" w:type="pct"/>
            <w:shd w:val="clear" w:color="auto" w:fill="auto"/>
            <w:noWrap w:val="0"/>
            <w:vAlign w:val="center"/>
          </w:tcPr>
          <w:p w14:paraId="19C93FC5">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t>采购方式适用性</w:t>
            </w:r>
          </w:p>
        </w:tc>
        <w:tc>
          <w:tcPr>
            <w:tcW w:w="561" w:type="pct"/>
            <w:shd w:val="clear" w:color="auto" w:fill="auto"/>
            <w:noWrap w:val="0"/>
            <w:vAlign w:val="center"/>
          </w:tcPr>
          <w:p w14:paraId="1BEEE63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1</w:t>
            </w:r>
          </w:p>
        </w:tc>
      </w:tr>
      <w:tr w14:paraId="48B0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2D235AA7">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0FC67969">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lang w:val="en-US" w:eastAsia="zh-CN"/>
              </w:rPr>
            </w:pPr>
          </w:p>
        </w:tc>
        <w:tc>
          <w:tcPr>
            <w:tcW w:w="1945" w:type="pct"/>
            <w:shd w:val="clear" w:color="auto" w:fill="auto"/>
            <w:noWrap w:val="0"/>
            <w:vAlign w:val="center"/>
          </w:tcPr>
          <w:p w14:paraId="3CA81448">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采购计划备案完整性</w:t>
            </w:r>
          </w:p>
        </w:tc>
        <w:tc>
          <w:tcPr>
            <w:tcW w:w="561" w:type="pct"/>
            <w:shd w:val="clear" w:color="auto" w:fill="auto"/>
            <w:noWrap w:val="0"/>
            <w:vAlign w:val="center"/>
          </w:tcPr>
          <w:p w14:paraId="64CD4F4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1</w:t>
            </w:r>
          </w:p>
        </w:tc>
      </w:tr>
      <w:tr w14:paraId="3D6D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031BB84C">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restart"/>
            <w:shd w:val="clear" w:color="auto" w:fill="FFFFFF"/>
            <w:noWrap w:val="0"/>
            <w:vAlign w:val="center"/>
          </w:tcPr>
          <w:p w14:paraId="68B90A94">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lang w:val="en-US"/>
              </w:rPr>
            </w:pPr>
            <w:r>
              <w:rPr>
                <w:rFonts w:hint="default" w:ascii="Times New Roman" w:hAnsi="Times New Roman" w:eastAsia="仿宋_GB2312" w:cs="Times New Roman"/>
                <w:i w:val="0"/>
                <w:iCs w:val="0"/>
                <w:color w:val="auto"/>
                <w:sz w:val="24"/>
                <w:szCs w:val="24"/>
                <w:u w:val="none"/>
                <w:lang w:val="en-US" w:eastAsia="zh-CN"/>
              </w:rPr>
              <w:t>合同签订（</w:t>
            </w:r>
            <w:r>
              <w:rPr>
                <w:rFonts w:hint="eastAsia" w:ascii="Times New Roman" w:hAnsi="Times New Roman" w:eastAsia="仿宋_GB2312" w:cs="Times New Roman"/>
                <w:i w:val="0"/>
                <w:iCs w:val="0"/>
                <w:color w:val="auto"/>
                <w:sz w:val="24"/>
                <w:szCs w:val="24"/>
                <w:u w:val="none"/>
                <w:lang w:val="en-US" w:eastAsia="zh-CN"/>
              </w:rPr>
              <w:t>10</w:t>
            </w:r>
            <w:r>
              <w:rPr>
                <w:rFonts w:hint="default" w:ascii="Times New Roman" w:hAnsi="Times New Roman" w:eastAsia="仿宋_GB2312" w:cs="Times New Roman"/>
                <w:i w:val="0"/>
                <w:iCs w:val="0"/>
                <w:color w:val="auto"/>
                <w:sz w:val="24"/>
                <w:szCs w:val="24"/>
                <w:u w:val="none"/>
                <w:lang w:val="en-US" w:eastAsia="zh-CN"/>
              </w:rPr>
              <w:t>）</w:t>
            </w:r>
          </w:p>
        </w:tc>
        <w:tc>
          <w:tcPr>
            <w:tcW w:w="1945" w:type="pct"/>
            <w:shd w:val="clear" w:color="auto" w:fill="auto"/>
            <w:noWrap w:val="0"/>
            <w:vAlign w:val="center"/>
          </w:tcPr>
          <w:p w14:paraId="79382542">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合同签订时效性</w:t>
            </w:r>
          </w:p>
        </w:tc>
        <w:tc>
          <w:tcPr>
            <w:tcW w:w="561" w:type="pct"/>
            <w:shd w:val="clear" w:color="auto" w:fill="auto"/>
            <w:noWrap w:val="0"/>
            <w:vAlign w:val="center"/>
          </w:tcPr>
          <w:p w14:paraId="36EC747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r>
      <w:tr w14:paraId="3C32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598B997">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0433CE24">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auto"/>
            <w:noWrap w:val="0"/>
            <w:vAlign w:val="center"/>
          </w:tcPr>
          <w:p w14:paraId="4B3C64E5">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合同签订规范性</w:t>
            </w:r>
          </w:p>
        </w:tc>
        <w:tc>
          <w:tcPr>
            <w:tcW w:w="561" w:type="pct"/>
            <w:shd w:val="clear" w:color="auto" w:fill="auto"/>
            <w:noWrap w:val="0"/>
            <w:vAlign w:val="center"/>
          </w:tcPr>
          <w:p w14:paraId="06F70FA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5</w:t>
            </w:r>
          </w:p>
        </w:tc>
      </w:tr>
      <w:tr w14:paraId="4319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A516B4C">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6EE11067">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auto"/>
            <w:noWrap w:val="0"/>
            <w:vAlign w:val="center"/>
          </w:tcPr>
          <w:p w14:paraId="7A4CD9A6">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合同条款合理性</w:t>
            </w:r>
          </w:p>
        </w:tc>
        <w:tc>
          <w:tcPr>
            <w:tcW w:w="561" w:type="pct"/>
            <w:shd w:val="clear" w:color="auto" w:fill="auto"/>
            <w:noWrap w:val="0"/>
            <w:vAlign w:val="center"/>
          </w:tcPr>
          <w:p w14:paraId="6AFEA4B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4</w:t>
            </w:r>
          </w:p>
        </w:tc>
      </w:tr>
      <w:tr w14:paraId="42CA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1E77921A">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restart"/>
            <w:shd w:val="clear" w:color="auto" w:fill="FFFFFF"/>
            <w:noWrap w:val="0"/>
            <w:vAlign w:val="center"/>
          </w:tcPr>
          <w:p w14:paraId="0EB37F2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组织实施（</w:t>
            </w:r>
            <w:r>
              <w:rPr>
                <w:rFonts w:hint="eastAsia" w:ascii="Times New Roman" w:hAnsi="Times New Roman" w:eastAsia="仿宋_GB2312" w:cs="Times New Roman"/>
                <w:i w:val="0"/>
                <w:iCs w:val="0"/>
                <w:color w:val="auto"/>
                <w:kern w:val="0"/>
                <w:sz w:val="24"/>
                <w:szCs w:val="24"/>
                <w:u w:val="none"/>
                <w:lang w:val="en-US" w:eastAsia="zh-CN" w:bidi="ar"/>
              </w:rPr>
              <w:t>10</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6690303E">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管理制度健全性</w:t>
            </w:r>
          </w:p>
        </w:tc>
        <w:tc>
          <w:tcPr>
            <w:tcW w:w="561" w:type="pct"/>
            <w:shd w:val="clear" w:color="auto" w:fill="FFFFFF"/>
            <w:noWrap w:val="0"/>
            <w:vAlign w:val="center"/>
          </w:tcPr>
          <w:p w14:paraId="5A503C8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0"/>
                <w:sz w:val="24"/>
                <w:szCs w:val="24"/>
                <w:u w:val="none"/>
                <w:lang w:val="en-US" w:eastAsia="zh-CN" w:bidi="ar"/>
              </w:rPr>
              <w:t>4</w:t>
            </w:r>
          </w:p>
        </w:tc>
      </w:tr>
      <w:tr w14:paraId="41BB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74C7CB6D">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56D4CEDE">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945" w:type="pct"/>
            <w:shd w:val="clear" w:color="auto" w:fill="FFFFFF"/>
            <w:noWrap w:val="0"/>
            <w:vAlign w:val="center"/>
          </w:tcPr>
          <w:p w14:paraId="078765F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制度执行有效性</w:t>
            </w:r>
          </w:p>
        </w:tc>
        <w:tc>
          <w:tcPr>
            <w:tcW w:w="561" w:type="pct"/>
            <w:shd w:val="clear" w:color="auto" w:fill="FFFFFF"/>
            <w:noWrap w:val="0"/>
            <w:vAlign w:val="center"/>
          </w:tcPr>
          <w:p w14:paraId="4149FD7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0"/>
                <w:sz w:val="24"/>
                <w:szCs w:val="24"/>
                <w:u w:val="none"/>
                <w:lang w:val="en-US" w:eastAsia="zh-CN" w:bidi="ar"/>
              </w:rPr>
              <w:t>6</w:t>
            </w:r>
          </w:p>
        </w:tc>
      </w:tr>
      <w:tr w14:paraId="168A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restart"/>
            <w:shd w:val="clear" w:color="auto" w:fill="FFFFFF"/>
            <w:noWrap w:val="0"/>
            <w:vAlign w:val="center"/>
          </w:tcPr>
          <w:p w14:paraId="5275900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产出（3</w:t>
            </w:r>
            <w:r>
              <w:rPr>
                <w:rFonts w:hint="eastAsia" w:ascii="Times New Roman" w:hAnsi="Times New Roman" w:eastAsia="仿宋_GB2312" w:cs="Times New Roman"/>
                <w:i w:val="0"/>
                <w:iCs w:val="0"/>
                <w:color w:val="auto"/>
                <w:kern w:val="0"/>
                <w:sz w:val="24"/>
                <w:szCs w:val="24"/>
                <w:u w:val="none"/>
                <w:lang w:val="en-US" w:eastAsia="zh-CN" w:bidi="ar"/>
              </w:rPr>
              <w:t>5</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456" w:type="pct"/>
            <w:vMerge w:val="restart"/>
            <w:shd w:val="clear" w:color="auto" w:fill="FFFFFF"/>
            <w:noWrap w:val="0"/>
            <w:vAlign w:val="center"/>
          </w:tcPr>
          <w:p w14:paraId="4C1E574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产出数量（</w:t>
            </w:r>
            <w:r>
              <w:rPr>
                <w:rFonts w:hint="eastAsia" w:ascii="Times New Roman" w:hAnsi="Times New Roman" w:eastAsia="仿宋_GB2312" w:cs="Times New Roman"/>
                <w:i w:val="0"/>
                <w:iCs w:val="0"/>
                <w:color w:val="auto"/>
                <w:kern w:val="0"/>
                <w:sz w:val="24"/>
                <w:szCs w:val="24"/>
                <w:u w:val="none"/>
                <w:lang w:val="en-US" w:eastAsia="zh-CN" w:bidi="ar"/>
              </w:rPr>
              <w:t>5</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364EF7E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sz w:val="24"/>
                <w:szCs w:val="24"/>
                <w:lang w:val="en-US" w:eastAsia="zh-CN"/>
              </w:rPr>
              <w:t>设备设施维护保养工作完成率</w:t>
            </w:r>
          </w:p>
        </w:tc>
        <w:tc>
          <w:tcPr>
            <w:tcW w:w="561" w:type="pct"/>
            <w:shd w:val="clear" w:color="auto" w:fill="FFFFFF"/>
            <w:noWrap w:val="0"/>
            <w:vAlign w:val="center"/>
          </w:tcPr>
          <w:p w14:paraId="2252BB4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0"/>
                <w:sz w:val="24"/>
                <w:szCs w:val="24"/>
                <w:u w:val="none"/>
                <w:lang w:val="en-US" w:eastAsia="zh-CN" w:bidi="ar"/>
              </w:rPr>
              <w:t>2</w:t>
            </w:r>
          </w:p>
        </w:tc>
      </w:tr>
      <w:tr w14:paraId="71A5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4D7F11A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456" w:type="pct"/>
            <w:vMerge w:val="continue"/>
            <w:shd w:val="clear" w:color="auto" w:fill="FFFFFF"/>
            <w:noWrap w:val="0"/>
            <w:vAlign w:val="center"/>
          </w:tcPr>
          <w:p w14:paraId="01D38F6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945" w:type="pct"/>
            <w:shd w:val="clear" w:color="auto" w:fill="FFFFFF"/>
            <w:noWrap w:val="0"/>
            <w:vAlign w:val="center"/>
          </w:tcPr>
          <w:p w14:paraId="4AA30BE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sz w:val="24"/>
                <w:szCs w:val="24"/>
                <w:lang w:val="en-US" w:eastAsia="zh-CN"/>
              </w:rPr>
              <w:t>日常运行工作完成率</w:t>
            </w:r>
          </w:p>
        </w:tc>
        <w:tc>
          <w:tcPr>
            <w:tcW w:w="561" w:type="pct"/>
            <w:shd w:val="clear" w:color="auto" w:fill="FFFFFF"/>
            <w:noWrap w:val="0"/>
            <w:vAlign w:val="center"/>
          </w:tcPr>
          <w:p w14:paraId="414F984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3</w:t>
            </w:r>
          </w:p>
        </w:tc>
      </w:tr>
      <w:tr w14:paraId="2142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6E941DB">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76AA94F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产出质量（</w:t>
            </w:r>
            <w:r>
              <w:rPr>
                <w:rFonts w:hint="eastAsia" w:ascii="Times New Roman" w:hAnsi="Times New Roman" w:eastAsia="仿宋_GB2312" w:cs="Times New Roman"/>
                <w:i w:val="0"/>
                <w:iCs w:val="0"/>
                <w:color w:val="auto"/>
                <w:kern w:val="0"/>
                <w:sz w:val="24"/>
                <w:szCs w:val="24"/>
                <w:u w:val="none"/>
                <w:lang w:val="en-US" w:eastAsia="zh-CN" w:bidi="ar"/>
              </w:rPr>
              <w:t>5</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5036075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质量达标率</w:t>
            </w:r>
          </w:p>
        </w:tc>
        <w:tc>
          <w:tcPr>
            <w:tcW w:w="561" w:type="pct"/>
            <w:shd w:val="clear" w:color="auto" w:fill="FFFFFF"/>
            <w:noWrap w:val="0"/>
            <w:vAlign w:val="center"/>
          </w:tcPr>
          <w:p w14:paraId="5BA26EB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5</w:t>
            </w:r>
          </w:p>
        </w:tc>
      </w:tr>
      <w:tr w14:paraId="7376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70497ECA">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30908DA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产出时效（</w:t>
            </w:r>
            <w:r>
              <w:rPr>
                <w:rFonts w:hint="eastAsia" w:ascii="Times New Roman" w:hAnsi="Times New Roman" w:eastAsia="仿宋_GB2312" w:cs="Times New Roman"/>
                <w:i w:val="0"/>
                <w:iCs w:val="0"/>
                <w:color w:val="auto"/>
                <w:kern w:val="0"/>
                <w:sz w:val="24"/>
                <w:szCs w:val="24"/>
                <w:u w:val="none"/>
                <w:lang w:val="en-US" w:eastAsia="zh-CN" w:bidi="ar"/>
              </w:rPr>
              <w:t>5</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76734B1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完成及时性</w:t>
            </w:r>
          </w:p>
        </w:tc>
        <w:tc>
          <w:tcPr>
            <w:tcW w:w="561" w:type="pct"/>
            <w:shd w:val="clear" w:color="auto" w:fill="FFFFFF"/>
            <w:noWrap w:val="0"/>
            <w:vAlign w:val="center"/>
          </w:tcPr>
          <w:p w14:paraId="114469C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5</w:t>
            </w:r>
          </w:p>
        </w:tc>
      </w:tr>
      <w:tr w14:paraId="52BF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6A94331">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restart"/>
            <w:shd w:val="clear" w:color="auto" w:fill="FFFFFF"/>
            <w:noWrap w:val="0"/>
            <w:vAlign w:val="center"/>
          </w:tcPr>
          <w:p w14:paraId="3DEFE6A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产出成本（</w:t>
            </w:r>
            <w:r>
              <w:rPr>
                <w:rFonts w:hint="eastAsia" w:ascii="Times New Roman" w:hAnsi="Times New Roman" w:eastAsia="仿宋_GB2312" w:cs="Times New Roman"/>
                <w:i w:val="0"/>
                <w:iCs w:val="0"/>
                <w:color w:val="auto"/>
                <w:kern w:val="0"/>
                <w:sz w:val="24"/>
                <w:szCs w:val="24"/>
                <w:u w:val="none"/>
                <w:lang w:val="en-US" w:eastAsia="zh-CN" w:bidi="ar"/>
              </w:rPr>
              <w:t>20</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0507A55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sz w:val="24"/>
                <w:szCs w:val="24"/>
                <w:lang w:val="en-US" w:eastAsia="zh-CN"/>
              </w:rPr>
              <w:t>人工成本控制情况</w:t>
            </w:r>
          </w:p>
        </w:tc>
        <w:tc>
          <w:tcPr>
            <w:tcW w:w="561" w:type="pct"/>
            <w:shd w:val="clear" w:color="auto" w:fill="FFFFFF"/>
            <w:noWrap w:val="0"/>
            <w:vAlign w:val="center"/>
          </w:tcPr>
          <w:p w14:paraId="4096EEA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10</w:t>
            </w:r>
          </w:p>
        </w:tc>
      </w:tr>
      <w:tr w14:paraId="56E4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23C3320F">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575B111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945" w:type="pct"/>
            <w:shd w:val="clear" w:color="auto" w:fill="FFFFFF"/>
            <w:noWrap w:val="0"/>
            <w:vAlign w:val="center"/>
          </w:tcPr>
          <w:p w14:paraId="5048317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sz w:val="24"/>
                <w:szCs w:val="24"/>
                <w:lang w:val="en-US" w:eastAsia="zh-CN"/>
              </w:rPr>
              <w:t>专项委托事项成本控制情况</w:t>
            </w:r>
          </w:p>
        </w:tc>
        <w:tc>
          <w:tcPr>
            <w:tcW w:w="561" w:type="pct"/>
            <w:shd w:val="clear" w:color="auto" w:fill="FFFFFF"/>
            <w:noWrap w:val="0"/>
            <w:vAlign w:val="center"/>
          </w:tcPr>
          <w:p w14:paraId="750C178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4</w:t>
            </w:r>
          </w:p>
        </w:tc>
      </w:tr>
      <w:tr w14:paraId="20D9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405C65CA">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vMerge w:val="continue"/>
            <w:shd w:val="clear" w:color="auto" w:fill="FFFFFF"/>
            <w:noWrap w:val="0"/>
            <w:vAlign w:val="center"/>
          </w:tcPr>
          <w:p w14:paraId="3AECEFC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1945" w:type="pct"/>
            <w:shd w:val="clear" w:color="auto" w:fill="FFFFFF"/>
            <w:noWrap w:val="0"/>
            <w:vAlign w:val="center"/>
          </w:tcPr>
          <w:p w14:paraId="5A02EA4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sz w:val="24"/>
                <w:szCs w:val="24"/>
                <w:lang w:val="en-US" w:eastAsia="zh-CN"/>
              </w:rPr>
              <w:t>活动成本控制情况</w:t>
            </w:r>
          </w:p>
        </w:tc>
        <w:tc>
          <w:tcPr>
            <w:tcW w:w="561" w:type="pct"/>
            <w:shd w:val="clear" w:color="auto" w:fill="FFFFFF"/>
            <w:noWrap w:val="0"/>
            <w:vAlign w:val="center"/>
          </w:tcPr>
          <w:p w14:paraId="341A0F2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6</w:t>
            </w:r>
          </w:p>
        </w:tc>
      </w:tr>
      <w:tr w14:paraId="0773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restart"/>
            <w:shd w:val="clear" w:color="auto" w:fill="FFFFFF"/>
            <w:noWrap w:val="0"/>
            <w:vAlign w:val="center"/>
          </w:tcPr>
          <w:p w14:paraId="194646C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效益（2</w:t>
            </w:r>
            <w:r>
              <w:rPr>
                <w:rFonts w:hint="eastAsia" w:ascii="Times New Roman" w:hAnsi="Times New Roman" w:eastAsia="仿宋_GB2312" w:cs="Times New Roman"/>
                <w:i w:val="0"/>
                <w:iCs w:val="0"/>
                <w:color w:val="auto"/>
                <w:kern w:val="0"/>
                <w:sz w:val="24"/>
                <w:szCs w:val="24"/>
                <w:u w:val="none"/>
                <w:lang w:val="en-US" w:eastAsia="zh-CN" w:bidi="ar"/>
              </w:rPr>
              <w:t>5</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456" w:type="pct"/>
            <w:shd w:val="clear" w:color="auto" w:fill="FFFFFF"/>
            <w:noWrap w:val="0"/>
            <w:vAlign w:val="center"/>
          </w:tcPr>
          <w:p w14:paraId="740C68E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社会效益（</w:t>
            </w:r>
            <w:r>
              <w:rPr>
                <w:rFonts w:hint="eastAsia" w:ascii="Times New Roman" w:hAnsi="Times New Roman" w:eastAsia="仿宋_GB2312" w:cs="Times New Roman"/>
                <w:i w:val="0"/>
                <w:iCs w:val="0"/>
                <w:color w:val="auto"/>
                <w:kern w:val="0"/>
                <w:sz w:val="24"/>
                <w:szCs w:val="24"/>
                <w:u w:val="none"/>
                <w:lang w:val="en-US" w:eastAsia="zh-CN" w:bidi="ar"/>
              </w:rPr>
              <w:t>6</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2A278CF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活动承办情况</w:t>
            </w:r>
          </w:p>
        </w:tc>
        <w:tc>
          <w:tcPr>
            <w:tcW w:w="561" w:type="pct"/>
            <w:shd w:val="clear" w:color="auto" w:fill="FFFFFF"/>
            <w:noWrap w:val="0"/>
            <w:vAlign w:val="center"/>
          </w:tcPr>
          <w:p w14:paraId="7DEF644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6</w:t>
            </w:r>
          </w:p>
        </w:tc>
      </w:tr>
      <w:tr w14:paraId="754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5CF61D99">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4C1E6B0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lang w:val="en-US" w:eastAsia="zh-CN"/>
              </w:rPr>
            </w:pPr>
            <w:r>
              <w:rPr>
                <w:rFonts w:hint="default" w:ascii="Times New Roman" w:hAnsi="Times New Roman" w:eastAsia="仿宋_GB2312" w:cs="Times New Roman"/>
                <w:i w:val="0"/>
                <w:iCs w:val="0"/>
                <w:color w:val="auto"/>
                <w:sz w:val="24"/>
                <w:szCs w:val="24"/>
                <w:u w:val="none"/>
                <w:lang w:val="en-US" w:eastAsia="zh-CN"/>
              </w:rPr>
              <w:t>经济效益（</w:t>
            </w:r>
            <w:r>
              <w:rPr>
                <w:rFonts w:hint="eastAsia" w:ascii="Times New Roman" w:hAnsi="Times New Roman" w:eastAsia="仿宋_GB2312" w:cs="Times New Roman"/>
                <w:i w:val="0"/>
                <w:iCs w:val="0"/>
                <w:color w:val="auto"/>
                <w:sz w:val="24"/>
                <w:szCs w:val="24"/>
                <w:u w:val="none"/>
                <w:lang w:val="en-US" w:eastAsia="zh-CN"/>
              </w:rPr>
              <w:t>2</w:t>
            </w:r>
            <w:r>
              <w:rPr>
                <w:rFonts w:hint="default" w:ascii="Times New Roman" w:hAnsi="Times New Roman" w:eastAsia="仿宋_GB2312" w:cs="Times New Roman"/>
                <w:i w:val="0"/>
                <w:iCs w:val="0"/>
                <w:color w:val="auto"/>
                <w:sz w:val="24"/>
                <w:szCs w:val="24"/>
                <w:u w:val="none"/>
                <w:lang w:val="en-US" w:eastAsia="zh-CN"/>
              </w:rPr>
              <w:t>）</w:t>
            </w:r>
          </w:p>
        </w:tc>
        <w:tc>
          <w:tcPr>
            <w:tcW w:w="1945" w:type="pct"/>
            <w:shd w:val="clear" w:color="auto" w:fill="FFFFFF"/>
            <w:noWrap w:val="0"/>
            <w:vAlign w:val="center"/>
          </w:tcPr>
          <w:p w14:paraId="3024FD1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陈列馆培训费收入情况</w:t>
            </w:r>
          </w:p>
        </w:tc>
        <w:tc>
          <w:tcPr>
            <w:tcW w:w="561" w:type="pct"/>
            <w:shd w:val="clear" w:color="auto" w:fill="FFFFFF"/>
            <w:noWrap w:val="0"/>
            <w:vAlign w:val="center"/>
          </w:tcPr>
          <w:p w14:paraId="313EFD7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2</w:t>
            </w:r>
          </w:p>
        </w:tc>
      </w:tr>
      <w:tr w14:paraId="3FE0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6E1BB7EF">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397A0C5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sz w:val="24"/>
                <w:szCs w:val="24"/>
                <w:u w:val="none"/>
                <w:lang w:val="en-US" w:eastAsia="zh-CN"/>
              </w:rPr>
            </w:pPr>
            <w:r>
              <w:rPr>
                <w:rFonts w:hint="default" w:ascii="Times New Roman" w:hAnsi="Times New Roman" w:eastAsia="仿宋_GB2312" w:cs="Times New Roman"/>
                <w:i w:val="0"/>
                <w:iCs w:val="0"/>
                <w:color w:val="auto"/>
                <w:sz w:val="24"/>
                <w:szCs w:val="24"/>
                <w:u w:val="none"/>
                <w:lang w:val="en-US" w:eastAsia="zh-CN"/>
              </w:rPr>
              <w:t>可持续影响（</w:t>
            </w:r>
            <w:r>
              <w:rPr>
                <w:rFonts w:hint="eastAsia" w:ascii="Times New Roman" w:hAnsi="Times New Roman" w:eastAsia="仿宋_GB2312" w:cs="Times New Roman"/>
                <w:i w:val="0"/>
                <w:iCs w:val="0"/>
                <w:color w:val="auto"/>
                <w:sz w:val="24"/>
                <w:szCs w:val="24"/>
                <w:u w:val="none"/>
                <w:lang w:val="en-US" w:eastAsia="zh-CN"/>
              </w:rPr>
              <w:t>7</w:t>
            </w:r>
            <w:r>
              <w:rPr>
                <w:rFonts w:hint="default" w:ascii="Times New Roman" w:hAnsi="Times New Roman" w:eastAsia="仿宋_GB2312" w:cs="Times New Roman"/>
                <w:i w:val="0"/>
                <w:iCs w:val="0"/>
                <w:color w:val="auto"/>
                <w:sz w:val="24"/>
                <w:szCs w:val="24"/>
                <w:u w:val="none"/>
                <w:lang w:val="en-US" w:eastAsia="zh-CN"/>
              </w:rPr>
              <w:t>）</w:t>
            </w:r>
          </w:p>
        </w:tc>
        <w:tc>
          <w:tcPr>
            <w:tcW w:w="1945" w:type="pct"/>
            <w:shd w:val="clear" w:color="auto" w:fill="FFFFFF"/>
            <w:noWrap w:val="0"/>
            <w:vAlign w:val="center"/>
          </w:tcPr>
          <w:p w14:paraId="30484B4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游客量变化情况</w:t>
            </w:r>
          </w:p>
        </w:tc>
        <w:tc>
          <w:tcPr>
            <w:tcW w:w="561" w:type="pct"/>
            <w:shd w:val="clear" w:color="auto" w:fill="FFFFFF"/>
            <w:noWrap w:val="0"/>
            <w:vAlign w:val="center"/>
          </w:tcPr>
          <w:p w14:paraId="469EB31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7</w:t>
            </w:r>
          </w:p>
        </w:tc>
      </w:tr>
      <w:tr w14:paraId="141B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1037" w:type="pct"/>
            <w:vMerge w:val="continue"/>
            <w:shd w:val="clear" w:color="auto" w:fill="FFFFFF"/>
            <w:noWrap w:val="0"/>
            <w:vAlign w:val="center"/>
          </w:tcPr>
          <w:p w14:paraId="106EDDF6">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sz w:val="24"/>
                <w:szCs w:val="24"/>
                <w:u w:val="none"/>
              </w:rPr>
            </w:pPr>
          </w:p>
        </w:tc>
        <w:tc>
          <w:tcPr>
            <w:tcW w:w="1456" w:type="pct"/>
            <w:shd w:val="clear" w:color="auto" w:fill="FFFFFF"/>
            <w:noWrap w:val="0"/>
            <w:vAlign w:val="center"/>
          </w:tcPr>
          <w:p w14:paraId="0B4A55C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满意度（</w:t>
            </w:r>
            <w:r>
              <w:rPr>
                <w:rFonts w:hint="eastAsia" w:ascii="Times New Roman" w:hAnsi="Times New Roman" w:eastAsia="仿宋_GB2312" w:cs="Times New Roman"/>
                <w:i w:val="0"/>
                <w:iCs w:val="0"/>
                <w:color w:val="auto"/>
                <w:kern w:val="0"/>
                <w:sz w:val="24"/>
                <w:szCs w:val="24"/>
                <w:u w:val="none"/>
                <w:lang w:val="en-US" w:eastAsia="zh-CN" w:bidi="ar"/>
              </w:rPr>
              <w:t>10</w:t>
            </w:r>
            <w:r>
              <w:rPr>
                <w:rFonts w:hint="default" w:ascii="Times New Roman" w:hAnsi="Times New Roman" w:eastAsia="仿宋_GB2312" w:cs="Times New Roman"/>
                <w:i w:val="0"/>
                <w:iCs w:val="0"/>
                <w:color w:val="auto"/>
                <w:kern w:val="0"/>
                <w:sz w:val="24"/>
                <w:szCs w:val="24"/>
                <w:u w:val="none"/>
                <w:lang w:val="en-US" w:eastAsia="zh-CN" w:bidi="ar"/>
              </w:rPr>
              <w:t>）</w:t>
            </w:r>
          </w:p>
        </w:tc>
        <w:tc>
          <w:tcPr>
            <w:tcW w:w="1945" w:type="pct"/>
            <w:shd w:val="clear" w:color="auto" w:fill="FFFFFF"/>
            <w:noWrap w:val="0"/>
            <w:vAlign w:val="center"/>
          </w:tcPr>
          <w:p w14:paraId="5EB6A8D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服务对象满意度</w:t>
            </w:r>
          </w:p>
        </w:tc>
        <w:tc>
          <w:tcPr>
            <w:tcW w:w="561" w:type="pct"/>
            <w:shd w:val="clear" w:color="auto" w:fill="FFFFFF"/>
            <w:noWrap w:val="0"/>
            <w:vAlign w:val="center"/>
          </w:tcPr>
          <w:p w14:paraId="3739CEA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10</w:t>
            </w:r>
          </w:p>
        </w:tc>
      </w:tr>
      <w:tr w14:paraId="2FE3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54" w:hRule="atLeast"/>
        </w:trPr>
        <w:tc>
          <w:tcPr>
            <w:tcW w:w="4438" w:type="pct"/>
            <w:gridSpan w:val="3"/>
            <w:shd w:val="clear" w:color="auto" w:fill="FFFFFF"/>
            <w:noWrap w:val="0"/>
            <w:vAlign w:val="center"/>
          </w:tcPr>
          <w:p w14:paraId="12BF623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合计</w:t>
            </w:r>
          </w:p>
        </w:tc>
        <w:tc>
          <w:tcPr>
            <w:tcW w:w="561" w:type="pct"/>
            <w:shd w:val="clear" w:color="auto" w:fill="FFFFFF"/>
            <w:noWrap w:val="0"/>
            <w:vAlign w:val="center"/>
          </w:tcPr>
          <w:p w14:paraId="1F6CB73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100</w:t>
            </w:r>
          </w:p>
        </w:tc>
      </w:tr>
    </w:tbl>
    <w:p w14:paraId="3285D70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w:t>
      </w:r>
      <w:r>
        <w:rPr>
          <w:rFonts w:hint="default" w:ascii="Times New Roman Regular" w:hAnsi="Times New Roman Regular" w:eastAsia="仿宋_GB2312" w:cs="Times New Roman Regular"/>
          <w:color w:val="auto"/>
          <w:sz w:val="32"/>
          <w:szCs w:val="40"/>
          <w:highlight w:val="none"/>
          <w:lang w:val="en-US" w:eastAsia="zh-CN"/>
        </w:rPr>
        <w:t>．评价标准</w:t>
      </w:r>
    </w:p>
    <w:p w14:paraId="54A5BDC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本项目总分设置为100分，等级划分为四档：90（含）</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100分为优、80（含）</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90分为良、60（含）</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80分为中、60分以下为差。</w:t>
      </w:r>
    </w:p>
    <w:p w14:paraId="5E581E4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4" w:name="_Toc25941"/>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六</w:t>
      </w:r>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评价人员组成</w:t>
      </w:r>
      <w:bookmarkEnd w:id="44"/>
    </w:p>
    <w:p w14:paraId="08F9CDF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本次绩效评价工作组</w:t>
      </w:r>
      <w:r>
        <w:rPr>
          <w:rFonts w:hint="eastAsia" w:ascii="Times New Roman Regular" w:hAnsi="Times New Roman Regular" w:eastAsia="仿宋_GB2312" w:cs="Times New Roman Regular"/>
          <w:color w:val="auto"/>
          <w:sz w:val="32"/>
          <w:szCs w:val="40"/>
          <w:highlight w:val="none"/>
          <w:lang w:val="en-US" w:eastAsia="zh-CN"/>
        </w:rPr>
        <w:t>人员</w:t>
      </w:r>
      <w:r>
        <w:rPr>
          <w:rFonts w:hint="default" w:ascii="Times New Roman Regular" w:hAnsi="Times New Roman Regular" w:eastAsia="仿宋_GB2312" w:cs="Times New Roman Regular"/>
          <w:color w:val="auto"/>
          <w:sz w:val="32"/>
          <w:szCs w:val="40"/>
          <w:highlight w:val="none"/>
          <w:lang w:val="en-US" w:eastAsia="zh-CN"/>
        </w:rPr>
        <w:t>配置及职责分工情况如下表所示：</w:t>
      </w:r>
    </w:p>
    <w:p w14:paraId="5C2F60BD">
      <w:pPr>
        <w:keepNext/>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仿宋_GB2312" w:cs="Times New Roman"/>
          <w:b/>
          <w:bCs/>
          <w:color w:val="auto"/>
          <w:sz w:val="28"/>
          <w:szCs w:val="28"/>
          <w:highlight w:val="none"/>
          <w:vertAlign w:val="baseline"/>
          <w:lang w:val="en-US" w:eastAsia="zh-CN"/>
        </w:rPr>
      </w:pPr>
      <w:r>
        <w:rPr>
          <w:rFonts w:hint="default" w:ascii="Times New Roman" w:hAnsi="Times New Roman" w:eastAsia="仿宋_GB2312" w:cs="Times New Roman"/>
          <w:b/>
          <w:bCs/>
          <w:color w:val="auto"/>
          <w:sz w:val="28"/>
          <w:szCs w:val="28"/>
          <w:highlight w:val="none"/>
          <w:lang w:val="en-US" w:eastAsia="zh-CN"/>
        </w:rPr>
        <w:t>表3—</w:t>
      </w:r>
      <w:r>
        <w:rPr>
          <w:rFonts w:hint="eastAsia" w:ascii="Times New Roman" w:hAnsi="Times New Roman" w:eastAsia="仿宋_GB2312" w:cs="Times New Roman"/>
          <w:b/>
          <w:bCs/>
          <w:color w:val="auto"/>
          <w:sz w:val="28"/>
          <w:szCs w:val="28"/>
          <w:highlight w:val="none"/>
          <w:lang w:val="en-US" w:eastAsia="zh-CN"/>
        </w:rPr>
        <w:t>2</w:t>
      </w:r>
      <w:r>
        <w:rPr>
          <w:rFonts w:hint="default" w:ascii="Times New Roman" w:hAnsi="Times New Roman" w:eastAsia="仿宋_GB2312" w:cs="Times New Roman"/>
          <w:b/>
          <w:bCs/>
          <w:color w:val="auto"/>
          <w:sz w:val="28"/>
          <w:szCs w:val="28"/>
          <w:highlight w:val="none"/>
          <w:lang w:val="en-US" w:eastAsia="zh-CN"/>
        </w:rPr>
        <w:t>项目绩效评价工作组人员构成</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2175"/>
        <w:gridCol w:w="4678"/>
        <w:gridCol w:w="1307"/>
      </w:tblGrid>
      <w:tr w14:paraId="087E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78" w:type="pct"/>
            <w:tcBorders>
              <w:top w:val="single" w:color="auto" w:sz="4" w:space="0"/>
              <w:left w:val="single" w:color="auto" w:sz="4" w:space="0"/>
              <w:bottom w:val="single" w:color="auto" w:sz="4" w:space="0"/>
              <w:right w:val="single" w:color="auto" w:sz="4" w:space="0"/>
            </w:tcBorders>
            <w:vAlign w:val="center"/>
          </w:tcPr>
          <w:p w14:paraId="5D060D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b/>
                <w:bCs/>
                <w:kern w:val="2"/>
                <w:sz w:val="24"/>
                <w:szCs w:val="24"/>
                <w:lang w:val="en-US" w:eastAsia="zh-CN" w:bidi="ar-SA"/>
              </w:rPr>
            </w:pPr>
            <w:r>
              <w:rPr>
                <w:rFonts w:hint="default" w:ascii="Times New Roman Regular" w:hAnsi="Times New Roman Regular" w:eastAsia="仿宋_GB2312" w:cs="Times New Roman Regular"/>
                <w:b/>
                <w:bCs/>
                <w:kern w:val="2"/>
                <w:sz w:val="24"/>
                <w:szCs w:val="24"/>
                <w:lang w:val="en-US" w:eastAsia="zh-CN" w:bidi="ar-SA"/>
              </w:rPr>
              <w:t>姓名</w:t>
            </w:r>
          </w:p>
        </w:tc>
        <w:tc>
          <w:tcPr>
            <w:tcW w:w="1178" w:type="pct"/>
            <w:tcBorders>
              <w:top w:val="single" w:color="auto" w:sz="4" w:space="0"/>
              <w:left w:val="nil"/>
              <w:bottom w:val="single" w:color="auto" w:sz="4" w:space="0"/>
              <w:right w:val="single" w:color="auto" w:sz="4" w:space="0"/>
            </w:tcBorders>
            <w:vAlign w:val="center"/>
          </w:tcPr>
          <w:p w14:paraId="16AC4B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b/>
                <w:bCs/>
                <w:kern w:val="2"/>
                <w:sz w:val="24"/>
                <w:szCs w:val="24"/>
                <w:lang w:val="en-US" w:eastAsia="zh-CN" w:bidi="ar-SA"/>
              </w:rPr>
            </w:pPr>
            <w:r>
              <w:rPr>
                <w:rFonts w:hint="eastAsia" w:ascii="Times New Roman Regular" w:hAnsi="Times New Roman Regular" w:eastAsia="仿宋_GB2312" w:cs="Times New Roman Regular"/>
                <w:b/>
                <w:bCs/>
                <w:kern w:val="2"/>
                <w:sz w:val="24"/>
                <w:szCs w:val="24"/>
                <w:lang w:val="en-US" w:eastAsia="zh-CN" w:bidi="ar-SA"/>
              </w:rPr>
              <w:t>技术职称</w:t>
            </w:r>
          </w:p>
        </w:tc>
        <w:tc>
          <w:tcPr>
            <w:tcW w:w="2534" w:type="pct"/>
            <w:tcBorders>
              <w:top w:val="single" w:color="auto" w:sz="4" w:space="0"/>
              <w:left w:val="nil"/>
              <w:bottom w:val="single" w:color="auto" w:sz="4" w:space="0"/>
              <w:right w:val="single" w:color="auto" w:sz="4" w:space="0"/>
            </w:tcBorders>
            <w:vAlign w:val="center"/>
          </w:tcPr>
          <w:p w14:paraId="456CB1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b/>
                <w:bCs/>
                <w:kern w:val="2"/>
                <w:sz w:val="24"/>
                <w:szCs w:val="24"/>
                <w:lang w:val="en-US" w:eastAsia="zh-CN" w:bidi="ar-SA"/>
              </w:rPr>
            </w:pPr>
            <w:r>
              <w:rPr>
                <w:rFonts w:hint="default" w:ascii="Times New Roman Regular" w:hAnsi="Times New Roman Regular" w:eastAsia="仿宋_GB2312" w:cs="Times New Roman Regular"/>
                <w:b/>
                <w:bCs/>
                <w:kern w:val="2"/>
                <w:sz w:val="24"/>
                <w:szCs w:val="24"/>
                <w:lang w:val="en-US" w:eastAsia="zh-CN" w:bidi="ar-SA"/>
              </w:rPr>
              <w:t>工作职责</w:t>
            </w:r>
          </w:p>
        </w:tc>
        <w:tc>
          <w:tcPr>
            <w:tcW w:w="708" w:type="pct"/>
            <w:tcBorders>
              <w:top w:val="single" w:color="auto" w:sz="4" w:space="0"/>
              <w:left w:val="nil"/>
              <w:bottom w:val="single" w:color="auto" w:sz="4" w:space="0"/>
              <w:right w:val="single" w:color="auto" w:sz="4" w:space="0"/>
            </w:tcBorders>
            <w:vAlign w:val="center"/>
          </w:tcPr>
          <w:p w14:paraId="6A73EE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b/>
                <w:bCs/>
                <w:kern w:val="2"/>
                <w:sz w:val="24"/>
                <w:szCs w:val="24"/>
                <w:lang w:val="en-US" w:eastAsia="zh-CN" w:bidi="ar-SA"/>
              </w:rPr>
            </w:pPr>
            <w:r>
              <w:rPr>
                <w:rFonts w:hint="default" w:ascii="Times New Roman Regular" w:hAnsi="Times New Roman Regular" w:eastAsia="仿宋_GB2312" w:cs="Times New Roman Regular"/>
                <w:b/>
                <w:bCs/>
                <w:kern w:val="2"/>
                <w:sz w:val="24"/>
                <w:szCs w:val="24"/>
                <w:lang w:val="en-US" w:eastAsia="zh-CN" w:bidi="ar-SA"/>
              </w:rPr>
              <w:t>专业</w:t>
            </w:r>
          </w:p>
        </w:tc>
      </w:tr>
      <w:tr w14:paraId="7B11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vAlign w:val="center"/>
          </w:tcPr>
          <w:p w14:paraId="24CFF425">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常</w:t>
            </w:r>
            <w:r>
              <w:rPr>
                <w:rFonts w:hint="eastAsia" w:ascii="Times New Roman Regular" w:hAnsi="Times New Roman Regular" w:eastAsia="仿宋_GB2312" w:cs="Times New Roman Regular"/>
                <w:sz w:val="24"/>
                <w:szCs w:val="24"/>
                <w:lang w:val="en-US" w:eastAsia="zh-CN"/>
              </w:rPr>
              <w:t>珍珍</w:t>
            </w:r>
          </w:p>
        </w:tc>
        <w:tc>
          <w:tcPr>
            <w:tcW w:w="1178" w:type="pct"/>
            <w:tcBorders>
              <w:top w:val="single" w:color="auto" w:sz="4" w:space="0"/>
              <w:left w:val="nil"/>
              <w:bottom w:val="single" w:color="auto" w:sz="4" w:space="0"/>
              <w:right w:val="single" w:color="auto" w:sz="4" w:space="0"/>
            </w:tcBorders>
            <w:vAlign w:val="center"/>
          </w:tcPr>
          <w:p w14:paraId="383ED51C">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lang w:val="en-US" w:eastAsia="zh-CN"/>
              </w:rPr>
              <w:t>注册会计师、咨询工程师（投资）</w:t>
            </w:r>
          </w:p>
        </w:tc>
        <w:tc>
          <w:tcPr>
            <w:tcW w:w="2534" w:type="pct"/>
            <w:tcBorders>
              <w:top w:val="single" w:color="auto" w:sz="4" w:space="0"/>
              <w:left w:val="nil"/>
              <w:bottom w:val="single" w:color="auto" w:sz="4" w:space="0"/>
              <w:right w:val="single" w:color="auto" w:sz="4" w:space="0"/>
            </w:tcBorders>
            <w:vAlign w:val="center"/>
          </w:tcPr>
          <w:p w14:paraId="4EED905E">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rPr>
              <w:t>全程监督工作实施，并为工作提供必要支持；分析项目资料数据，</w:t>
            </w:r>
            <w:r>
              <w:rPr>
                <w:rFonts w:hint="default" w:ascii="Times New Roman Regular" w:hAnsi="Times New Roman Regular" w:eastAsia="仿宋_GB2312" w:cs="Times New Roman Regular"/>
                <w:sz w:val="24"/>
                <w:szCs w:val="24"/>
                <w:lang w:val="en-US" w:eastAsia="zh-CN"/>
              </w:rPr>
              <w:t>指导项目</w:t>
            </w:r>
            <w:r>
              <w:rPr>
                <w:rFonts w:hint="eastAsia" w:ascii="Times New Roman Regular" w:hAnsi="Times New Roman Regular" w:eastAsia="仿宋_GB2312" w:cs="Times New Roman Regular"/>
                <w:sz w:val="24"/>
                <w:szCs w:val="24"/>
                <w:lang w:val="en-US" w:eastAsia="zh-CN"/>
              </w:rPr>
              <w:t>绩效评价</w:t>
            </w:r>
            <w:r>
              <w:rPr>
                <w:rFonts w:hint="default" w:ascii="Times New Roman Regular" w:hAnsi="Times New Roman Regular" w:eastAsia="仿宋_GB2312" w:cs="Times New Roman Regular"/>
                <w:sz w:val="24"/>
                <w:szCs w:val="24"/>
              </w:rPr>
              <w:t>，审核</w:t>
            </w:r>
            <w:r>
              <w:rPr>
                <w:rFonts w:hint="default" w:ascii="Times New Roman Regular" w:hAnsi="Times New Roman Regular" w:eastAsia="仿宋_GB2312" w:cs="Times New Roman Regular"/>
                <w:sz w:val="24"/>
                <w:szCs w:val="24"/>
                <w:lang w:val="en-US" w:eastAsia="zh-CN"/>
              </w:rPr>
              <w:t>绩效评价</w:t>
            </w:r>
            <w:r>
              <w:rPr>
                <w:rFonts w:hint="default" w:ascii="Times New Roman Regular" w:hAnsi="Times New Roman Regular" w:eastAsia="仿宋_GB2312" w:cs="Times New Roman Regular"/>
                <w:sz w:val="24"/>
                <w:szCs w:val="24"/>
              </w:rPr>
              <w:t>报告，提出修改意见</w:t>
            </w:r>
            <w:r>
              <w:rPr>
                <w:rFonts w:hint="eastAsia" w:ascii="Times New Roman Regular" w:hAnsi="Times New Roman Regular" w:eastAsia="仿宋_GB2312" w:cs="Times New Roman Regular"/>
                <w:sz w:val="24"/>
                <w:szCs w:val="24"/>
                <w:lang w:eastAsia="zh-CN"/>
              </w:rPr>
              <w:t>，</w:t>
            </w:r>
            <w:r>
              <w:rPr>
                <w:rFonts w:hint="eastAsia" w:ascii="Times New Roman Regular" w:hAnsi="Times New Roman Regular" w:eastAsia="仿宋_GB2312" w:cs="Times New Roman Regular"/>
                <w:sz w:val="24"/>
                <w:szCs w:val="24"/>
                <w:lang w:val="en-US" w:eastAsia="zh-CN"/>
              </w:rPr>
              <w:t>把控阶段性成果及最终成果的质量</w:t>
            </w:r>
            <w:r>
              <w:rPr>
                <w:rFonts w:hint="default" w:ascii="Times New Roman Regular" w:hAnsi="Times New Roman Regular" w:eastAsia="仿宋_GB2312" w:cs="Times New Roman Regular"/>
                <w:sz w:val="24"/>
                <w:szCs w:val="24"/>
              </w:rPr>
              <w:t>。</w:t>
            </w:r>
          </w:p>
        </w:tc>
        <w:tc>
          <w:tcPr>
            <w:tcW w:w="708" w:type="pct"/>
            <w:tcBorders>
              <w:top w:val="single" w:color="auto" w:sz="4" w:space="0"/>
              <w:left w:val="nil"/>
              <w:bottom w:val="single" w:color="auto" w:sz="4" w:space="0"/>
              <w:right w:val="single" w:color="auto" w:sz="4" w:space="0"/>
            </w:tcBorders>
            <w:vAlign w:val="center"/>
          </w:tcPr>
          <w:p w14:paraId="2B8224DD">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工程咨询</w:t>
            </w:r>
          </w:p>
        </w:tc>
      </w:tr>
      <w:tr w14:paraId="5C68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vAlign w:val="center"/>
          </w:tcPr>
          <w:p w14:paraId="001ACA4C">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常红艳</w:t>
            </w:r>
          </w:p>
        </w:tc>
        <w:tc>
          <w:tcPr>
            <w:tcW w:w="1178" w:type="pct"/>
            <w:tcBorders>
              <w:top w:val="single" w:color="auto" w:sz="4" w:space="0"/>
              <w:left w:val="nil"/>
              <w:bottom w:val="single" w:color="auto" w:sz="4" w:space="0"/>
              <w:right w:val="single" w:color="auto" w:sz="4" w:space="0"/>
            </w:tcBorders>
            <w:vAlign w:val="center"/>
          </w:tcPr>
          <w:p w14:paraId="5DE03DBD">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高级工程师、咨询工程师（投资）</w:t>
            </w:r>
          </w:p>
        </w:tc>
        <w:tc>
          <w:tcPr>
            <w:tcW w:w="2534" w:type="pct"/>
            <w:tcBorders>
              <w:top w:val="single" w:color="auto" w:sz="4" w:space="0"/>
              <w:left w:val="nil"/>
              <w:bottom w:val="single" w:color="auto" w:sz="4" w:space="0"/>
              <w:right w:val="single" w:color="auto" w:sz="4" w:space="0"/>
            </w:tcBorders>
            <w:vAlign w:val="center"/>
          </w:tcPr>
          <w:p w14:paraId="1FF1EDB4">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负责成果文件一级审核</w:t>
            </w:r>
            <w:r>
              <w:rPr>
                <w:rFonts w:hint="eastAsia" w:ascii="Times New Roman Regular" w:hAnsi="Times New Roman Regular" w:eastAsia="仿宋_GB2312" w:cs="Times New Roman Regular"/>
                <w:sz w:val="24"/>
                <w:szCs w:val="24"/>
                <w:lang w:val="en-US" w:eastAsia="zh-CN"/>
              </w:rPr>
              <w:t>，包括</w:t>
            </w:r>
            <w:r>
              <w:rPr>
                <w:rFonts w:hint="default" w:ascii="Times New Roman Regular" w:hAnsi="Times New Roman Regular" w:eastAsia="仿宋_GB2312" w:cs="Times New Roman Regular"/>
                <w:sz w:val="24"/>
                <w:szCs w:val="24"/>
                <w:lang w:val="en-US" w:eastAsia="zh-CN"/>
              </w:rPr>
              <w:t>审核评价报告初稿是否符合政策要求，是否符合公司文本质量要求，审定绩效评价报告</w:t>
            </w:r>
            <w:r>
              <w:rPr>
                <w:rFonts w:hint="eastAsia" w:ascii="Times New Roman Regular" w:hAnsi="Times New Roman Regular" w:eastAsia="仿宋_GB2312" w:cs="Times New Roman Regular"/>
                <w:sz w:val="24"/>
                <w:szCs w:val="24"/>
                <w:lang w:val="en-US" w:eastAsia="zh-CN"/>
              </w:rPr>
              <w:t>等</w:t>
            </w:r>
            <w:r>
              <w:rPr>
                <w:rFonts w:hint="default" w:ascii="Times New Roman Regular" w:hAnsi="Times New Roman Regular" w:eastAsia="仿宋_GB2312" w:cs="Times New Roman Regular"/>
                <w:sz w:val="24"/>
                <w:szCs w:val="24"/>
                <w:lang w:val="en-US" w:eastAsia="zh-CN"/>
              </w:rPr>
              <w:t>；负责整个评价工作的协调和管理。</w:t>
            </w:r>
          </w:p>
        </w:tc>
        <w:tc>
          <w:tcPr>
            <w:tcW w:w="708" w:type="pct"/>
            <w:tcBorders>
              <w:top w:val="single" w:color="auto" w:sz="4" w:space="0"/>
              <w:left w:val="nil"/>
              <w:bottom w:val="single" w:color="auto" w:sz="4" w:space="0"/>
              <w:right w:val="single" w:color="auto" w:sz="4" w:space="0"/>
            </w:tcBorders>
            <w:vAlign w:val="center"/>
          </w:tcPr>
          <w:p w14:paraId="2350D0DA">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工程管理</w:t>
            </w:r>
          </w:p>
        </w:tc>
      </w:tr>
      <w:tr w14:paraId="1153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vAlign w:val="center"/>
          </w:tcPr>
          <w:p w14:paraId="764F63ED">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邱瑜杰</w:t>
            </w:r>
          </w:p>
        </w:tc>
        <w:tc>
          <w:tcPr>
            <w:tcW w:w="1178" w:type="pct"/>
            <w:tcBorders>
              <w:top w:val="single" w:color="auto" w:sz="4" w:space="0"/>
              <w:left w:val="nil"/>
              <w:bottom w:val="single" w:color="auto" w:sz="4" w:space="0"/>
              <w:right w:val="single" w:color="auto" w:sz="4" w:space="0"/>
            </w:tcBorders>
            <w:vAlign w:val="center"/>
          </w:tcPr>
          <w:p w14:paraId="5DFD3EBD">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工程师</w:t>
            </w:r>
          </w:p>
        </w:tc>
        <w:tc>
          <w:tcPr>
            <w:tcW w:w="2534" w:type="pct"/>
            <w:tcBorders>
              <w:top w:val="single" w:color="auto" w:sz="4" w:space="0"/>
              <w:left w:val="nil"/>
              <w:bottom w:val="single" w:color="auto" w:sz="4" w:space="0"/>
              <w:right w:val="single" w:color="auto" w:sz="4" w:space="0"/>
            </w:tcBorders>
            <w:vAlign w:val="center"/>
          </w:tcPr>
          <w:p w14:paraId="6F2E0ED8">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rPr>
            </w:pPr>
            <w:r>
              <w:rPr>
                <w:rFonts w:hint="eastAsia" w:ascii="Times New Roman Regular" w:hAnsi="Times New Roman Regular" w:eastAsia="仿宋_GB2312" w:cs="Times New Roman Regular"/>
                <w:sz w:val="24"/>
                <w:szCs w:val="24"/>
                <w:lang w:val="en-US" w:eastAsia="zh-CN"/>
              </w:rPr>
              <w:t>负责现场调研与沟通，</w:t>
            </w:r>
            <w:r>
              <w:rPr>
                <w:rFonts w:hint="default" w:ascii="Times New Roman Regular" w:hAnsi="Times New Roman Regular" w:eastAsia="仿宋_GB2312" w:cs="Times New Roman Regular"/>
                <w:sz w:val="24"/>
                <w:szCs w:val="24"/>
              </w:rPr>
              <w:t>分析收集资料及数据，撰写</w:t>
            </w:r>
            <w:r>
              <w:rPr>
                <w:rFonts w:hint="default" w:ascii="Times New Roman Regular" w:hAnsi="Times New Roman Regular" w:eastAsia="仿宋_GB2312" w:cs="Times New Roman Regular"/>
                <w:sz w:val="24"/>
                <w:szCs w:val="24"/>
                <w:lang w:val="en-US" w:eastAsia="zh-CN"/>
              </w:rPr>
              <w:t>绩效评价实施方案、绩效评价报告</w:t>
            </w:r>
            <w:r>
              <w:rPr>
                <w:rFonts w:hint="default" w:ascii="Times New Roman Regular" w:hAnsi="Times New Roman Regular" w:eastAsia="仿宋_GB2312" w:cs="Times New Roman Regular"/>
                <w:sz w:val="24"/>
                <w:szCs w:val="24"/>
              </w:rPr>
              <w:t>；负责</w:t>
            </w:r>
            <w:r>
              <w:rPr>
                <w:rFonts w:hint="default" w:ascii="Times New Roman Regular" w:hAnsi="Times New Roman Regular" w:eastAsia="仿宋_GB2312" w:cs="Times New Roman Regular"/>
                <w:sz w:val="24"/>
                <w:szCs w:val="24"/>
                <w:lang w:val="en-US" w:eastAsia="zh-CN"/>
              </w:rPr>
              <w:t>绩效评价</w:t>
            </w:r>
            <w:r>
              <w:rPr>
                <w:rFonts w:hint="default" w:ascii="Times New Roman Regular" w:hAnsi="Times New Roman Regular" w:eastAsia="仿宋_GB2312" w:cs="Times New Roman Regular"/>
                <w:sz w:val="24"/>
                <w:szCs w:val="24"/>
              </w:rPr>
              <w:t>工作前期准备、实施阶段及报告撰写。</w:t>
            </w:r>
          </w:p>
        </w:tc>
        <w:tc>
          <w:tcPr>
            <w:tcW w:w="708" w:type="pct"/>
            <w:tcBorders>
              <w:top w:val="single" w:color="auto" w:sz="4" w:space="0"/>
              <w:left w:val="nil"/>
              <w:bottom w:val="single" w:color="auto" w:sz="4" w:space="0"/>
              <w:right w:val="single" w:color="auto" w:sz="4" w:space="0"/>
            </w:tcBorders>
            <w:vAlign w:val="center"/>
          </w:tcPr>
          <w:p w14:paraId="2C4D37B1">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工程咨询</w:t>
            </w:r>
          </w:p>
        </w:tc>
      </w:tr>
      <w:tr w14:paraId="4226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58A9E98B">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李轩</w:t>
            </w:r>
          </w:p>
        </w:tc>
        <w:tc>
          <w:tcPr>
            <w:tcW w:w="1178" w:type="pct"/>
            <w:tcBorders>
              <w:top w:val="single" w:color="auto" w:sz="4" w:space="0"/>
              <w:left w:val="nil"/>
              <w:bottom w:val="single" w:color="auto" w:sz="4" w:space="0"/>
              <w:right w:val="single" w:color="auto" w:sz="4" w:space="0"/>
            </w:tcBorders>
            <w:vAlign w:val="center"/>
          </w:tcPr>
          <w:p w14:paraId="25CEBD16">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注册会计师</w:t>
            </w:r>
          </w:p>
        </w:tc>
        <w:tc>
          <w:tcPr>
            <w:tcW w:w="2534" w:type="pct"/>
            <w:tcBorders>
              <w:top w:val="single" w:color="auto" w:sz="4" w:space="0"/>
              <w:left w:val="nil"/>
              <w:bottom w:val="single" w:color="auto" w:sz="4" w:space="0"/>
              <w:right w:val="single" w:color="auto" w:sz="4" w:space="0"/>
            </w:tcBorders>
            <w:vAlign w:val="center"/>
          </w:tcPr>
          <w:p w14:paraId="12CE4283">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lang w:val="en-US" w:eastAsia="zh-CN"/>
              </w:rPr>
              <w:t>负责政策解读及数据分析</w:t>
            </w:r>
            <w:r>
              <w:rPr>
                <w:rFonts w:hint="eastAsia" w:ascii="Times New Roman Regular" w:hAnsi="Times New Roman Regular" w:eastAsia="仿宋_GB2312" w:cs="Times New Roman Regular"/>
                <w:sz w:val="24"/>
                <w:szCs w:val="24"/>
                <w:lang w:val="en-US" w:eastAsia="zh-CN"/>
              </w:rPr>
              <w:t>，</w:t>
            </w:r>
            <w:r>
              <w:rPr>
                <w:rFonts w:hint="default" w:ascii="Times New Roman Regular" w:hAnsi="Times New Roman Regular" w:eastAsia="仿宋_GB2312" w:cs="Times New Roman Regular"/>
                <w:sz w:val="24"/>
                <w:szCs w:val="24"/>
              </w:rPr>
              <w:t>协助项目负责人进行资料收集，对收集资料进行梳理归纳，</w:t>
            </w:r>
            <w:r>
              <w:rPr>
                <w:rFonts w:hint="default" w:ascii="Times New Roman Regular" w:hAnsi="Times New Roman Regular" w:eastAsia="仿宋_GB2312" w:cs="Times New Roman Regular"/>
                <w:sz w:val="24"/>
                <w:szCs w:val="24"/>
                <w:lang w:val="en-US" w:eastAsia="zh-CN"/>
              </w:rPr>
              <w:t>重点参与财务类、成本类指标评价</w:t>
            </w:r>
            <w:r>
              <w:rPr>
                <w:rFonts w:hint="default" w:ascii="Times New Roman Regular" w:hAnsi="Times New Roman Regular" w:eastAsia="仿宋_GB2312" w:cs="Times New Roman Regular"/>
                <w:sz w:val="24"/>
                <w:szCs w:val="24"/>
              </w:rPr>
              <w:t>。</w:t>
            </w:r>
          </w:p>
        </w:tc>
        <w:tc>
          <w:tcPr>
            <w:tcW w:w="708" w:type="pct"/>
            <w:tcBorders>
              <w:top w:val="single" w:color="auto" w:sz="4" w:space="0"/>
              <w:left w:val="nil"/>
              <w:bottom w:val="single" w:color="auto" w:sz="4" w:space="0"/>
              <w:right w:val="single" w:color="auto" w:sz="4" w:space="0"/>
            </w:tcBorders>
            <w:vAlign w:val="center"/>
          </w:tcPr>
          <w:p w14:paraId="704743A2">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财务</w:t>
            </w:r>
          </w:p>
        </w:tc>
      </w:tr>
      <w:tr w14:paraId="2E4D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BEEE33A">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刘利红</w:t>
            </w:r>
          </w:p>
        </w:tc>
        <w:tc>
          <w:tcPr>
            <w:tcW w:w="1178" w:type="pct"/>
            <w:tcBorders>
              <w:top w:val="single" w:color="auto" w:sz="4" w:space="0"/>
              <w:left w:val="nil"/>
              <w:bottom w:val="single" w:color="auto" w:sz="4" w:space="0"/>
              <w:right w:val="single" w:color="auto" w:sz="4" w:space="0"/>
            </w:tcBorders>
            <w:vAlign w:val="center"/>
          </w:tcPr>
          <w:p w14:paraId="2DD90009">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注册会计师</w:t>
            </w:r>
          </w:p>
        </w:tc>
        <w:tc>
          <w:tcPr>
            <w:tcW w:w="2534" w:type="pct"/>
            <w:tcBorders>
              <w:top w:val="single" w:color="auto" w:sz="4" w:space="0"/>
              <w:left w:val="nil"/>
              <w:bottom w:val="single" w:color="auto" w:sz="4" w:space="0"/>
              <w:right w:val="single" w:color="auto" w:sz="4" w:space="0"/>
            </w:tcBorders>
            <w:vAlign w:val="center"/>
          </w:tcPr>
          <w:p w14:paraId="07D371AA">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lang w:val="en-US" w:eastAsia="zh-CN"/>
              </w:rPr>
              <w:t>负责成果文件三级审核</w:t>
            </w:r>
            <w:r>
              <w:rPr>
                <w:rFonts w:hint="eastAsia" w:ascii="Times New Roman Regular" w:hAnsi="Times New Roman Regular" w:eastAsia="仿宋_GB2312" w:cs="Times New Roman Regular"/>
                <w:sz w:val="24"/>
                <w:szCs w:val="24"/>
                <w:lang w:val="en-US" w:eastAsia="zh-CN"/>
              </w:rPr>
              <w:t>，</w:t>
            </w:r>
            <w:r>
              <w:rPr>
                <w:rFonts w:hint="default" w:ascii="Times New Roman Regular" w:hAnsi="Times New Roman Regular" w:eastAsia="仿宋_GB2312" w:cs="Times New Roman Regular"/>
                <w:sz w:val="24"/>
                <w:szCs w:val="24"/>
              </w:rPr>
              <w:t>协助项目负责人进行资料收集，对收集资料进行梳理归纳，</w:t>
            </w:r>
            <w:r>
              <w:rPr>
                <w:rFonts w:hint="default" w:ascii="Times New Roman Regular" w:hAnsi="Times New Roman Regular" w:eastAsia="仿宋_GB2312" w:cs="Times New Roman Regular"/>
                <w:sz w:val="24"/>
                <w:szCs w:val="24"/>
                <w:lang w:val="en-US" w:eastAsia="zh-CN"/>
              </w:rPr>
              <w:t>重点参与财务类、成本类指标评价</w:t>
            </w:r>
            <w:r>
              <w:rPr>
                <w:rFonts w:hint="default" w:ascii="Times New Roman Regular" w:hAnsi="Times New Roman Regular" w:eastAsia="仿宋_GB2312" w:cs="Times New Roman Regular"/>
                <w:sz w:val="24"/>
                <w:szCs w:val="24"/>
              </w:rPr>
              <w:t>。</w:t>
            </w:r>
          </w:p>
        </w:tc>
        <w:tc>
          <w:tcPr>
            <w:tcW w:w="708" w:type="pct"/>
            <w:tcBorders>
              <w:top w:val="single" w:color="auto" w:sz="4" w:space="0"/>
              <w:left w:val="nil"/>
              <w:bottom w:val="single" w:color="auto" w:sz="4" w:space="0"/>
              <w:right w:val="single" w:color="auto" w:sz="4" w:space="0"/>
            </w:tcBorders>
            <w:vAlign w:val="center"/>
          </w:tcPr>
          <w:p w14:paraId="6833AE86">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财务</w:t>
            </w:r>
          </w:p>
        </w:tc>
      </w:tr>
      <w:tr w14:paraId="41D9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2C3CB6AA">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周孝飞</w:t>
            </w:r>
          </w:p>
        </w:tc>
        <w:tc>
          <w:tcPr>
            <w:tcW w:w="1178" w:type="pct"/>
            <w:tcBorders>
              <w:top w:val="single" w:color="auto" w:sz="4" w:space="0"/>
              <w:left w:val="nil"/>
              <w:bottom w:val="single" w:color="auto" w:sz="4" w:space="0"/>
              <w:right w:val="single" w:color="auto" w:sz="4" w:space="0"/>
            </w:tcBorders>
            <w:vAlign w:val="center"/>
          </w:tcPr>
          <w:p w14:paraId="38082268">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高级工程师</w:t>
            </w:r>
          </w:p>
        </w:tc>
        <w:tc>
          <w:tcPr>
            <w:tcW w:w="2534" w:type="pct"/>
            <w:tcBorders>
              <w:top w:val="single" w:color="auto" w:sz="4" w:space="0"/>
              <w:left w:val="nil"/>
              <w:bottom w:val="single" w:color="auto" w:sz="4" w:space="0"/>
              <w:right w:val="single" w:color="auto" w:sz="4" w:space="0"/>
            </w:tcBorders>
            <w:vAlign w:val="center"/>
          </w:tcPr>
          <w:p w14:paraId="08DEB927">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lang w:val="en-US" w:eastAsia="zh-CN"/>
              </w:rPr>
              <w:t>负责资料审核、二级审核</w:t>
            </w:r>
            <w:r>
              <w:rPr>
                <w:rFonts w:hint="default" w:ascii="Times New Roman Regular" w:hAnsi="Times New Roman Regular" w:eastAsia="仿宋_GB2312" w:cs="Times New Roman Regular"/>
                <w:sz w:val="24"/>
                <w:szCs w:val="24"/>
              </w:rPr>
              <w:t>，并主导项目数据整理分析，参与</w:t>
            </w:r>
            <w:r>
              <w:rPr>
                <w:rFonts w:hint="default" w:ascii="Times New Roman Regular" w:hAnsi="Times New Roman Regular" w:eastAsia="仿宋_GB2312" w:cs="Times New Roman Regular"/>
                <w:sz w:val="24"/>
                <w:szCs w:val="24"/>
                <w:lang w:val="en-US" w:eastAsia="zh-CN"/>
              </w:rPr>
              <w:t>绩效评价</w:t>
            </w:r>
            <w:r>
              <w:rPr>
                <w:rFonts w:hint="default" w:ascii="Times New Roman Regular" w:hAnsi="Times New Roman Regular" w:eastAsia="仿宋_GB2312" w:cs="Times New Roman Regular"/>
                <w:sz w:val="24"/>
                <w:szCs w:val="24"/>
              </w:rPr>
              <w:t>报告编制。</w:t>
            </w:r>
          </w:p>
        </w:tc>
        <w:tc>
          <w:tcPr>
            <w:tcW w:w="708" w:type="pct"/>
            <w:tcBorders>
              <w:top w:val="single" w:color="auto" w:sz="4" w:space="0"/>
              <w:left w:val="nil"/>
              <w:bottom w:val="single" w:color="auto" w:sz="4" w:space="0"/>
              <w:right w:val="single" w:color="auto" w:sz="4" w:space="0"/>
            </w:tcBorders>
            <w:vAlign w:val="center"/>
          </w:tcPr>
          <w:p w14:paraId="5D8B25C7">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工程</w:t>
            </w:r>
            <w:r>
              <w:rPr>
                <w:rFonts w:hint="eastAsia" w:ascii="Times New Roman Regular" w:hAnsi="Times New Roman Regular" w:eastAsia="仿宋_GB2312" w:cs="Times New Roman Regular"/>
                <w:sz w:val="24"/>
                <w:szCs w:val="24"/>
                <w:lang w:val="en-US" w:eastAsia="zh-CN"/>
              </w:rPr>
              <w:t>管理</w:t>
            </w:r>
          </w:p>
        </w:tc>
      </w:tr>
      <w:tr w14:paraId="1A0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8" w:type="pct"/>
            <w:shd w:val="clear" w:color="auto" w:fill="auto"/>
            <w:vAlign w:val="center"/>
          </w:tcPr>
          <w:p w14:paraId="635AFEE0">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eastAsia" w:ascii="Times New Roman Regular" w:hAnsi="Times New Roman Regular" w:eastAsia="仿宋_GB2312" w:cs="Times New Roman Regular"/>
                <w:sz w:val="24"/>
                <w:szCs w:val="24"/>
                <w:lang w:val="en-US" w:eastAsia="zh-CN"/>
              </w:rPr>
              <w:t>吴斌洋</w:t>
            </w:r>
          </w:p>
        </w:tc>
        <w:tc>
          <w:tcPr>
            <w:tcW w:w="1178" w:type="pct"/>
            <w:vAlign w:val="center"/>
          </w:tcPr>
          <w:p w14:paraId="68996B1F">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rPr>
            </w:pPr>
            <w:r>
              <w:rPr>
                <w:rFonts w:hint="default" w:ascii="Times New Roman Regular" w:hAnsi="Times New Roman Regular" w:eastAsia="仿宋_GB2312" w:cs="Times New Roman Regular"/>
                <w:sz w:val="24"/>
                <w:szCs w:val="24"/>
                <w:lang w:val="en-US" w:eastAsia="zh-CN"/>
              </w:rPr>
              <w:t>咨询工程师（投资）</w:t>
            </w:r>
          </w:p>
        </w:tc>
        <w:tc>
          <w:tcPr>
            <w:tcW w:w="2534" w:type="pct"/>
          </w:tcPr>
          <w:p w14:paraId="2CEF0678">
            <w:pPr>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rPr>
              <w:t>协助项目负责人进行资料收集</w:t>
            </w:r>
            <w:r>
              <w:rPr>
                <w:rFonts w:hint="eastAsia" w:ascii="Times New Roman Regular" w:hAnsi="Times New Roman Regular" w:eastAsia="仿宋_GB2312" w:cs="Times New Roman Regular"/>
                <w:sz w:val="24"/>
                <w:szCs w:val="24"/>
                <w:lang w:eastAsia="zh-CN"/>
              </w:rPr>
              <w:t>，</w:t>
            </w:r>
            <w:r>
              <w:rPr>
                <w:rFonts w:hint="eastAsia" w:ascii="Times New Roman Regular" w:hAnsi="Times New Roman Regular" w:eastAsia="仿宋_GB2312" w:cs="Times New Roman Regular"/>
                <w:sz w:val="24"/>
                <w:szCs w:val="24"/>
                <w:lang w:val="en-US" w:eastAsia="zh-CN"/>
              </w:rPr>
              <w:t>并进行资料审核</w:t>
            </w:r>
            <w:r>
              <w:rPr>
                <w:rFonts w:hint="default" w:ascii="Times New Roman Regular" w:hAnsi="Times New Roman Regular" w:eastAsia="仿宋_GB2312" w:cs="Times New Roman Regular"/>
                <w:sz w:val="24"/>
                <w:szCs w:val="24"/>
              </w:rPr>
              <w:t>，</w:t>
            </w:r>
            <w:r>
              <w:rPr>
                <w:rFonts w:hint="eastAsia" w:ascii="Times New Roman Regular" w:hAnsi="Times New Roman Regular" w:eastAsia="仿宋_GB2312" w:cs="Times New Roman Regular"/>
                <w:sz w:val="24"/>
                <w:szCs w:val="24"/>
                <w:lang w:val="en-US" w:eastAsia="zh-CN"/>
              </w:rPr>
              <w:t>重点参与采购评价。</w:t>
            </w:r>
          </w:p>
        </w:tc>
        <w:tc>
          <w:tcPr>
            <w:tcW w:w="708" w:type="pct"/>
            <w:vAlign w:val="center"/>
          </w:tcPr>
          <w:p w14:paraId="67F094C0">
            <w:pPr>
              <w:keepNext w:val="0"/>
              <w:keepLines w:val="0"/>
              <w:pageBreakBefore w:val="0"/>
              <w:widowControl/>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仿宋_GB2312" w:cs="Times New Roman Regular"/>
                <w:sz w:val="24"/>
                <w:szCs w:val="24"/>
                <w:lang w:val="en-US" w:eastAsia="zh-CN"/>
              </w:rPr>
            </w:pPr>
            <w:r>
              <w:rPr>
                <w:rFonts w:hint="default" w:ascii="Times New Roman Regular" w:hAnsi="Times New Roman Regular" w:eastAsia="仿宋_GB2312" w:cs="Times New Roman Regular"/>
                <w:sz w:val="24"/>
                <w:szCs w:val="24"/>
                <w:lang w:val="en-US" w:eastAsia="zh-CN"/>
              </w:rPr>
              <w:t>工程咨询</w:t>
            </w:r>
          </w:p>
        </w:tc>
      </w:tr>
    </w:tbl>
    <w:p w14:paraId="1BFD498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5" w:name="_Toc1290382003"/>
      <w:bookmarkStart w:id="46" w:name="_Toc27289"/>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七</w:t>
      </w:r>
      <w:r>
        <w:rPr>
          <w:rFonts w:hint="default" w:ascii="Times New Roman Regular" w:hAnsi="Times New Roman Regular" w:eastAsia="楷体_GB2312" w:cs="Times New Roman Regular"/>
          <w:color w:val="auto"/>
          <w:sz w:val="32"/>
          <w:szCs w:val="40"/>
          <w:highlight w:val="none"/>
          <w:lang w:val="en-US" w:eastAsia="zh-CN"/>
        </w:rPr>
        <w:t>）</w:t>
      </w:r>
      <w:bookmarkEnd w:id="45"/>
      <w:r>
        <w:rPr>
          <w:rFonts w:hint="eastAsia" w:ascii="Times New Roman Regular" w:hAnsi="Times New Roman Regular" w:eastAsia="楷体_GB2312" w:cs="Times New Roman Regular"/>
          <w:color w:val="auto"/>
          <w:sz w:val="32"/>
          <w:szCs w:val="40"/>
          <w:highlight w:val="none"/>
          <w:lang w:val="en-US" w:eastAsia="zh-CN"/>
        </w:rPr>
        <w:t>绩效评价工作过程</w:t>
      </w:r>
      <w:bookmarkEnd w:id="46"/>
    </w:p>
    <w:p w14:paraId="3F62AA3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bookmarkStart w:id="47" w:name="_Hlk40706677"/>
      <w:r>
        <w:rPr>
          <w:rFonts w:hint="eastAsia" w:ascii="Times New Roman Regular" w:hAnsi="Times New Roman Regular" w:eastAsia="仿宋_GB2312" w:cs="Times New Roman Regular"/>
          <w:color w:val="auto"/>
          <w:sz w:val="32"/>
          <w:szCs w:val="40"/>
          <w:highlight w:val="none"/>
          <w:lang w:val="en-US" w:eastAsia="zh-CN"/>
        </w:rPr>
        <w:t>1．</w:t>
      </w:r>
      <w:r>
        <w:rPr>
          <w:rFonts w:hint="default" w:ascii="Times New Roman Regular" w:hAnsi="Times New Roman Regular" w:eastAsia="仿宋_GB2312" w:cs="Times New Roman Regular"/>
          <w:color w:val="auto"/>
          <w:sz w:val="32"/>
          <w:szCs w:val="40"/>
          <w:highlight w:val="none"/>
          <w:lang w:val="en-US" w:eastAsia="zh-CN"/>
        </w:rPr>
        <w:t>前期准备阶段（</w:t>
      </w:r>
      <w:r>
        <w:rPr>
          <w:rFonts w:hint="eastAsia" w:ascii="Times New Roman Regular" w:hAnsi="Times New Roman Regular" w:eastAsia="仿宋_GB2312" w:cs="Times New Roman Regular"/>
          <w:color w:val="auto"/>
          <w:sz w:val="32"/>
          <w:szCs w:val="40"/>
          <w:highlight w:val="none"/>
          <w:lang w:val="en-US" w:eastAsia="zh-CN"/>
        </w:rPr>
        <w:t>6</w:t>
      </w:r>
      <w:r>
        <w:rPr>
          <w:rFonts w:hint="default" w:ascii="Times New Roman Regular" w:hAnsi="Times New Roman Regular" w:eastAsia="仿宋_GB2312" w:cs="Times New Roman Regular"/>
          <w:color w:val="auto"/>
          <w:sz w:val="32"/>
          <w:szCs w:val="40"/>
          <w:highlight w:val="none"/>
          <w:lang w:val="en-US" w:eastAsia="zh-CN"/>
        </w:rPr>
        <w:t>月1</w:t>
      </w:r>
      <w:r>
        <w:rPr>
          <w:rFonts w:hint="eastAsia" w:ascii="Times New Roman Regular" w:hAnsi="Times New Roman Regular" w:eastAsia="仿宋_GB2312" w:cs="Times New Roman Regular"/>
          <w:color w:val="auto"/>
          <w:sz w:val="32"/>
          <w:szCs w:val="40"/>
          <w:highlight w:val="none"/>
          <w:lang w:val="en-US" w:eastAsia="zh-CN"/>
        </w:rPr>
        <w:t>3</w:t>
      </w:r>
      <w:r>
        <w:rPr>
          <w:rFonts w:hint="default" w:ascii="Times New Roman Regular" w:hAnsi="Times New Roman Regular" w:eastAsia="仿宋_GB2312" w:cs="Times New Roman Regular"/>
          <w:color w:val="auto"/>
          <w:sz w:val="32"/>
          <w:szCs w:val="40"/>
          <w:highlight w:val="none"/>
          <w:lang w:val="en-US" w:eastAsia="zh-CN"/>
        </w:rPr>
        <w:t>日</w:t>
      </w:r>
      <w:r>
        <w:rPr>
          <w:rFonts w:hint="eastAsia" w:ascii="Times New Roman Regular" w:hAnsi="Times New Roman Regular" w:eastAsia="仿宋_GB2312" w:cs="Times New Roman Regular"/>
          <w:color w:val="auto"/>
          <w:sz w:val="32"/>
          <w:szCs w:val="40"/>
          <w:highlight w:val="none"/>
          <w:lang w:val="en-US" w:eastAsia="zh-CN"/>
        </w:rPr>
        <w:t>—6</w:t>
      </w:r>
      <w:r>
        <w:rPr>
          <w:rFonts w:hint="default" w:ascii="Times New Roman Regular" w:hAnsi="Times New Roman Regular" w:eastAsia="仿宋_GB2312" w:cs="Times New Roman Regular"/>
          <w:color w:val="auto"/>
          <w:sz w:val="32"/>
          <w:szCs w:val="40"/>
          <w:highlight w:val="none"/>
          <w:lang w:val="en-US" w:eastAsia="zh-CN"/>
        </w:rPr>
        <w:t>月</w:t>
      </w:r>
      <w:r>
        <w:rPr>
          <w:rFonts w:hint="eastAsia" w:ascii="Times New Roman Regular" w:hAnsi="Times New Roman Regular" w:eastAsia="仿宋_GB2312" w:cs="Times New Roman Regular"/>
          <w:color w:val="auto"/>
          <w:sz w:val="32"/>
          <w:szCs w:val="40"/>
          <w:highlight w:val="none"/>
          <w:lang w:val="en-US" w:eastAsia="zh-CN"/>
        </w:rPr>
        <w:t>30</w:t>
      </w:r>
      <w:r>
        <w:rPr>
          <w:rFonts w:hint="default" w:ascii="Times New Roman Regular" w:hAnsi="Times New Roman Regular" w:eastAsia="仿宋_GB2312" w:cs="Times New Roman Regular"/>
          <w:color w:val="auto"/>
          <w:sz w:val="32"/>
          <w:szCs w:val="40"/>
          <w:highlight w:val="none"/>
          <w:lang w:val="en-US" w:eastAsia="zh-CN"/>
        </w:rPr>
        <w:t>日）。主要开展项目内容调研工作、制定评价实施方案。</w:t>
      </w:r>
    </w:p>
    <w:p w14:paraId="2EBC6A6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w:t>
      </w:r>
      <w:r>
        <w:rPr>
          <w:rFonts w:hint="default" w:ascii="Times New Roman Regular" w:hAnsi="Times New Roman Regular" w:eastAsia="仿宋_GB2312" w:cs="Times New Roman Regular"/>
          <w:color w:val="auto"/>
          <w:sz w:val="32"/>
          <w:szCs w:val="40"/>
          <w:highlight w:val="none"/>
          <w:lang w:val="en-US" w:eastAsia="zh-CN"/>
        </w:rPr>
        <w:t>组织实施阶段（</w:t>
      </w:r>
      <w:r>
        <w:rPr>
          <w:rFonts w:hint="eastAsia" w:ascii="Times New Roman Regular" w:hAnsi="Times New Roman Regular" w:eastAsia="仿宋_GB2312" w:cs="Times New Roman Regular"/>
          <w:color w:val="auto"/>
          <w:sz w:val="32"/>
          <w:szCs w:val="40"/>
          <w:highlight w:val="none"/>
          <w:lang w:val="en-US" w:eastAsia="zh-CN"/>
        </w:rPr>
        <w:t>6</w:t>
      </w:r>
      <w:r>
        <w:rPr>
          <w:rFonts w:hint="default" w:ascii="Times New Roman Regular" w:hAnsi="Times New Roman Regular" w:eastAsia="仿宋_GB2312" w:cs="Times New Roman Regular"/>
          <w:color w:val="auto"/>
          <w:sz w:val="32"/>
          <w:szCs w:val="40"/>
          <w:highlight w:val="none"/>
          <w:lang w:val="en-US" w:eastAsia="zh-CN"/>
        </w:rPr>
        <w:t>月</w:t>
      </w:r>
      <w:r>
        <w:rPr>
          <w:rFonts w:hint="eastAsia" w:ascii="Times New Roman Regular" w:hAnsi="Times New Roman Regular" w:eastAsia="仿宋_GB2312" w:cs="Times New Roman Regular"/>
          <w:color w:val="auto"/>
          <w:sz w:val="32"/>
          <w:szCs w:val="40"/>
          <w:highlight w:val="none"/>
          <w:lang w:val="en-US" w:eastAsia="zh-CN"/>
        </w:rPr>
        <w:t>30</w:t>
      </w:r>
      <w:r>
        <w:rPr>
          <w:rFonts w:hint="default" w:ascii="Times New Roman Regular" w:hAnsi="Times New Roman Regular" w:eastAsia="仿宋_GB2312" w:cs="Times New Roman Regular"/>
          <w:color w:val="auto"/>
          <w:sz w:val="32"/>
          <w:szCs w:val="40"/>
          <w:highlight w:val="none"/>
          <w:lang w:val="en-US" w:eastAsia="zh-CN"/>
        </w:rPr>
        <w:t>日</w:t>
      </w:r>
      <w:r>
        <w:rPr>
          <w:rFonts w:hint="eastAsia" w:ascii="Times New Roman Regular" w:hAnsi="Times New Roman Regular" w:eastAsia="仿宋_GB2312" w:cs="Times New Roman Regular"/>
          <w:color w:val="auto"/>
          <w:sz w:val="32"/>
          <w:szCs w:val="40"/>
          <w:highlight w:val="none"/>
          <w:lang w:val="en-US" w:eastAsia="zh-CN"/>
        </w:rPr>
        <w:t>—8</w:t>
      </w:r>
      <w:r>
        <w:rPr>
          <w:rFonts w:hint="default" w:ascii="Times New Roman Regular" w:hAnsi="Times New Roman Regular" w:eastAsia="仿宋_GB2312" w:cs="Times New Roman Regular"/>
          <w:color w:val="auto"/>
          <w:sz w:val="32"/>
          <w:szCs w:val="40"/>
          <w:highlight w:val="none"/>
          <w:lang w:val="en-US" w:eastAsia="zh-CN"/>
        </w:rPr>
        <w:t>月</w:t>
      </w:r>
      <w:r>
        <w:rPr>
          <w:rFonts w:hint="eastAsia" w:ascii="Times New Roman Regular" w:hAnsi="Times New Roman Regular" w:eastAsia="仿宋_GB2312" w:cs="Times New Roman Regular"/>
          <w:color w:val="auto"/>
          <w:sz w:val="32"/>
          <w:szCs w:val="40"/>
          <w:highlight w:val="none"/>
          <w:lang w:val="en-US" w:eastAsia="zh-CN"/>
        </w:rPr>
        <w:t>13</w:t>
      </w:r>
      <w:r>
        <w:rPr>
          <w:rFonts w:hint="default" w:ascii="Times New Roman Regular" w:hAnsi="Times New Roman Regular" w:eastAsia="仿宋_GB2312" w:cs="Times New Roman Regular"/>
          <w:color w:val="auto"/>
          <w:sz w:val="32"/>
          <w:szCs w:val="40"/>
          <w:highlight w:val="none"/>
          <w:lang w:val="en-US" w:eastAsia="zh-CN"/>
        </w:rPr>
        <w:t>日）。主要收集、核查资料，并通过座谈会、问卷调查等形式开展现场评价和综合分析，确定项目初步评价得分。</w:t>
      </w:r>
    </w:p>
    <w:p w14:paraId="564B9DD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3．</w:t>
      </w:r>
      <w:r>
        <w:rPr>
          <w:rFonts w:hint="default" w:ascii="Times New Roman Regular" w:hAnsi="Times New Roman Regular" w:eastAsia="仿宋_GB2312" w:cs="Times New Roman Regular"/>
          <w:color w:val="auto"/>
          <w:sz w:val="32"/>
          <w:szCs w:val="40"/>
          <w:highlight w:val="none"/>
          <w:lang w:val="en-US" w:eastAsia="zh-CN"/>
        </w:rPr>
        <w:t>报告形成阶段（</w:t>
      </w:r>
      <w:r>
        <w:rPr>
          <w:rFonts w:hint="eastAsia" w:ascii="Times New Roman Regular" w:hAnsi="Times New Roman Regular" w:eastAsia="仿宋_GB2312" w:cs="Times New Roman Regular"/>
          <w:color w:val="auto"/>
          <w:sz w:val="32"/>
          <w:szCs w:val="40"/>
          <w:highlight w:val="none"/>
          <w:lang w:val="en-US" w:eastAsia="zh-CN"/>
        </w:rPr>
        <w:t>8</w:t>
      </w:r>
      <w:r>
        <w:rPr>
          <w:rFonts w:hint="default" w:ascii="Times New Roman Regular" w:hAnsi="Times New Roman Regular" w:eastAsia="仿宋_GB2312" w:cs="Times New Roman Regular"/>
          <w:color w:val="auto"/>
          <w:sz w:val="32"/>
          <w:szCs w:val="40"/>
          <w:highlight w:val="none"/>
          <w:lang w:val="en-US" w:eastAsia="zh-CN"/>
        </w:rPr>
        <w:t>月</w:t>
      </w:r>
      <w:r>
        <w:rPr>
          <w:rFonts w:hint="eastAsia" w:ascii="Times New Roman Regular" w:hAnsi="Times New Roman Regular" w:eastAsia="仿宋_GB2312" w:cs="Times New Roman Regular"/>
          <w:color w:val="auto"/>
          <w:sz w:val="32"/>
          <w:szCs w:val="40"/>
          <w:highlight w:val="none"/>
          <w:lang w:val="en-US" w:eastAsia="zh-CN"/>
        </w:rPr>
        <w:t>13</w:t>
      </w:r>
      <w:r>
        <w:rPr>
          <w:rFonts w:hint="default" w:ascii="Times New Roman Regular" w:hAnsi="Times New Roman Regular" w:eastAsia="仿宋_GB2312" w:cs="Times New Roman Regular"/>
          <w:color w:val="auto"/>
          <w:sz w:val="32"/>
          <w:szCs w:val="40"/>
          <w:highlight w:val="none"/>
          <w:lang w:val="en-US" w:eastAsia="zh-CN"/>
        </w:rPr>
        <w:t>日</w:t>
      </w:r>
      <w:r>
        <w:rPr>
          <w:rFonts w:hint="eastAsia" w:ascii="Times New Roman Regular" w:hAnsi="Times New Roman Regular" w:eastAsia="仿宋_GB2312" w:cs="Times New Roman Regular"/>
          <w:color w:val="auto"/>
          <w:sz w:val="32"/>
          <w:szCs w:val="40"/>
          <w:highlight w:val="none"/>
          <w:lang w:val="en-US" w:eastAsia="zh-CN"/>
        </w:rPr>
        <w:t>—9</w:t>
      </w:r>
      <w:r>
        <w:rPr>
          <w:rFonts w:hint="default" w:ascii="Times New Roman Regular" w:hAnsi="Times New Roman Regular" w:eastAsia="仿宋_GB2312" w:cs="Times New Roman Regular"/>
          <w:color w:val="auto"/>
          <w:sz w:val="32"/>
          <w:szCs w:val="40"/>
          <w:highlight w:val="none"/>
          <w:lang w:val="en-US" w:eastAsia="zh-CN"/>
        </w:rPr>
        <w:t>月</w:t>
      </w:r>
      <w:r>
        <w:rPr>
          <w:rFonts w:hint="eastAsia" w:ascii="Times New Roman Regular" w:hAnsi="Times New Roman Regular" w:eastAsia="仿宋_GB2312" w:cs="Times New Roman Regular"/>
          <w:color w:val="auto"/>
          <w:sz w:val="32"/>
          <w:szCs w:val="40"/>
          <w:highlight w:val="none"/>
          <w:lang w:val="en-US" w:eastAsia="zh-CN"/>
        </w:rPr>
        <w:t>8</w:t>
      </w:r>
      <w:r>
        <w:rPr>
          <w:rFonts w:hint="default" w:ascii="Times New Roman Regular" w:hAnsi="Times New Roman Regular" w:eastAsia="仿宋_GB2312" w:cs="Times New Roman Regular"/>
          <w:color w:val="auto"/>
          <w:sz w:val="32"/>
          <w:szCs w:val="40"/>
          <w:highlight w:val="none"/>
          <w:lang w:val="en-US" w:eastAsia="zh-CN"/>
        </w:rPr>
        <w:t>日）。主要撰写绩效评价报告，后续根据审核意见修订、提交报告。</w:t>
      </w:r>
    </w:p>
    <w:bookmarkEnd w:id="47"/>
    <w:p w14:paraId="1C0B246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48" w:name="_Toc12973368"/>
      <w:bookmarkStart w:id="49" w:name="_Toc8387"/>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八</w:t>
      </w:r>
      <w:r>
        <w:rPr>
          <w:rFonts w:hint="default" w:ascii="Times New Roman Regular" w:hAnsi="Times New Roman Regular" w:eastAsia="楷体_GB2312" w:cs="Times New Roman Regular"/>
          <w:color w:val="auto"/>
          <w:sz w:val="32"/>
          <w:szCs w:val="40"/>
          <w:highlight w:val="none"/>
          <w:lang w:val="en-US" w:eastAsia="zh-CN"/>
        </w:rPr>
        <w:t>）评价局限性</w:t>
      </w:r>
      <w:bookmarkEnd w:id="48"/>
      <w:bookmarkEnd w:id="49"/>
    </w:p>
    <w:p w14:paraId="61750D5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荣成博物馆将本项目范围内的卫生保洁、安全保卫具体作业委托了第三方单位负责，在作业过程中具体人员分工、岗位配备及人工成本控制依赖于第三方单位的自身管理，绩效评价工作组难以实时、全面介入，可能存在关键作业管理及作业人员薪酬发放等调查不全面的情况，影响对实施过程合规性的精准判断</w:t>
      </w:r>
      <w:r>
        <w:rPr>
          <w:rFonts w:hint="default" w:ascii="Times New Roman Regular" w:hAnsi="Times New Roman Regular" w:eastAsia="仿宋_GB2312" w:cs="Times New Roman Regular"/>
          <w:color w:val="auto"/>
          <w:sz w:val="32"/>
          <w:szCs w:val="40"/>
          <w:highlight w:val="none"/>
          <w:lang w:val="en-US" w:eastAsia="zh-CN"/>
        </w:rPr>
        <w:t>。</w:t>
      </w:r>
    </w:p>
    <w:p w14:paraId="017228B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50" w:name="_Toc4440"/>
      <w:bookmarkStart w:id="51" w:name="_Toc1147547629"/>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、评价结论及</w:t>
      </w:r>
      <w:r>
        <w:rPr>
          <w:rFonts w:hint="eastAsia" w:ascii="Times New Roman" w:hAnsi="Times New Roman" w:eastAsia="黑体" w:cs="Times New Roman"/>
          <w:sz w:val="32"/>
          <w:szCs w:val="32"/>
          <w:highlight w:val="none"/>
          <w:lang w:val="en-US" w:eastAsia="zh-CN"/>
        </w:rPr>
        <w:t>指标</w:t>
      </w:r>
      <w:r>
        <w:rPr>
          <w:rFonts w:hint="default" w:ascii="Times New Roman" w:hAnsi="Times New Roman" w:eastAsia="黑体" w:cs="Times New Roman"/>
          <w:sz w:val="32"/>
          <w:szCs w:val="32"/>
          <w:highlight w:val="none"/>
          <w:lang w:val="en-US" w:eastAsia="zh-CN"/>
        </w:rPr>
        <w:t>分析</w:t>
      </w:r>
      <w:bookmarkEnd w:id="50"/>
      <w:bookmarkEnd w:id="51"/>
    </w:p>
    <w:p w14:paraId="116F7F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52" w:name="_Toc282366896"/>
      <w:bookmarkStart w:id="53" w:name="_Toc6032"/>
      <w:r>
        <w:rPr>
          <w:rFonts w:hint="default" w:ascii="Times New Roman Regular" w:hAnsi="Times New Roman Regular" w:eastAsia="楷体_GB2312" w:cs="Times New Roman Regular"/>
          <w:color w:val="auto"/>
          <w:sz w:val="32"/>
          <w:szCs w:val="40"/>
          <w:highlight w:val="none"/>
          <w:lang w:val="en-US" w:eastAsia="zh-CN"/>
        </w:rPr>
        <w:t>（一）综合评价结论</w:t>
      </w:r>
      <w:bookmarkEnd w:id="52"/>
      <w:bookmarkEnd w:id="53"/>
    </w:p>
    <w:p w14:paraId="62B29EC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本项目绩效评价得分</w:t>
      </w:r>
      <w:r>
        <w:rPr>
          <w:rFonts w:hint="eastAsia" w:ascii="Times New Roman Regular" w:hAnsi="Times New Roman Regular" w:eastAsia="仿宋_GB2312" w:cs="Times New Roman Regular"/>
          <w:color w:val="auto"/>
          <w:sz w:val="32"/>
          <w:szCs w:val="40"/>
          <w:highlight w:val="none"/>
          <w:lang w:val="en-US" w:eastAsia="zh-CN"/>
        </w:rPr>
        <w:t>92.5</w:t>
      </w:r>
      <w:r>
        <w:rPr>
          <w:rFonts w:hint="default" w:ascii="Times New Roman Regular" w:hAnsi="Times New Roman Regular" w:eastAsia="仿宋_GB2312" w:cs="Times New Roman Regular"/>
          <w:color w:val="auto"/>
          <w:sz w:val="32"/>
          <w:szCs w:val="40"/>
          <w:highlight w:val="none"/>
          <w:lang w:val="en-US" w:eastAsia="zh-CN"/>
        </w:rPr>
        <w:t>分（详见表</w:t>
      </w:r>
      <w:r>
        <w:rPr>
          <w:rFonts w:hint="eastAsia" w:ascii="Times New Roman Regular" w:hAnsi="Times New Roman Regular" w:eastAsia="仿宋_GB2312" w:cs="Times New Roman Regular"/>
          <w:color w:val="auto"/>
          <w:sz w:val="32"/>
          <w:szCs w:val="40"/>
          <w:highlight w:val="none"/>
          <w:lang w:val="en-US" w:eastAsia="zh-CN"/>
        </w:rPr>
        <w:t>4—</w:t>
      </w:r>
      <w:r>
        <w:rPr>
          <w:rFonts w:hint="default" w:ascii="Times New Roman Regular" w:hAnsi="Times New Roman Regular" w:eastAsia="仿宋_GB2312" w:cs="Times New Roman Regular"/>
          <w:color w:val="auto"/>
          <w:sz w:val="32"/>
          <w:szCs w:val="40"/>
          <w:highlight w:val="none"/>
          <w:lang w:val="en-US" w:eastAsia="zh-CN"/>
        </w:rPr>
        <w:t>1），评价结果为“</w:t>
      </w:r>
      <w:r>
        <w:rPr>
          <w:rFonts w:hint="eastAsia" w:ascii="Times New Roman Regular" w:hAnsi="Times New Roman Regular" w:eastAsia="仿宋_GB2312" w:cs="Times New Roman Regular"/>
          <w:color w:val="auto"/>
          <w:sz w:val="32"/>
          <w:szCs w:val="40"/>
          <w:highlight w:val="none"/>
          <w:lang w:val="en-US" w:eastAsia="zh-CN"/>
        </w:rPr>
        <w:t>优</w:t>
      </w:r>
      <w:r>
        <w:rPr>
          <w:rFonts w:hint="default" w:ascii="Times New Roman Regular" w:hAnsi="Times New Roman Regular" w:eastAsia="仿宋_GB2312" w:cs="Times New Roman Regular"/>
          <w:color w:val="auto"/>
          <w:sz w:val="32"/>
          <w:szCs w:val="40"/>
          <w:highlight w:val="none"/>
          <w:lang w:val="en-US" w:eastAsia="zh-CN"/>
        </w:rPr>
        <w:t>”。</w:t>
      </w:r>
    </w:p>
    <w:p w14:paraId="11A7CB5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仿宋_GB2312" w:cs="Times New Roman"/>
          <w:b/>
          <w:bCs/>
          <w:color w:val="auto"/>
          <w:sz w:val="28"/>
          <w:szCs w:val="28"/>
          <w:highlight w:val="none"/>
          <w:vertAlign w:val="baseline"/>
          <w:lang w:val="en-US" w:eastAsia="zh-CN"/>
        </w:rPr>
      </w:pPr>
      <w:r>
        <w:rPr>
          <w:rFonts w:hint="default" w:ascii="Times New Roman" w:hAnsi="Times New Roman" w:eastAsia="仿宋_GB2312" w:cs="Times New Roman"/>
          <w:b/>
          <w:bCs/>
          <w:color w:val="auto"/>
          <w:sz w:val="28"/>
          <w:szCs w:val="28"/>
          <w:highlight w:val="none"/>
          <w:lang w:val="en-US" w:eastAsia="zh-CN"/>
        </w:rPr>
        <w:t>表4—1项目绩效评价得分情况表</w:t>
      </w:r>
    </w:p>
    <w:tbl>
      <w:tblPr>
        <w:tblStyle w:val="13"/>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1931"/>
        <w:gridCol w:w="1820"/>
        <w:gridCol w:w="1722"/>
      </w:tblGrid>
      <w:tr w14:paraId="537A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876" w:type="dxa"/>
            <w:vAlign w:val="center"/>
          </w:tcPr>
          <w:p w14:paraId="0699FD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黑体" w:cs="Times New Roman Regular"/>
                <w:color w:val="auto"/>
                <w:sz w:val="28"/>
                <w:szCs w:val="28"/>
                <w:highlight w:val="none"/>
                <w:vertAlign w:val="baseline"/>
                <w:lang w:val="en-US" w:eastAsia="zh-CN"/>
              </w:rPr>
            </w:pPr>
            <w:r>
              <w:rPr>
                <w:rFonts w:hint="default" w:ascii="Times New Roman Regular" w:hAnsi="Times New Roman Regular" w:eastAsia="黑体" w:cs="Times New Roman Regular"/>
                <w:color w:val="auto"/>
                <w:sz w:val="28"/>
                <w:szCs w:val="28"/>
                <w:highlight w:val="none"/>
                <w:vertAlign w:val="baseline"/>
                <w:lang w:val="en-US" w:eastAsia="zh-CN"/>
              </w:rPr>
              <w:t>一级指标</w:t>
            </w:r>
          </w:p>
        </w:tc>
        <w:tc>
          <w:tcPr>
            <w:tcW w:w="1931" w:type="dxa"/>
            <w:vAlign w:val="center"/>
          </w:tcPr>
          <w:p w14:paraId="405E89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黑体" w:cs="Times New Roman Regular"/>
                <w:color w:val="auto"/>
                <w:sz w:val="28"/>
                <w:szCs w:val="28"/>
                <w:highlight w:val="none"/>
                <w:vertAlign w:val="baseline"/>
                <w:lang w:val="en-US" w:eastAsia="zh-CN"/>
              </w:rPr>
            </w:pPr>
            <w:r>
              <w:rPr>
                <w:rFonts w:hint="default" w:ascii="Times New Roman Regular" w:hAnsi="Times New Roman Regular" w:eastAsia="黑体" w:cs="Times New Roman Regular"/>
                <w:color w:val="auto"/>
                <w:sz w:val="28"/>
                <w:szCs w:val="28"/>
                <w:highlight w:val="none"/>
                <w:vertAlign w:val="baseline"/>
                <w:lang w:val="en-US" w:eastAsia="zh-CN"/>
              </w:rPr>
              <w:t>指标分值</w:t>
            </w:r>
          </w:p>
        </w:tc>
        <w:tc>
          <w:tcPr>
            <w:tcW w:w="1820" w:type="dxa"/>
            <w:vAlign w:val="center"/>
          </w:tcPr>
          <w:p w14:paraId="3A606C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黑体" w:cs="Times New Roman Regular"/>
                <w:color w:val="auto"/>
                <w:sz w:val="28"/>
                <w:szCs w:val="28"/>
                <w:highlight w:val="none"/>
                <w:vertAlign w:val="baseline"/>
                <w:lang w:val="en-US" w:eastAsia="zh-CN"/>
              </w:rPr>
            </w:pPr>
            <w:r>
              <w:rPr>
                <w:rFonts w:hint="default" w:ascii="Times New Roman Regular" w:hAnsi="Times New Roman Regular" w:eastAsia="黑体" w:cs="Times New Roman Regular"/>
                <w:color w:val="auto"/>
                <w:sz w:val="28"/>
                <w:szCs w:val="28"/>
                <w:highlight w:val="none"/>
                <w:vertAlign w:val="baseline"/>
                <w:lang w:val="en-US" w:eastAsia="zh-CN"/>
              </w:rPr>
              <w:t>得分</w:t>
            </w:r>
          </w:p>
        </w:tc>
        <w:tc>
          <w:tcPr>
            <w:tcW w:w="1722" w:type="dxa"/>
            <w:vAlign w:val="center"/>
          </w:tcPr>
          <w:p w14:paraId="21B7C8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Regular" w:hAnsi="Times New Roman Regular" w:eastAsia="黑体" w:cs="Times New Roman Regular"/>
                <w:color w:val="auto"/>
                <w:sz w:val="28"/>
                <w:szCs w:val="28"/>
                <w:highlight w:val="none"/>
                <w:vertAlign w:val="baseline"/>
                <w:lang w:val="en-US" w:eastAsia="zh-CN"/>
              </w:rPr>
            </w:pPr>
            <w:r>
              <w:rPr>
                <w:rFonts w:hint="default" w:ascii="Times New Roman Regular" w:hAnsi="Times New Roman Regular" w:eastAsia="黑体" w:cs="Times New Roman Regular"/>
                <w:color w:val="auto"/>
                <w:sz w:val="28"/>
                <w:szCs w:val="28"/>
                <w:highlight w:val="none"/>
                <w:vertAlign w:val="baseline"/>
                <w:lang w:val="en-US" w:eastAsia="zh-CN"/>
              </w:rPr>
              <w:t>得分率</w:t>
            </w:r>
          </w:p>
        </w:tc>
      </w:tr>
      <w:tr w14:paraId="7B1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6" w:type="dxa"/>
            <w:vAlign w:val="center"/>
          </w:tcPr>
          <w:p w14:paraId="62651E48">
            <w:pPr>
              <w:keepNext w:val="0"/>
              <w:keepLines w:val="0"/>
              <w:pageBreakBefore w:val="0"/>
              <w:widowControl/>
              <w:numPr>
                <w:ilvl w:val="0"/>
                <w:numId w:val="0"/>
              </w:numPr>
              <w:kinsoku/>
              <w:wordWrap/>
              <w:overflowPunct/>
              <w:topLinePunct w:val="0"/>
              <w:autoSpaceDE/>
              <w:autoSpaceDN/>
              <w:bidi w:val="0"/>
              <w:snapToGrid/>
              <w:spacing w:line="240" w:lineRule="auto"/>
              <w:ind w:left="0" w:leftChars="0" w:firstLine="0" w:firstLineChars="0"/>
              <w:jc w:val="center"/>
              <w:rPr>
                <w:rFonts w:hint="default" w:ascii="Times New Roman Regular" w:hAnsi="Times New Roman Regular" w:eastAsia="仿宋_GB2312" w:cs="Times New Roman Regular"/>
                <w:b w:val="0"/>
                <w:bCs w:val="0"/>
                <w:color w:val="auto"/>
                <w:kern w:val="2"/>
                <w:sz w:val="28"/>
                <w:szCs w:val="28"/>
                <w:highlight w:val="none"/>
                <w:lang w:val="en-US" w:eastAsia="zh-CN" w:bidi="ar-SA"/>
              </w:rPr>
            </w:pPr>
            <w:r>
              <w:rPr>
                <w:rFonts w:hint="default" w:ascii="Times New Roman Regular" w:hAnsi="Times New Roman Regular" w:eastAsia="仿宋_GB2312" w:cs="Times New Roman Regular"/>
                <w:b w:val="0"/>
                <w:bCs w:val="0"/>
                <w:color w:val="auto"/>
                <w:kern w:val="2"/>
                <w:sz w:val="28"/>
                <w:szCs w:val="28"/>
                <w:highlight w:val="none"/>
                <w:lang w:val="en-US" w:eastAsia="zh-CN" w:bidi="ar-SA"/>
              </w:rPr>
              <w:t>决策</w:t>
            </w:r>
          </w:p>
        </w:tc>
        <w:tc>
          <w:tcPr>
            <w:tcW w:w="1931" w:type="dxa"/>
            <w:vAlign w:val="center"/>
          </w:tcPr>
          <w:p w14:paraId="47244C5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default" w:ascii="Times New Roman Regular" w:hAnsi="Times New Roman Regular" w:eastAsia="仿宋_GB2312" w:cs="Times New Roman Regular"/>
                <w:b w:val="0"/>
                <w:bCs w:val="0"/>
                <w:i w:val="0"/>
                <w:iCs w:val="0"/>
                <w:color w:val="auto"/>
                <w:kern w:val="0"/>
                <w:sz w:val="28"/>
                <w:szCs w:val="28"/>
                <w:highlight w:val="none"/>
                <w:u w:val="none"/>
                <w:lang w:val="en-US" w:eastAsia="zh-CN" w:bidi="ar"/>
              </w:rPr>
              <w:t>10</w:t>
            </w:r>
          </w:p>
        </w:tc>
        <w:tc>
          <w:tcPr>
            <w:tcW w:w="1820" w:type="dxa"/>
            <w:vAlign w:val="center"/>
          </w:tcPr>
          <w:p w14:paraId="7A21B8A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t>8.5</w:t>
            </w:r>
          </w:p>
        </w:tc>
        <w:tc>
          <w:tcPr>
            <w:tcW w:w="1722" w:type="dxa"/>
            <w:vAlign w:val="center"/>
          </w:tcPr>
          <w:p w14:paraId="7CDC0F4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Times New Roman Regular" w:cs="Times New Roman Regular"/>
                <w:i w:val="0"/>
                <w:iCs w:val="0"/>
                <w:color w:val="000000"/>
                <w:kern w:val="0"/>
                <w:sz w:val="28"/>
                <w:szCs w:val="28"/>
                <w:u w:val="none"/>
                <w:lang w:val="en-US" w:eastAsia="zh-CN" w:bidi="ar"/>
              </w:rPr>
              <w:t>85</w:t>
            </w:r>
            <w:r>
              <w:rPr>
                <w:rFonts w:hint="default" w:ascii="Times New Roman Regular" w:hAnsi="Times New Roman Regular" w:eastAsia="Times New Roman Regular" w:cs="Times New Roman Regular"/>
                <w:i w:val="0"/>
                <w:iCs w:val="0"/>
                <w:color w:val="000000"/>
                <w:kern w:val="0"/>
                <w:sz w:val="28"/>
                <w:szCs w:val="28"/>
                <w:u w:val="none"/>
                <w:lang w:val="en-US" w:eastAsia="zh-CN" w:bidi="ar"/>
              </w:rPr>
              <w:t>%</w:t>
            </w:r>
          </w:p>
        </w:tc>
      </w:tr>
      <w:tr w14:paraId="4CCC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6" w:type="dxa"/>
            <w:vAlign w:val="center"/>
          </w:tcPr>
          <w:p w14:paraId="42A29844">
            <w:pPr>
              <w:keepNext w:val="0"/>
              <w:keepLines w:val="0"/>
              <w:pageBreakBefore w:val="0"/>
              <w:widowControl/>
              <w:numPr>
                <w:ilvl w:val="0"/>
                <w:numId w:val="0"/>
              </w:numPr>
              <w:kinsoku/>
              <w:wordWrap/>
              <w:overflowPunct/>
              <w:topLinePunct w:val="0"/>
              <w:autoSpaceDE/>
              <w:autoSpaceDN/>
              <w:bidi w:val="0"/>
              <w:snapToGrid/>
              <w:spacing w:line="240" w:lineRule="auto"/>
              <w:ind w:left="0" w:leftChars="0" w:firstLine="0" w:firstLineChars="0"/>
              <w:jc w:val="center"/>
              <w:rPr>
                <w:rFonts w:hint="default" w:ascii="Times New Roman Regular" w:hAnsi="Times New Roman Regular" w:eastAsia="仿宋_GB2312" w:cs="Times New Roman Regular"/>
                <w:b w:val="0"/>
                <w:bCs w:val="0"/>
                <w:color w:val="auto"/>
                <w:kern w:val="2"/>
                <w:sz w:val="28"/>
                <w:szCs w:val="28"/>
                <w:highlight w:val="none"/>
                <w:lang w:val="en-US" w:eastAsia="zh-CN" w:bidi="ar-SA"/>
              </w:rPr>
            </w:pPr>
            <w:r>
              <w:rPr>
                <w:rFonts w:hint="default" w:ascii="Times New Roman Regular" w:hAnsi="Times New Roman Regular" w:eastAsia="仿宋_GB2312" w:cs="Times New Roman Regular"/>
                <w:b w:val="0"/>
                <w:bCs w:val="0"/>
                <w:color w:val="auto"/>
                <w:kern w:val="2"/>
                <w:sz w:val="28"/>
                <w:szCs w:val="28"/>
                <w:highlight w:val="none"/>
                <w:lang w:val="en-US" w:eastAsia="zh-CN" w:bidi="ar-SA"/>
              </w:rPr>
              <w:t>过程</w:t>
            </w:r>
          </w:p>
        </w:tc>
        <w:tc>
          <w:tcPr>
            <w:tcW w:w="1931" w:type="dxa"/>
            <w:vAlign w:val="center"/>
          </w:tcPr>
          <w:p w14:paraId="587F71C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0"/>
                <w:sz w:val="28"/>
                <w:szCs w:val="28"/>
                <w:highlight w:val="none"/>
                <w:u w:val="none"/>
                <w:lang w:val="en-US" w:eastAsia="zh-CN" w:bidi="ar"/>
              </w:rPr>
              <w:t>30</w:t>
            </w:r>
          </w:p>
        </w:tc>
        <w:tc>
          <w:tcPr>
            <w:tcW w:w="1820" w:type="dxa"/>
            <w:vAlign w:val="center"/>
          </w:tcPr>
          <w:p w14:paraId="6CA10E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t>24</w:t>
            </w:r>
          </w:p>
        </w:tc>
        <w:tc>
          <w:tcPr>
            <w:tcW w:w="1722" w:type="dxa"/>
            <w:vAlign w:val="center"/>
          </w:tcPr>
          <w:p w14:paraId="528CD33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Times New Roman Regular" w:cs="Times New Roman Regular"/>
                <w:i w:val="0"/>
                <w:iCs w:val="0"/>
                <w:color w:val="000000"/>
                <w:kern w:val="0"/>
                <w:sz w:val="28"/>
                <w:szCs w:val="28"/>
                <w:u w:val="none"/>
                <w:lang w:val="en-US" w:eastAsia="zh-CN" w:bidi="ar"/>
              </w:rPr>
              <w:t>80</w:t>
            </w:r>
            <w:r>
              <w:rPr>
                <w:rFonts w:hint="default" w:ascii="Times New Roman Regular" w:hAnsi="Times New Roman Regular" w:eastAsia="Times New Roman Regular" w:cs="Times New Roman Regular"/>
                <w:i w:val="0"/>
                <w:iCs w:val="0"/>
                <w:color w:val="000000"/>
                <w:kern w:val="0"/>
                <w:sz w:val="28"/>
                <w:szCs w:val="28"/>
                <w:u w:val="none"/>
                <w:lang w:val="en-US" w:eastAsia="zh-CN" w:bidi="ar"/>
              </w:rPr>
              <w:t>%</w:t>
            </w:r>
          </w:p>
        </w:tc>
      </w:tr>
      <w:tr w14:paraId="6341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6" w:type="dxa"/>
            <w:vAlign w:val="center"/>
          </w:tcPr>
          <w:p w14:paraId="5128FE77">
            <w:pPr>
              <w:keepNext w:val="0"/>
              <w:keepLines w:val="0"/>
              <w:pageBreakBefore w:val="0"/>
              <w:widowControl/>
              <w:numPr>
                <w:ilvl w:val="0"/>
                <w:numId w:val="0"/>
              </w:numPr>
              <w:kinsoku/>
              <w:wordWrap/>
              <w:overflowPunct/>
              <w:topLinePunct w:val="0"/>
              <w:autoSpaceDE/>
              <w:autoSpaceDN/>
              <w:bidi w:val="0"/>
              <w:snapToGrid/>
              <w:spacing w:line="240" w:lineRule="auto"/>
              <w:ind w:left="0" w:leftChars="0" w:firstLine="0" w:firstLineChars="0"/>
              <w:jc w:val="center"/>
              <w:rPr>
                <w:rFonts w:hint="default" w:ascii="Times New Roman Regular" w:hAnsi="Times New Roman Regular" w:eastAsia="仿宋_GB2312" w:cs="Times New Roman Regular"/>
                <w:b w:val="0"/>
                <w:bCs w:val="0"/>
                <w:color w:val="auto"/>
                <w:kern w:val="2"/>
                <w:sz w:val="28"/>
                <w:szCs w:val="28"/>
                <w:highlight w:val="none"/>
                <w:lang w:val="en-US" w:eastAsia="zh-CN" w:bidi="ar-SA"/>
              </w:rPr>
            </w:pPr>
            <w:r>
              <w:rPr>
                <w:rFonts w:hint="default" w:ascii="Times New Roman Regular" w:hAnsi="Times New Roman Regular" w:eastAsia="仿宋_GB2312" w:cs="Times New Roman Regular"/>
                <w:b w:val="0"/>
                <w:bCs w:val="0"/>
                <w:color w:val="auto"/>
                <w:kern w:val="2"/>
                <w:sz w:val="28"/>
                <w:szCs w:val="28"/>
                <w:highlight w:val="none"/>
                <w:lang w:val="en-US" w:eastAsia="zh-CN" w:bidi="ar-SA"/>
              </w:rPr>
              <w:t>产出</w:t>
            </w:r>
          </w:p>
        </w:tc>
        <w:tc>
          <w:tcPr>
            <w:tcW w:w="1931" w:type="dxa"/>
            <w:vAlign w:val="center"/>
          </w:tcPr>
          <w:p w14:paraId="45E0AF2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0"/>
                <w:sz w:val="28"/>
                <w:szCs w:val="28"/>
                <w:highlight w:val="none"/>
                <w:u w:val="none"/>
                <w:lang w:val="en-US" w:eastAsia="zh-CN" w:bidi="ar"/>
              </w:rPr>
              <w:t>35</w:t>
            </w:r>
          </w:p>
        </w:tc>
        <w:tc>
          <w:tcPr>
            <w:tcW w:w="1820" w:type="dxa"/>
            <w:vAlign w:val="center"/>
          </w:tcPr>
          <w:p w14:paraId="6E2E11D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t>35</w:t>
            </w:r>
          </w:p>
        </w:tc>
        <w:tc>
          <w:tcPr>
            <w:tcW w:w="1722" w:type="dxa"/>
            <w:vAlign w:val="center"/>
          </w:tcPr>
          <w:p w14:paraId="1651059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Times New Roman Regular" w:cs="Times New Roman Regular"/>
                <w:i w:val="0"/>
                <w:iCs w:val="0"/>
                <w:color w:val="000000"/>
                <w:kern w:val="0"/>
                <w:sz w:val="28"/>
                <w:szCs w:val="28"/>
                <w:u w:val="none"/>
                <w:lang w:val="en-US" w:eastAsia="zh-CN" w:bidi="ar"/>
              </w:rPr>
              <w:t>100</w:t>
            </w:r>
            <w:r>
              <w:rPr>
                <w:rFonts w:hint="default" w:ascii="Times New Roman Regular" w:hAnsi="Times New Roman Regular" w:eastAsia="Times New Roman Regular" w:cs="Times New Roman Regular"/>
                <w:i w:val="0"/>
                <w:iCs w:val="0"/>
                <w:color w:val="000000"/>
                <w:kern w:val="0"/>
                <w:sz w:val="28"/>
                <w:szCs w:val="28"/>
                <w:u w:val="none"/>
                <w:lang w:val="en-US" w:eastAsia="zh-CN" w:bidi="ar"/>
              </w:rPr>
              <w:t>%</w:t>
            </w:r>
          </w:p>
        </w:tc>
      </w:tr>
      <w:tr w14:paraId="629E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6" w:type="dxa"/>
            <w:vAlign w:val="center"/>
          </w:tcPr>
          <w:p w14:paraId="7C08F420">
            <w:pPr>
              <w:keepNext w:val="0"/>
              <w:keepLines w:val="0"/>
              <w:pageBreakBefore w:val="0"/>
              <w:widowControl/>
              <w:numPr>
                <w:ilvl w:val="0"/>
                <w:numId w:val="0"/>
              </w:numPr>
              <w:kinsoku/>
              <w:wordWrap/>
              <w:overflowPunct/>
              <w:topLinePunct w:val="0"/>
              <w:autoSpaceDE/>
              <w:autoSpaceDN/>
              <w:bidi w:val="0"/>
              <w:snapToGrid/>
              <w:spacing w:line="240" w:lineRule="auto"/>
              <w:ind w:left="0" w:leftChars="0" w:firstLine="0" w:firstLineChars="0"/>
              <w:jc w:val="center"/>
              <w:rPr>
                <w:rFonts w:hint="default" w:ascii="Times New Roman Regular" w:hAnsi="Times New Roman Regular" w:eastAsia="仿宋_GB2312" w:cs="Times New Roman Regular"/>
                <w:b w:val="0"/>
                <w:bCs w:val="0"/>
                <w:color w:val="auto"/>
                <w:kern w:val="2"/>
                <w:sz w:val="28"/>
                <w:szCs w:val="28"/>
                <w:highlight w:val="none"/>
                <w:lang w:val="en-US" w:eastAsia="zh-CN" w:bidi="ar-SA"/>
              </w:rPr>
            </w:pPr>
            <w:r>
              <w:rPr>
                <w:rFonts w:hint="default" w:ascii="Times New Roman Regular" w:hAnsi="Times New Roman Regular" w:eastAsia="仿宋_GB2312" w:cs="Times New Roman Regular"/>
                <w:b w:val="0"/>
                <w:bCs w:val="0"/>
                <w:color w:val="auto"/>
                <w:kern w:val="2"/>
                <w:sz w:val="28"/>
                <w:szCs w:val="28"/>
                <w:highlight w:val="none"/>
                <w:lang w:val="en-US" w:eastAsia="zh-CN" w:bidi="ar-SA"/>
              </w:rPr>
              <w:t>效益</w:t>
            </w:r>
          </w:p>
        </w:tc>
        <w:tc>
          <w:tcPr>
            <w:tcW w:w="1931" w:type="dxa"/>
            <w:vAlign w:val="center"/>
          </w:tcPr>
          <w:p w14:paraId="7CB317F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default" w:ascii="Times New Roman Regular" w:hAnsi="Times New Roman Regular" w:eastAsia="仿宋_GB2312" w:cs="Times New Roman Regular"/>
                <w:b w:val="0"/>
                <w:bCs w:val="0"/>
                <w:i w:val="0"/>
                <w:iCs w:val="0"/>
                <w:color w:val="auto"/>
                <w:kern w:val="0"/>
                <w:sz w:val="28"/>
                <w:szCs w:val="28"/>
                <w:highlight w:val="none"/>
                <w:u w:val="none"/>
                <w:lang w:val="en-US" w:eastAsia="zh-CN" w:bidi="ar"/>
              </w:rPr>
              <w:t>2</w:t>
            </w:r>
            <w:r>
              <w:rPr>
                <w:rFonts w:hint="eastAsia" w:ascii="Times New Roman Regular" w:hAnsi="Times New Roman Regular" w:eastAsia="仿宋_GB2312" w:cs="Times New Roman Regular"/>
                <w:b w:val="0"/>
                <w:bCs w:val="0"/>
                <w:i w:val="0"/>
                <w:iCs w:val="0"/>
                <w:color w:val="auto"/>
                <w:kern w:val="0"/>
                <w:sz w:val="28"/>
                <w:szCs w:val="28"/>
                <w:highlight w:val="none"/>
                <w:u w:val="none"/>
                <w:lang w:val="en-US" w:eastAsia="zh-CN" w:bidi="ar"/>
              </w:rPr>
              <w:t>5</w:t>
            </w:r>
          </w:p>
        </w:tc>
        <w:tc>
          <w:tcPr>
            <w:tcW w:w="1820" w:type="dxa"/>
            <w:vAlign w:val="center"/>
          </w:tcPr>
          <w:p w14:paraId="39BB152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t>25</w:t>
            </w:r>
          </w:p>
        </w:tc>
        <w:tc>
          <w:tcPr>
            <w:tcW w:w="1722" w:type="dxa"/>
            <w:vAlign w:val="center"/>
          </w:tcPr>
          <w:p w14:paraId="3F85BB0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default" w:ascii="Times New Roman Regular" w:hAnsi="Times New Roman Regular" w:eastAsia="Times New Roman Regular" w:cs="Times New Roman Regular"/>
                <w:i w:val="0"/>
                <w:iCs w:val="0"/>
                <w:color w:val="000000"/>
                <w:kern w:val="0"/>
                <w:sz w:val="28"/>
                <w:szCs w:val="28"/>
                <w:u w:val="none"/>
                <w:lang w:val="en-US" w:eastAsia="zh-CN" w:bidi="ar"/>
              </w:rPr>
              <w:t>100%</w:t>
            </w:r>
          </w:p>
        </w:tc>
      </w:tr>
      <w:tr w14:paraId="6D07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6" w:type="dxa"/>
            <w:vAlign w:val="center"/>
          </w:tcPr>
          <w:p w14:paraId="3B6ECFFF">
            <w:pPr>
              <w:keepNext w:val="0"/>
              <w:keepLines w:val="0"/>
              <w:pageBreakBefore w:val="0"/>
              <w:widowControl/>
              <w:numPr>
                <w:ilvl w:val="0"/>
                <w:numId w:val="0"/>
              </w:numPr>
              <w:kinsoku/>
              <w:wordWrap/>
              <w:overflowPunct/>
              <w:topLinePunct w:val="0"/>
              <w:autoSpaceDE/>
              <w:autoSpaceDN/>
              <w:bidi w:val="0"/>
              <w:snapToGrid/>
              <w:spacing w:line="240" w:lineRule="auto"/>
              <w:ind w:left="0" w:leftChars="0" w:firstLine="0" w:firstLineChars="0"/>
              <w:jc w:val="center"/>
              <w:rPr>
                <w:rFonts w:hint="default" w:ascii="Times New Roman Regular" w:hAnsi="Times New Roman Regular" w:eastAsia="仿宋_GB2312" w:cs="Times New Roman Regular"/>
                <w:b/>
                <w:bCs/>
                <w:color w:val="auto"/>
                <w:kern w:val="2"/>
                <w:sz w:val="28"/>
                <w:szCs w:val="28"/>
                <w:highlight w:val="none"/>
                <w:lang w:val="en-US" w:eastAsia="zh-CN" w:bidi="ar-SA"/>
              </w:rPr>
            </w:pPr>
            <w:r>
              <w:rPr>
                <w:rFonts w:hint="default" w:ascii="Times New Roman Regular" w:hAnsi="Times New Roman Regular" w:eastAsia="仿宋_GB2312" w:cs="Times New Roman Regular"/>
                <w:b/>
                <w:bCs/>
                <w:color w:val="auto"/>
                <w:kern w:val="2"/>
                <w:sz w:val="28"/>
                <w:szCs w:val="28"/>
                <w:highlight w:val="none"/>
                <w:lang w:val="en-US" w:eastAsia="zh-CN" w:bidi="ar-SA"/>
              </w:rPr>
              <w:t>合计</w:t>
            </w:r>
          </w:p>
        </w:tc>
        <w:tc>
          <w:tcPr>
            <w:tcW w:w="1931" w:type="dxa"/>
            <w:vAlign w:val="center"/>
          </w:tcPr>
          <w:p w14:paraId="102EBAB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bCs/>
                <w:i w:val="0"/>
                <w:iCs w:val="0"/>
                <w:color w:val="auto"/>
                <w:kern w:val="0"/>
                <w:sz w:val="28"/>
                <w:szCs w:val="28"/>
                <w:highlight w:val="none"/>
                <w:u w:val="none"/>
                <w:lang w:val="en-US" w:eastAsia="zh-CN" w:bidi="ar"/>
              </w:rPr>
            </w:pPr>
            <w:r>
              <w:rPr>
                <w:rFonts w:hint="default" w:ascii="Times New Roman Regular" w:hAnsi="Times New Roman Regular" w:eastAsia="仿宋_GB2312" w:cs="Times New Roman Regular"/>
                <w:b/>
                <w:bCs/>
                <w:i w:val="0"/>
                <w:iCs w:val="0"/>
                <w:color w:val="auto"/>
                <w:kern w:val="0"/>
                <w:sz w:val="28"/>
                <w:szCs w:val="28"/>
                <w:highlight w:val="none"/>
                <w:u w:val="none"/>
                <w:lang w:val="en-US" w:eastAsia="zh-CN" w:bidi="ar"/>
              </w:rPr>
              <w:t>100</w:t>
            </w:r>
          </w:p>
        </w:tc>
        <w:tc>
          <w:tcPr>
            <w:tcW w:w="1820" w:type="dxa"/>
            <w:vAlign w:val="center"/>
          </w:tcPr>
          <w:p w14:paraId="5D8871B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bCs/>
                <w:i w:val="0"/>
                <w:iCs w:val="0"/>
                <w:color w:val="auto"/>
                <w:kern w:val="0"/>
                <w:sz w:val="28"/>
                <w:szCs w:val="28"/>
                <w:highlight w:val="none"/>
                <w:u w:val="none"/>
                <w:lang w:val="en-US" w:eastAsia="zh-CN" w:bidi="ar"/>
              </w:rPr>
            </w:pPr>
            <w:r>
              <w:rPr>
                <w:rFonts w:hint="eastAsia" w:ascii="Times New Roman Regular" w:hAnsi="Times New Roman Regular" w:eastAsia="仿宋_GB2312" w:cs="Times New Roman Regular"/>
                <w:b/>
                <w:bCs/>
                <w:i w:val="0"/>
                <w:iCs w:val="0"/>
                <w:color w:val="auto"/>
                <w:kern w:val="0"/>
                <w:sz w:val="28"/>
                <w:szCs w:val="28"/>
                <w:highlight w:val="none"/>
                <w:u w:val="none"/>
                <w:lang w:val="en-US" w:eastAsia="zh-CN" w:bidi="ar"/>
              </w:rPr>
              <w:t>92.5</w:t>
            </w:r>
          </w:p>
        </w:tc>
        <w:tc>
          <w:tcPr>
            <w:tcW w:w="1722" w:type="dxa"/>
            <w:vAlign w:val="center"/>
          </w:tcPr>
          <w:p w14:paraId="3970DDF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Regular" w:hAnsi="Times New Roman Regular" w:eastAsia="仿宋_GB2312" w:cs="Times New Roman Regular"/>
                <w:b w:val="0"/>
                <w:bCs w:val="0"/>
                <w:i w:val="0"/>
                <w:iCs w:val="0"/>
                <w:color w:val="auto"/>
                <w:kern w:val="2"/>
                <w:sz w:val="28"/>
                <w:szCs w:val="28"/>
                <w:highlight w:val="none"/>
                <w:u w:val="none"/>
                <w:lang w:val="en-US" w:eastAsia="zh-CN" w:bidi="ar-SA"/>
              </w:rPr>
            </w:pPr>
            <w:r>
              <w:rPr>
                <w:rFonts w:hint="eastAsia" w:ascii="Times New Roman Regular" w:hAnsi="Times New Roman Regular" w:eastAsia="Times New Roman Regular" w:cs="Times New Roman Regular"/>
                <w:b/>
                <w:bCs/>
                <w:i w:val="0"/>
                <w:iCs w:val="0"/>
                <w:color w:val="000000"/>
                <w:kern w:val="0"/>
                <w:sz w:val="28"/>
                <w:szCs w:val="28"/>
                <w:u w:val="none"/>
                <w:lang w:val="en-US" w:eastAsia="zh-CN" w:bidi="ar"/>
              </w:rPr>
              <w:t>92.5</w:t>
            </w:r>
            <w:r>
              <w:rPr>
                <w:rFonts w:hint="default" w:ascii="Times New Roman Regular" w:hAnsi="Times New Roman Regular" w:eastAsia="Times New Roman Regular" w:cs="Times New Roman Regular"/>
                <w:b/>
                <w:bCs/>
                <w:i w:val="0"/>
                <w:iCs w:val="0"/>
                <w:color w:val="000000"/>
                <w:kern w:val="0"/>
                <w:sz w:val="28"/>
                <w:szCs w:val="28"/>
                <w:u w:val="none"/>
                <w:lang w:val="en-US" w:eastAsia="zh-CN" w:bidi="ar"/>
              </w:rPr>
              <w:t>%</w:t>
            </w:r>
          </w:p>
        </w:tc>
      </w:tr>
    </w:tbl>
    <w:p w14:paraId="74C7A3B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1"/>
        <w:rPr>
          <w:rFonts w:hint="default" w:ascii="Times New Roman Regular" w:hAnsi="Times New Roman Regular" w:eastAsia="楷体_GB2312" w:cs="Times New Roman Regular"/>
          <w:color w:val="auto"/>
          <w:sz w:val="32"/>
          <w:szCs w:val="40"/>
          <w:highlight w:val="none"/>
          <w:lang w:val="en-US" w:eastAsia="zh-CN"/>
        </w:rPr>
      </w:pPr>
      <w:bookmarkStart w:id="54" w:name="_Toc2416"/>
      <w:bookmarkStart w:id="55" w:name="_Toc1949044849"/>
      <w:r>
        <w:rPr>
          <w:rFonts w:hint="default" w:ascii="Times New Roman Regular" w:hAnsi="Times New Roman Regular" w:eastAsia="楷体_GB2312" w:cs="Times New Roman Regular"/>
          <w:color w:val="auto"/>
          <w:sz w:val="32"/>
          <w:szCs w:val="40"/>
          <w:highlight w:val="none"/>
          <w:lang w:val="en-US" w:eastAsia="zh-CN"/>
        </w:rPr>
        <w:t>（二）指标分析</w:t>
      </w:r>
      <w:bookmarkEnd w:id="54"/>
      <w:bookmarkEnd w:id="55"/>
    </w:p>
    <w:p w14:paraId="1E0FAA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1．决策指标分析</w:t>
      </w:r>
    </w:p>
    <w:p w14:paraId="674FE67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决策指标共计10分，评价得分</w:t>
      </w:r>
      <w:r>
        <w:rPr>
          <w:rFonts w:hint="eastAsia" w:ascii="Times New Roman Regular" w:hAnsi="Times New Roman Regular" w:eastAsia="仿宋_GB2312" w:cs="Times New Roman Regular"/>
          <w:color w:val="auto"/>
          <w:sz w:val="32"/>
          <w:szCs w:val="40"/>
          <w:highlight w:val="none"/>
          <w:lang w:val="en-US" w:eastAsia="zh-CN"/>
        </w:rPr>
        <w:t>8.5</w:t>
      </w:r>
      <w:r>
        <w:rPr>
          <w:rFonts w:hint="default" w:ascii="Times New Roman Regular" w:hAnsi="Times New Roman Regular" w:eastAsia="仿宋_GB2312" w:cs="Times New Roman Regular"/>
          <w:color w:val="auto"/>
          <w:sz w:val="32"/>
          <w:szCs w:val="40"/>
          <w:highlight w:val="none"/>
          <w:lang w:val="en-US" w:eastAsia="zh-CN"/>
        </w:rPr>
        <w:t>分，得分率</w:t>
      </w:r>
      <w:r>
        <w:rPr>
          <w:rFonts w:hint="eastAsia" w:ascii="Times New Roman Regular" w:hAnsi="Times New Roman Regular" w:eastAsia="仿宋_GB2312" w:cs="Times New Roman Regular"/>
          <w:color w:val="auto"/>
          <w:sz w:val="32"/>
          <w:szCs w:val="40"/>
          <w:highlight w:val="none"/>
          <w:lang w:val="en-US" w:eastAsia="zh-CN"/>
        </w:rPr>
        <w:t>85</w:t>
      </w:r>
      <w:r>
        <w:rPr>
          <w:rFonts w:hint="default" w:ascii="Times New Roman Regular" w:hAnsi="Times New Roman Regular" w:eastAsia="仿宋_GB2312" w:cs="Times New Roman Regular"/>
          <w:color w:val="auto"/>
          <w:sz w:val="32"/>
          <w:szCs w:val="40"/>
          <w:highlight w:val="none"/>
          <w:lang w:val="en-US" w:eastAsia="zh-CN"/>
        </w:rPr>
        <w:t>%。</w:t>
      </w:r>
    </w:p>
    <w:p w14:paraId="4D2B9D8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项目符合荣成市国民经济和社会发展规划以及行业相关政策要求</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荣成博物馆属于免费开放博物馆范畴，经费来源由财政拨款，项目符合《</w:t>
      </w:r>
      <w:r>
        <w:rPr>
          <w:rFonts w:hint="eastAsia" w:ascii="Times New Roman Regular" w:hAnsi="Times New Roman Regular" w:eastAsia="仿宋_GB2312" w:cs="Times New Roman Regular"/>
          <w:color w:val="auto"/>
          <w:sz w:val="32"/>
          <w:szCs w:val="40"/>
          <w:highlight w:val="none"/>
          <w:lang w:val="en-US" w:eastAsia="zh-CN"/>
        </w:rPr>
        <w:t>中华人民共和国预算法</w:t>
      </w:r>
      <w:r>
        <w:rPr>
          <w:rFonts w:hint="default" w:ascii="Times New Roman Regular" w:hAnsi="Times New Roman Regular" w:eastAsia="仿宋_GB2312" w:cs="Times New Roman Regular"/>
          <w:color w:val="auto"/>
          <w:sz w:val="32"/>
          <w:szCs w:val="40"/>
          <w:highlight w:val="none"/>
          <w:lang w:val="en-US" w:eastAsia="zh-CN"/>
        </w:rPr>
        <w:t>》中“财政资金用于保障和改善民生、推动经济社会发展”的要求、属于公共财政支持范围。立项与部门职责范围相符、依据充分，</w:t>
      </w:r>
      <w:r>
        <w:rPr>
          <w:rFonts w:hint="eastAsia" w:ascii="Times New Roman Regular" w:hAnsi="Times New Roman Regular" w:eastAsia="仿宋_GB2312" w:cs="Times New Roman Regular"/>
          <w:color w:val="auto"/>
          <w:sz w:val="32"/>
          <w:szCs w:val="40"/>
          <w:highlight w:val="none"/>
          <w:lang w:val="en-US" w:eastAsia="zh-CN"/>
        </w:rPr>
        <w:t>项目决策当期</w:t>
      </w:r>
      <w:r>
        <w:rPr>
          <w:rFonts w:hint="default" w:ascii="Times New Roman Regular" w:hAnsi="Times New Roman Regular" w:eastAsia="仿宋_GB2312" w:cs="Times New Roman Regular"/>
          <w:color w:val="auto"/>
          <w:sz w:val="32"/>
          <w:szCs w:val="40"/>
          <w:highlight w:val="none"/>
          <w:lang w:val="en-US" w:eastAsia="zh-CN"/>
        </w:rPr>
        <w:t>未发现重复立项情况</w:t>
      </w:r>
      <w:r>
        <w:rPr>
          <w:rFonts w:hint="eastAsia" w:ascii="Times New Roman Regular" w:hAnsi="Times New Roman Regular" w:eastAsia="仿宋_GB2312" w:cs="Times New Roman Regular"/>
          <w:color w:val="auto"/>
          <w:sz w:val="32"/>
          <w:szCs w:val="40"/>
          <w:highlight w:val="none"/>
          <w:lang w:val="en-US" w:eastAsia="zh-CN"/>
        </w:rPr>
        <w:t>。项目实施过程中，针对电力维修、活动举办、教育基地搭建、费用支付等事项履行荣成博物馆“三重一大”审批流程，程序较为规范，重点工作事项经过集体决策。本项目评价周期内各年度参照历史运营数据申报预算，在文旅局统一履行民主决策流程，预算额度编制较为科学、客观。此外，项目在2023、2024年度制定了较为完善的绩效目标、绩效指标，目标内容与预算内容一致。</w:t>
      </w:r>
    </w:p>
    <w:p w14:paraId="18E701E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评价过程中发现：</w:t>
      </w:r>
    </w:p>
    <w:p w14:paraId="1AFEE12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（1）</w:t>
      </w:r>
      <w:r>
        <w:rPr>
          <w:rFonts w:hint="default" w:ascii="Times New Roman Regular" w:hAnsi="Times New Roman Regular" w:eastAsia="仿宋_GB2312" w:cs="Times New Roman Regular"/>
          <w:color w:val="auto"/>
          <w:sz w:val="32"/>
          <w:szCs w:val="40"/>
          <w:highlight w:val="none"/>
          <w:lang w:val="en-US" w:eastAsia="zh-CN"/>
        </w:rPr>
        <w:t>2022年度绩效目标仅对年度涉及的工作事项进行了陈列</w:t>
      </w:r>
      <w:r>
        <w:rPr>
          <w:rFonts w:hint="eastAsia" w:ascii="Times New Roman Regular" w:hAnsi="Times New Roman Regular" w:eastAsia="仿宋_GB2312" w:cs="Times New Roman Regular"/>
          <w:color w:val="auto"/>
          <w:sz w:val="32"/>
          <w:szCs w:val="40"/>
          <w:highlight w:val="none"/>
          <w:lang w:val="en-US" w:eastAsia="zh-CN"/>
        </w:rPr>
        <w:t>，缺少对预期产出标准和效益情况的描述，扣0.5分。</w:t>
      </w:r>
    </w:p>
    <w:p w14:paraId="355D572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（2）2022年度成本指标中未设置单项费用目标，无法衡量单项费用支出是否合理，扣1分。</w:t>
      </w:r>
    </w:p>
    <w:p w14:paraId="5464B5F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2．过程指标分析</w:t>
      </w:r>
    </w:p>
    <w:p w14:paraId="1D72183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过程指标共计3</w:t>
      </w:r>
      <w:r>
        <w:rPr>
          <w:rFonts w:hint="eastAsia" w:ascii="Times New Roman Regular" w:hAnsi="Times New Roman Regular" w:eastAsia="仿宋_GB2312" w:cs="Times New Roman Regular"/>
          <w:color w:val="auto"/>
          <w:sz w:val="32"/>
          <w:szCs w:val="40"/>
          <w:highlight w:val="none"/>
          <w:lang w:val="en-US" w:eastAsia="zh-CN"/>
        </w:rPr>
        <w:t>0</w:t>
      </w:r>
      <w:r>
        <w:rPr>
          <w:rFonts w:hint="default" w:ascii="Times New Roman Regular" w:hAnsi="Times New Roman Regular" w:eastAsia="仿宋_GB2312" w:cs="Times New Roman Regular"/>
          <w:color w:val="auto"/>
          <w:sz w:val="32"/>
          <w:szCs w:val="40"/>
          <w:highlight w:val="none"/>
          <w:lang w:val="en-US" w:eastAsia="zh-CN"/>
        </w:rPr>
        <w:t>分，评价得分2</w:t>
      </w:r>
      <w:r>
        <w:rPr>
          <w:rFonts w:hint="eastAsia" w:ascii="Times New Roman Regular" w:hAnsi="Times New Roman Regular" w:eastAsia="仿宋_GB2312" w:cs="Times New Roman Regular"/>
          <w:color w:val="auto"/>
          <w:sz w:val="32"/>
          <w:szCs w:val="40"/>
          <w:highlight w:val="none"/>
          <w:lang w:val="en-US" w:eastAsia="zh-CN"/>
        </w:rPr>
        <w:t>4</w:t>
      </w:r>
      <w:r>
        <w:rPr>
          <w:rFonts w:hint="default" w:ascii="Times New Roman Regular" w:hAnsi="Times New Roman Regular" w:eastAsia="仿宋_GB2312" w:cs="Times New Roman Regular"/>
          <w:color w:val="auto"/>
          <w:sz w:val="32"/>
          <w:szCs w:val="40"/>
          <w:highlight w:val="none"/>
          <w:lang w:val="en-US" w:eastAsia="zh-CN"/>
        </w:rPr>
        <w:t>分，得分率</w:t>
      </w:r>
      <w:r>
        <w:rPr>
          <w:rFonts w:hint="eastAsia" w:ascii="Times New Roman Regular" w:hAnsi="Times New Roman Regular" w:eastAsia="仿宋_GB2312" w:cs="Times New Roman Regular"/>
          <w:color w:val="auto"/>
          <w:sz w:val="32"/>
          <w:szCs w:val="40"/>
          <w:highlight w:val="none"/>
          <w:lang w:val="en-US" w:eastAsia="zh-CN"/>
        </w:rPr>
        <w:t>80</w:t>
      </w:r>
      <w:r>
        <w:rPr>
          <w:rFonts w:hint="default" w:ascii="Times New Roman Regular" w:hAnsi="Times New Roman Regular" w:eastAsia="仿宋_GB2312" w:cs="Times New Roman Regular"/>
          <w:color w:val="auto"/>
          <w:sz w:val="32"/>
          <w:szCs w:val="40"/>
          <w:highlight w:val="none"/>
          <w:lang w:val="en-US" w:eastAsia="zh-CN"/>
        </w:rPr>
        <w:t>%。</w:t>
      </w:r>
    </w:p>
    <w:p w14:paraId="3605ABB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范围内的保安、保洁、垃圾清运、维修、电力维保、消防维保、场馆建设、展览材料采购等均已签订委托服务合同，已签订的各项服务合同能够覆盖各项工作服务范畴；服务合同内容较为完善，合同各方职责、服务标准、费用核算及支付等内容明确。</w:t>
      </w:r>
    </w:p>
    <w:p w14:paraId="50431A5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评价过程中发现：</w:t>
      </w:r>
    </w:p>
    <w:p w14:paraId="7820E56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（1）</w:t>
      </w:r>
      <w:r>
        <w:rPr>
          <w:rFonts w:hint="eastAsia" w:ascii="Times New Roman Regular" w:hAnsi="Times New Roman Regular" w:eastAsia="仿宋_GB2312" w:cs="Times New Roman Regular"/>
          <w:color w:val="auto"/>
          <w:sz w:val="32"/>
          <w:szCs w:val="40"/>
          <w:highlight w:val="none"/>
          <w:lang w:val="en-US" w:eastAsia="zh-CN"/>
        </w:rPr>
        <w:t>本项目预算资金到位率较低，其中</w:t>
      </w:r>
      <w:r>
        <w:rPr>
          <w:rFonts w:hint="default" w:ascii="Times New Roman Regular" w:hAnsi="Times New Roman Regular" w:eastAsia="仿宋_GB2312" w:cs="Times New Roman Regular"/>
          <w:color w:val="auto"/>
          <w:sz w:val="32"/>
          <w:szCs w:val="40"/>
          <w:highlight w:val="none"/>
          <w:lang w:val="en-US" w:eastAsia="zh-CN"/>
        </w:rPr>
        <w:t>2022年度预算批复金额252万元、到位资金138.8万元，预算资金到位率55.08%；2023年度预算批复金额272万元、到位资金55.12万元，预算资金到位率20.26%；2024年度预算批复金额254万元、到位资金25.34万元，预算资金到位率9.98%。项目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2024年各年度均存在资金到位率小于100%的情形</w:t>
      </w:r>
      <w:r>
        <w:rPr>
          <w:rFonts w:hint="eastAsia" w:ascii="Times New Roman Regular" w:hAnsi="Times New Roman Regular" w:eastAsia="仿宋_GB2312" w:cs="Times New Roman Regular"/>
          <w:color w:val="auto"/>
          <w:sz w:val="32"/>
          <w:szCs w:val="40"/>
          <w:highlight w:val="none"/>
          <w:lang w:val="en-US" w:eastAsia="zh-CN"/>
        </w:rPr>
        <w:t>，扣3分。</w:t>
      </w:r>
    </w:p>
    <w:p w14:paraId="0BDF47B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（2）</w:t>
      </w:r>
      <w:r>
        <w:rPr>
          <w:rFonts w:hint="default" w:ascii="Times New Roman Regular" w:hAnsi="Times New Roman Regular" w:eastAsia="仿宋_GB2312" w:cs="Times New Roman Regular"/>
          <w:color w:val="auto"/>
          <w:sz w:val="32"/>
          <w:szCs w:val="40"/>
          <w:highlight w:val="none"/>
          <w:lang w:val="en-US" w:eastAsia="zh-CN"/>
        </w:rPr>
        <w:t>项目保安、保洁服务未履行政府采购程序，各项委托服务缺少采购计划、未履行备案手续</w:t>
      </w:r>
      <w:r>
        <w:rPr>
          <w:rFonts w:hint="eastAsia" w:ascii="Times New Roman Regular" w:hAnsi="Times New Roman Regular" w:eastAsia="仿宋_GB2312" w:cs="Times New Roman Regular"/>
          <w:color w:val="auto"/>
          <w:sz w:val="32"/>
          <w:szCs w:val="40"/>
          <w:highlight w:val="none"/>
          <w:lang w:val="en-US" w:eastAsia="zh-CN"/>
        </w:rPr>
        <w:t>，荣成博物馆</w:t>
      </w:r>
      <w:r>
        <w:rPr>
          <w:rFonts w:hint="default" w:ascii="Times New Roman Regular" w:hAnsi="Times New Roman Regular" w:eastAsia="仿宋_GB2312" w:cs="Times New Roman Regular"/>
          <w:color w:val="auto"/>
          <w:sz w:val="32"/>
          <w:szCs w:val="40"/>
          <w:highlight w:val="none"/>
          <w:lang w:val="en-US" w:eastAsia="zh-CN"/>
        </w:rPr>
        <w:t>直接与第三方签署委托合同，采购程序不合规，</w:t>
      </w:r>
      <w:r>
        <w:rPr>
          <w:rFonts w:hint="eastAsia" w:ascii="Times New Roman Regular" w:hAnsi="Times New Roman Regular" w:eastAsia="仿宋_GB2312" w:cs="Times New Roman Regular"/>
          <w:color w:val="auto"/>
          <w:sz w:val="32"/>
          <w:szCs w:val="40"/>
          <w:highlight w:val="none"/>
          <w:lang w:val="en-US" w:eastAsia="zh-CN"/>
        </w:rPr>
        <w:t>涉及的采购方式适用性、采购计划备案完整性、合同签订时效性指标共计</w:t>
      </w:r>
      <w:r>
        <w:rPr>
          <w:rFonts w:hint="default" w:ascii="Times New Roman Regular" w:hAnsi="Times New Roman Regular" w:eastAsia="仿宋_GB2312" w:cs="Times New Roman Regular"/>
          <w:color w:val="auto"/>
          <w:sz w:val="32"/>
          <w:szCs w:val="40"/>
          <w:highlight w:val="none"/>
          <w:lang w:val="en-US" w:eastAsia="zh-CN"/>
        </w:rPr>
        <w:t>扣</w:t>
      </w:r>
      <w:r>
        <w:rPr>
          <w:rFonts w:hint="eastAsia" w:ascii="Times New Roman Regular" w:hAnsi="Times New Roman Regular" w:eastAsia="仿宋_GB2312" w:cs="Times New Roman Regular"/>
          <w:color w:val="auto"/>
          <w:sz w:val="32"/>
          <w:szCs w:val="40"/>
          <w:highlight w:val="none"/>
          <w:lang w:val="en-US" w:eastAsia="zh-CN"/>
        </w:rPr>
        <w:t>3</w:t>
      </w:r>
      <w:r>
        <w:rPr>
          <w:rFonts w:hint="default" w:ascii="Times New Roman Regular" w:hAnsi="Times New Roman Regular" w:eastAsia="仿宋_GB2312" w:cs="Times New Roman Regular"/>
          <w:color w:val="auto"/>
          <w:sz w:val="32"/>
          <w:szCs w:val="40"/>
          <w:highlight w:val="none"/>
          <w:lang w:val="en-US" w:eastAsia="zh-CN"/>
        </w:rPr>
        <w:t>分。</w:t>
      </w:r>
    </w:p>
    <w:p w14:paraId="466522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3．产出指标分析</w:t>
      </w:r>
    </w:p>
    <w:p w14:paraId="0988D06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产出指标共计</w:t>
      </w:r>
      <w:r>
        <w:rPr>
          <w:rFonts w:hint="eastAsia" w:ascii="Times New Roman Regular" w:hAnsi="Times New Roman Regular" w:eastAsia="仿宋_GB2312" w:cs="Times New Roman Regular"/>
          <w:color w:val="auto"/>
          <w:sz w:val="32"/>
          <w:szCs w:val="40"/>
          <w:highlight w:val="none"/>
          <w:lang w:val="en-US" w:eastAsia="zh-CN"/>
        </w:rPr>
        <w:t>35</w:t>
      </w:r>
      <w:r>
        <w:rPr>
          <w:rFonts w:hint="default" w:ascii="Times New Roman Regular" w:hAnsi="Times New Roman Regular" w:eastAsia="仿宋_GB2312" w:cs="Times New Roman Regular"/>
          <w:color w:val="auto"/>
          <w:sz w:val="32"/>
          <w:szCs w:val="40"/>
          <w:highlight w:val="none"/>
          <w:lang w:val="en-US" w:eastAsia="zh-CN"/>
        </w:rPr>
        <w:t>分，评价得分</w:t>
      </w:r>
      <w:r>
        <w:rPr>
          <w:rFonts w:hint="eastAsia" w:ascii="Times New Roman Regular" w:hAnsi="Times New Roman Regular" w:eastAsia="仿宋_GB2312" w:cs="Times New Roman Regular"/>
          <w:color w:val="auto"/>
          <w:sz w:val="32"/>
          <w:szCs w:val="40"/>
          <w:highlight w:val="none"/>
          <w:lang w:val="en-US" w:eastAsia="zh-CN"/>
        </w:rPr>
        <w:t>35</w:t>
      </w:r>
      <w:r>
        <w:rPr>
          <w:rFonts w:hint="default" w:ascii="Times New Roman Regular" w:hAnsi="Times New Roman Regular" w:eastAsia="仿宋_GB2312" w:cs="Times New Roman Regular"/>
          <w:color w:val="auto"/>
          <w:sz w:val="32"/>
          <w:szCs w:val="40"/>
          <w:highlight w:val="none"/>
          <w:lang w:val="en-US" w:eastAsia="zh-CN"/>
        </w:rPr>
        <w:t>分，得分率</w:t>
      </w:r>
      <w:r>
        <w:rPr>
          <w:rFonts w:hint="eastAsia" w:ascii="Times New Roman Regular" w:hAnsi="Times New Roman Regular" w:eastAsia="仿宋_GB2312" w:cs="Times New Roman Regular"/>
          <w:color w:val="auto"/>
          <w:sz w:val="32"/>
          <w:szCs w:val="40"/>
          <w:highlight w:val="none"/>
          <w:lang w:val="en-US" w:eastAsia="zh-CN"/>
        </w:rPr>
        <w:t>100</w:t>
      </w:r>
      <w:r>
        <w:rPr>
          <w:rFonts w:hint="default" w:ascii="Times New Roman Regular" w:hAnsi="Times New Roman Regular" w:eastAsia="仿宋_GB2312" w:cs="Times New Roman Regular"/>
          <w:color w:val="auto"/>
          <w:sz w:val="32"/>
          <w:szCs w:val="40"/>
          <w:highlight w:val="none"/>
          <w:lang w:val="en-US" w:eastAsia="zh-CN"/>
        </w:rPr>
        <w:t>%。</w:t>
      </w:r>
    </w:p>
    <w:p w14:paraId="6EA5906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9"/>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项目范围内设施设备维修及时率、检验合格率均为100%；能够高效完成日常运行工作，完成质量良好；检查过程中未发现设施设备未及时修复、发生文物安全事故的情形。同时，本项目对于安保、保洁等人工成本以及专项委托事项成本控制良好，符合市场行情。</w:t>
      </w:r>
    </w:p>
    <w:p w14:paraId="7F459B9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outlineLvl w:val="2"/>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4．效益指标分析</w:t>
      </w:r>
    </w:p>
    <w:p w14:paraId="2E47192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效益指标共计2</w:t>
      </w:r>
      <w:r>
        <w:rPr>
          <w:rFonts w:hint="eastAsia" w:ascii="Times New Roman Regular" w:hAnsi="Times New Roman Regular" w:eastAsia="仿宋_GB2312" w:cs="Times New Roman Regular"/>
          <w:color w:val="auto"/>
          <w:sz w:val="32"/>
          <w:szCs w:val="40"/>
          <w:highlight w:val="none"/>
          <w:lang w:val="en-US" w:eastAsia="zh-CN"/>
        </w:rPr>
        <w:t>5</w:t>
      </w:r>
      <w:r>
        <w:rPr>
          <w:rFonts w:hint="default" w:ascii="Times New Roman Regular" w:hAnsi="Times New Roman Regular" w:eastAsia="仿宋_GB2312" w:cs="Times New Roman Regular"/>
          <w:color w:val="auto"/>
          <w:sz w:val="32"/>
          <w:szCs w:val="40"/>
          <w:highlight w:val="none"/>
          <w:lang w:val="en-US" w:eastAsia="zh-CN"/>
        </w:rPr>
        <w:t>分，评价得分</w:t>
      </w:r>
      <w:r>
        <w:rPr>
          <w:rFonts w:hint="eastAsia" w:ascii="Times New Roman Regular" w:hAnsi="Times New Roman Regular" w:eastAsia="仿宋_GB2312" w:cs="Times New Roman Regular"/>
          <w:color w:val="auto"/>
          <w:sz w:val="32"/>
          <w:szCs w:val="40"/>
          <w:highlight w:val="none"/>
          <w:lang w:val="en-US" w:eastAsia="zh-CN"/>
        </w:rPr>
        <w:t>25</w:t>
      </w:r>
      <w:r>
        <w:rPr>
          <w:rFonts w:hint="default" w:ascii="Times New Roman Regular" w:hAnsi="Times New Roman Regular" w:eastAsia="仿宋_GB2312" w:cs="Times New Roman Regular"/>
          <w:color w:val="auto"/>
          <w:sz w:val="32"/>
          <w:szCs w:val="40"/>
          <w:highlight w:val="none"/>
          <w:lang w:val="en-US" w:eastAsia="zh-CN"/>
        </w:rPr>
        <w:t>分，得分率</w:t>
      </w:r>
      <w:r>
        <w:rPr>
          <w:rFonts w:hint="eastAsia" w:ascii="Times New Roman Regular" w:hAnsi="Times New Roman Regular" w:eastAsia="仿宋_GB2312" w:cs="Times New Roman Regular"/>
          <w:color w:val="auto"/>
          <w:sz w:val="32"/>
          <w:szCs w:val="40"/>
          <w:highlight w:val="none"/>
          <w:lang w:val="en-US" w:eastAsia="zh-CN"/>
        </w:rPr>
        <w:t>100</w:t>
      </w:r>
      <w:r>
        <w:rPr>
          <w:rFonts w:hint="default" w:ascii="Times New Roman Regular" w:hAnsi="Times New Roman Regular" w:eastAsia="仿宋_GB2312" w:cs="Times New Roman Regular"/>
          <w:color w:val="auto"/>
          <w:sz w:val="32"/>
          <w:szCs w:val="40"/>
          <w:highlight w:val="none"/>
          <w:lang w:val="en-US" w:eastAsia="zh-CN"/>
        </w:rPr>
        <w:t>%。</w:t>
      </w:r>
    </w:p>
    <w:p w14:paraId="5778F95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近年来，荣成博物馆积极开展宣讲、展览、纪念等活动，实现各年度客流量大幅上升，对地方文化发展产生积极影响。同时，各年度荣成博物馆陈列馆开展培训活动所获得的收入均超出绩效目标金额，取得了良好的经济效益。</w:t>
      </w:r>
    </w:p>
    <w:p w14:paraId="2C2CAB1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通过对</w:t>
      </w:r>
      <w:r>
        <w:rPr>
          <w:rFonts w:hint="default" w:ascii="Times New Roman Regular" w:hAnsi="Times New Roman Regular" w:eastAsia="仿宋_GB2312" w:cs="Times New Roman Regular"/>
          <w:color w:val="auto"/>
          <w:sz w:val="32"/>
          <w:szCs w:val="40"/>
          <w:highlight w:val="none"/>
          <w:lang w:val="en-US" w:eastAsia="zh-CN"/>
        </w:rPr>
        <w:t>博物馆游客</w:t>
      </w:r>
      <w:r>
        <w:rPr>
          <w:rFonts w:hint="eastAsia" w:ascii="Times New Roman Regular" w:hAnsi="Times New Roman Regular" w:eastAsia="仿宋_GB2312" w:cs="Times New Roman Regular"/>
          <w:color w:val="auto"/>
          <w:sz w:val="32"/>
          <w:szCs w:val="40"/>
          <w:highlight w:val="none"/>
          <w:lang w:val="en-US" w:eastAsia="zh-CN"/>
        </w:rPr>
        <w:t>进行</w:t>
      </w:r>
      <w:r>
        <w:rPr>
          <w:rFonts w:hint="default" w:ascii="Times New Roman Regular" w:hAnsi="Times New Roman Regular" w:eastAsia="仿宋_GB2312" w:cs="Times New Roman Regular"/>
          <w:color w:val="auto"/>
          <w:sz w:val="32"/>
          <w:szCs w:val="40"/>
          <w:highlight w:val="none"/>
          <w:lang w:val="en-US" w:eastAsia="zh-CN"/>
        </w:rPr>
        <w:t>满意</w:t>
      </w:r>
      <w:r>
        <w:rPr>
          <w:rFonts w:hint="eastAsia" w:ascii="Times New Roman Regular" w:hAnsi="Times New Roman Regular" w:eastAsia="仿宋_GB2312" w:cs="Times New Roman Regular"/>
          <w:color w:val="auto"/>
          <w:sz w:val="32"/>
          <w:szCs w:val="40"/>
          <w:highlight w:val="none"/>
          <w:lang w:val="en-US" w:eastAsia="zh-CN"/>
        </w:rPr>
        <w:t>度调查，收集满意度调查问卷90份，其中86份“非常满意”、2份“较为满意”，2份“满意”，无“不满意”情形，满意比例达100%。</w:t>
      </w:r>
    </w:p>
    <w:p w14:paraId="3E2A98E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56" w:name="_Toc1705420937"/>
      <w:bookmarkStart w:id="57" w:name="_Toc16620"/>
      <w:r>
        <w:rPr>
          <w:rFonts w:hint="default" w:ascii="Times New Roman" w:hAnsi="Times New Roman" w:eastAsia="黑体" w:cs="Times New Roman"/>
          <w:sz w:val="32"/>
          <w:szCs w:val="32"/>
          <w:highlight w:val="none"/>
          <w:lang w:val="en-US" w:eastAsia="zh-CN"/>
        </w:rPr>
        <w:t>五、</w:t>
      </w:r>
      <w:r>
        <w:rPr>
          <w:rFonts w:hint="eastAsia" w:ascii="Times New Roman" w:hAnsi="Times New Roman" w:eastAsia="黑体" w:cs="Times New Roman"/>
          <w:sz w:val="32"/>
          <w:szCs w:val="32"/>
          <w:highlight w:val="none"/>
          <w:lang w:val="en-US" w:eastAsia="zh-CN"/>
        </w:rPr>
        <w:t>存在</w:t>
      </w:r>
      <w:r>
        <w:rPr>
          <w:rFonts w:hint="default" w:ascii="Times New Roman" w:hAnsi="Times New Roman" w:eastAsia="黑体" w:cs="Times New Roman"/>
          <w:sz w:val="32"/>
          <w:szCs w:val="32"/>
          <w:highlight w:val="none"/>
          <w:lang w:val="en-US" w:eastAsia="zh-CN"/>
        </w:rPr>
        <w:t>的问题及原因分析</w:t>
      </w:r>
      <w:bookmarkEnd w:id="56"/>
      <w:bookmarkEnd w:id="57"/>
    </w:p>
    <w:p w14:paraId="157A2DA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bookmarkStart w:id="58" w:name="_Toc1529887604"/>
      <w:r>
        <w:rPr>
          <w:rFonts w:hint="default" w:ascii="Times New Roman Regular" w:hAnsi="Times New Roman Regular" w:eastAsia="楷体_GB2312" w:cs="Times New Roman Regular"/>
          <w:color w:val="auto"/>
          <w:sz w:val="32"/>
          <w:szCs w:val="40"/>
          <w:highlight w:val="none"/>
          <w:lang w:val="en-US" w:eastAsia="zh-CN"/>
        </w:rPr>
        <w:t>（一）</w:t>
      </w:r>
      <w:r>
        <w:rPr>
          <w:rFonts w:hint="eastAsia" w:ascii="Times New Roman Regular" w:hAnsi="Times New Roman Regular" w:eastAsia="楷体_GB2312" w:cs="Times New Roman Regular"/>
          <w:color w:val="auto"/>
          <w:sz w:val="32"/>
          <w:szCs w:val="40"/>
          <w:highlight w:val="none"/>
          <w:lang w:val="en-US" w:eastAsia="zh-CN"/>
        </w:rPr>
        <w:t>2022年度</w:t>
      </w:r>
      <w:r>
        <w:rPr>
          <w:rFonts w:hint="default" w:ascii="Times New Roman Regular" w:hAnsi="Times New Roman Regular" w:eastAsia="楷体_GB2312" w:cs="Times New Roman Regular"/>
          <w:color w:val="auto"/>
          <w:sz w:val="32"/>
          <w:szCs w:val="40"/>
          <w:highlight w:val="none"/>
          <w:lang w:val="en-US" w:eastAsia="zh-CN"/>
        </w:rPr>
        <w:t>绩效目标与指标管理不规范</w:t>
      </w:r>
    </w:p>
    <w:p w14:paraId="4B3968B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在检查过程中发现2022年度的</w:t>
      </w:r>
      <w:r>
        <w:rPr>
          <w:rFonts w:hint="default" w:ascii="Times New Roman Regular" w:hAnsi="Times New Roman Regular" w:eastAsia="仿宋_GB2312" w:cs="Times New Roman Regular"/>
          <w:color w:val="auto"/>
          <w:sz w:val="32"/>
          <w:szCs w:val="40"/>
          <w:highlight w:val="none"/>
          <w:lang w:val="en-US" w:eastAsia="zh-CN"/>
        </w:rPr>
        <w:t>绩效目标与</w:t>
      </w:r>
      <w:r>
        <w:rPr>
          <w:rFonts w:hint="eastAsia" w:ascii="Times New Roman Regular" w:hAnsi="Times New Roman Regular" w:eastAsia="仿宋_GB2312" w:cs="Times New Roman Regular"/>
          <w:color w:val="auto"/>
          <w:sz w:val="32"/>
          <w:szCs w:val="40"/>
          <w:highlight w:val="none"/>
          <w:lang w:val="en-US" w:eastAsia="zh-CN"/>
        </w:rPr>
        <w:t>绩效</w:t>
      </w:r>
      <w:r>
        <w:rPr>
          <w:rFonts w:hint="default" w:ascii="Times New Roman Regular" w:hAnsi="Times New Roman Regular" w:eastAsia="仿宋_GB2312" w:cs="Times New Roman Regular"/>
          <w:color w:val="auto"/>
          <w:sz w:val="32"/>
          <w:szCs w:val="40"/>
          <w:highlight w:val="none"/>
          <w:lang w:val="en-US" w:eastAsia="zh-CN"/>
        </w:rPr>
        <w:t>指标</w:t>
      </w:r>
      <w:r>
        <w:rPr>
          <w:rFonts w:hint="eastAsia" w:ascii="Times New Roman Regular" w:hAnsi="Times New Roman Regular" w:eastAsia="仿宋_GB2312" w:cs="Times New Roman Regular"/>
          <w:color w:val="auto"/>
          <w:sz w:val="32"/>
          <w:szCs w:val="40"/>
          <w:highlight w:val="none"/>
          <w:lang w:val="en-US" w:eastAsia="zh-CN"/>
        </w:rPr>
        <w:t>内容不完善，主要表现在：2022年度绩效目标</w:t>
      </w:r>
      <w:r>
        <w:rPr>
          <w:rFonts w:hint="default" w:ascii="Times New Roman Regular" w:hAnsi="Times New Roman Regular" w:eastAsia="仿宋_GB2312" w:cs="Times New Roman Regular"/>
          <w:color w:val="auto"/>
          <w:sz w:val="32"/>
          <w:szCs w:val="40"/>
          <w:highlight w:val="none"/>
          <w:lang w:val="en-US" w:eastAsia="zh-CN"/>
        </w:rPr>
        <w:t>仅对涉及工作事项进行陈列，</w:t>
      </w:r>
      <w:r>
        <w:rPr>
          <w:rFonts w:hint="eastAsia" w:ascii="Times New Roman Regular" w:hAnsi="Times New Roman Regular" w:eastAsia="仿宋_GB2312" w:cs="Times New Roman Regular"/>
          <w:color w:val="auto"/>
          <w:sz w:val="32"/>
          <w:szCs w:val="40"/>
          <w:highlight w:val="none"/>
          <w:lang w:val="en-US" w:eastAsia="zh-CN"/>
        </w:rPr>
        <w:t>对工作标准及要求、目标达到的效果未进行规定；</w:t>
      </w:r>
      <w:r>
        <w:rPr>
          <w:rFonts w:hint="default" w:ascii="Times New Roman Regular" w:hAnsi="Times New Roman Regular" w:eastAsia="仿宋_GB2312" w:cs="Times New Roman Regular"/>
          <w:color w:val="auto"/>
          <w:sz w:val="32"/>
          <w:szCs w:val="40"/>
          <w:highlight w:val="none"/>
          <w:lang w:val="en-US" w:eastAsia="zh-CN"/>
        </w:rPr>
        <w:t>2022年度绩效指标</w:t>
      </w:r>
      <w:r>
        <w:rPr>
          <w:rFonts w:hint="eastAsia" w:ascii="Times New Roman Regular" w:hAnsi="Times New Roman Regular" w:eastAsia="仿宋_GB2312" w:cs="Times New Roman Regular"/>
          <w:color w:val="auto"/>
          <w:sz w:val="32"/>
          <w:szCs w:val="40"/>
          <w:highlight w:val="none"/>
          <w:lang w:val="en-US" w:eastAsia="zh-CN"/>
        </w:rPr>
        <w:t>中，经济成本指标仅明确总绩效金额，未根据具体工作内容分别设定支出目标</w:t>
      </w:r>
      <w:r>
        <w:rPr>
          <w:rFonts w:hint="default" w:ascii="Times New Roman Regular" w:hAnsi="Times New Roman Regular" w:eastAsia="仿宋_GB2312" w:cs="Times New Roman Regular"/>
          <w:color w:val="auto"/>
          <w:sz w:val="32"/>
          <w:szCs w:val="40"/>
          <w:highlight w:val="none"/>
          <w:lang w:val="en-US" w:eastAsia="zh-CN"/>
        </w:rPr>
        <w:t>。</w:t>
      </w:r>
      <w:r>
        <w:rPr>
          <w:rFonts w:hint="eastAsia" w:ascii="Times New Roman Regular" w:hAnsi="Times New Roman Regular" w:eastAsia="仿宋_GB2312" w:cs="Times New Roman Regular"/>
          <w:color w:val="auto"/>
          <w:sz w:val="32"/>
          <w:szCs w:val="40"/>
          <w:highlight w:val="none"/>
          <w:lang w:val="en-US" w:eastAsia="zh-CN"/>
        </w:rPr>
        <w:t>但2023年度、2024年度的绩效目标及指标体系针对上述问题进行了改进，能够较好地分析与呈现支出费用构成、工作标准以及预期支出规</w:t>
      </w:r>
      <w:bookmarkStart w:id="72" w:name="_GoBack"/>
      <w:bookmarkEnd w:id="72"/>
      <w:r>
        <w:rPr>
          <w:rFonts w:hint="eastAsia" w:ascii="Times New Roman Regular" w:hAnsi="Times New Roman Regular" w:eastAsia="仿宋_GB2312" w:cs="Times New Roman Regular"/>
          <w:color w:val="auto"/>
          <w:sz w:val="32"/>
          <w:szCs w:val="40"/>
          <w:highlight w:val="none"/>
          <w:lang w:val="en-US" w:eastAsia="zh-CN"/>
        </w:rPr>
        <w:t>模，荣成博物馆的预算管理日益完善。</w:t>
      </w:r>
    </w:p>
    <w:p w14:paraId="070D4BE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（二）</w:t>
      </w:r>
      <w:r>
        <w:rPr>
          <w:rFonts w:hint="eastAsia" w:ascii="Times New Roman Regular" w:hAnsi="Times New Roman Regular" w:eastAsia="楷体_GB2312" w:cs="Times New Roman Regular"/>
          <w:color w:val="auto"/>
          <w:sz w:val="32"/>
          <w:szCs w:val="40"/>
          <w:highlight w:val="none"/>
          <w:lang w:val="en-US" w:eastAsia="zh-CN"/>
        </w:rPr>
        <w:t>预算编制缺乏依据，预算资金到位率较低</w:t>
      </w:r>
    </w:p>
    <w:p w14:paraId="2F34AC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本项目在资金保障方面存在短板，资金到位率</w:t>
      </w:r>
      <w:r>
        <w:rPr>
          <w:rFonts w:hint="eastAsia" w:ascii="Times New Roman Regular" w:hAnsi="Times New Roman Regular" w:eastAsia="仿宋_GB2312" w:cs="Times New Roman Regular"/>
          <w:color w:val="auto"/>
          <w:sz w:val="32"/>
          <w:szCs w:val="40"/>
          <w:highlight w:val="none"/>
          <w:lang w:val="en-US" w:eastAsia="zh-CN"/>
        </w:rPr>
        <w:t>较低</w:t>
      </w:r>
      <w:r>
        <w:rPr>
          <w:rFonts w:hint="default" w:ascii="Times New Roman Regular" w:hAnsi="Times New Roman Regular" w:eastAsia="仿宋_GB2312" w:cs="Times New Roman Regular"/>
          <w:color w:val="auto"/>
          <w:sz w:val="32"/>
          <w:szCs w:val="40"/>
          <w:highlight w:val="none"/>
          <w:lang w:val="en-US" w:eastAsia="zh-CN"/>
        </w:rPr>
        <w:t>，2022</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2024年度预算资金到位率分别为55.08%、20.26%、9.98%，均未达到100%</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Regular" w:hAnsi="Times New Roman Regular" w:eastAsia="仿宋_GB2312" w:cs="Times New Roman Regular"/>
          <w:color w:val="auto"/>
          <w:sz w:val="32"/>
          <w:szCs w:val="40"/>
          <w:highlight w:val="none"/>
          <w:lang w:val="en-US" w:eastAsia="zh-CN"/>
        </w:rPr>
        <w:t>核心原因</w:t>
      </w:r>
      <w:r>
        <w:rPr>
          <w:rFonts w:hint="eastAsia" w:ascii="Times New Roman Regular" w:hAnsi="Times New Roman Regular" w:eastAsia="仿宋_GB2312" w:cs="Times New Roman Regular"/>
          <w:color w:val="auto"/>
          <w:sz w:val="32"/>
          <w:szCs w:val="40"/>
          <w:highlight w:val="none"/>
          <w:lang w:val="en-US" w:eastAsia="zh-CN"/>
        </w:rPr>
        <w:t>是地</w:t>
      </w:r>
      <w:r>
        <w:rPr>
          <w:rFonts w:hint="default" w:ascii="Times New Roman Regular" w:hAnsi="Times New Roman Regular" w:eastAsia="仿宋_GB2312" w:cs="Times New Roman Regular"/>
          <w:color w:val="auto"/>
          <w:sz w:val="32"/>
          <w:szCs w:val="40"/>
          <w:highlight w:val="none"/>
          <w:lang w:val="en-US" w:eastAsia="zh-CN"/>
        </w:rPr>
        <w:t>方财政面临“三保”支出（保基本民生、保工资、保运转）和债务偿还等刚性压力，在资金调度中，博物馆运转经费作为非紧急性支出被后置，优先级低于刚性需求，导致资金拨付滞后。</w:t>
      </w:r>
    </w:p>
    <w:p w14:paraId="45C1F5E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（三）采购管理不规范</w:t>
      </w:r>
    </w:p>
    <w:p w14:paraId="6DA32C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由于博物馆采购机制不完善，缺乏专门岗位负责采购计划制定、备案及合同时效管控，采购管理工作不规范</w:t>
      </w:r>
      <w:r>
        <w:rPr>
          <w:rFonts w:hint="eastAsia" w:ascii="Times New Roman Regular" w:hAnsi="Times New Roman Regular" w:eastAsia="仿宋_GB2312" w:cs="Times New Roman Regular"/>
          <w:color w:val="auto"/>
          <w:sz w:val="32"/>
          <w:szCs w:val="40"/>
          <w:highlight w:val="none"/>
          <w:lang w:val="en-US" w:eastAsia="zh-CN"/>
        </w:rPr>
        <w:t>，检查发现采购工作存在以下问题：</w:t>
      </w:r>
      <w:r>
        <w:rPr>
          <w:rFonts w:hint="default" w:ascii="Times New Roman Regular" w:hAnsi="Times New Roman Regular" w:eastAsia="仿宋_GB2312" w:cs="Times New Roman Regular"/>
          <w:color w:val="auto"/>
          <w:sz w:val="32"/>
          <w:szCs w:val="40"/>
          <w:highlight w:val="none"/>
          <w:lang w:val="en-US" w:eastAsia="zh-CN"/>
        </w:rPr>
        <w:t>一是采购方式</w:t>
      </w:r>
      <w:r>
        <w:rPr>
          <w:rFonts w:hint="eastAsia" w:ascii="Times New Roman Regular" w:hAnsi="Times New Roman Regular" w:eastAsia="仿宋_GB2312" w:cs="Times New Roman Regular"/>
          <w:color w:val="auto"/>
          <w:sz w:val="32"/>
          <w:szCs w:val="40"/>
          <w:highlight w:val="none"/>
          <w:lang w:val="en-US" w:eastAsia="zh-CN"/>
        </w:rPr>
        <w:t>违反政策要求</w:t>
      </w:r>
      <w:r>
        <w:rPr>
          <w:rFonts w:hint="default" w:ascii="Times New Roman Regular" w:hAnsi="Times New Roman Regular" w:eastAsia="仿宋_GB2312" w:cs="Times New Roman Regular"/>
          <w:color w:val="auto"/>
          <w:sz w:val="32"/>
          <w:szCs w:val="40"/>
          <w:highlight w:val="none"/>
          <w:lang w:val="en-US" w:eastAsia="zh-CN"/>
        </w:rPr>
        <w:t>，保安保洁工作属于政府集中采购目录范畴，但未履行政府采购程序，直接与第三方签署委托合同；二是采购计划备案缺失，各项委托服务未制定采购计划，也未在规定时间内备案；三是合同签订时效性不足，因未履行采购流程，无中标（成交）通知书环节，导致合同未能在规定时间内签订，采购全流程规范性欠缺。</w:t>
      </w:r>
    </w:p>
    <w:p w14:paraId="43899A3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bookmarkStart w:id="59" w:name="_Toc25366"/>
      <w:r>
        <w:rPr>
          <w:rFonts w:hint="default" w:ascii="Times New Roman" w:hAnsi="Times New Roman" w:eastAsia="黑体" w:cs="Times New Roman"/>
          <w:sz w:val="32"/>
          <w:szCs w:val="32"/>
          <w:highlight w:val="none"/>
          <w:lang w:val="en-US" w:eastAsia="zh-CN"/>
        </w:rPr>
        <w:t>六、</w:t>
      </w:r>
      <w:r>
        <w:rPr>
          <w:rFonts w:hint="eastAsia" w:ascii="Times New Roman" w:hAnsi="Times New Roman" w:eastAsia="黑体" w:cs="Times New Roman"/>
          <w:sz w:val="32"/>
          <w:szCs w:val="32"/>
          <w:highlight w:val="none"/>
          <w:lang w:val="en-US" w:eastAsia="zh-CN"/>
        </w:rPr>
        <w:t>意见</w:t>
      </w:r>
      <w:r>
        <w:rPr>
          <w:rFonts w:hint="default" w:ascii="Times New Roman" w:hAnsi="Times New Roman" w:eastAsia="黑体" w:cs="Times New Roman"/>
          <w:sz w:val="32"/>
          <w:szCs w:val="32"/>
          <w:highlight w:val="none"/>
          <w:lang w:val="en-US" w:eastAsia="zh-CN"/>
        </w:rPr>
        <w:t>建议</w:t>
      </w:r>
      <w:bookmarkEnd w:id="58"/>
      <w:bookmarkEnd w:id="59"/>
    </w:p>
    <w:p w14:paraId="5A974E7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（一）规范绩效目标与指标管理，提升目标导向性</w:t>
      </w:r>
    </w:p>
    <w:p w14:paraId="1FF69EC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一是完善年度绩效目标设定，要求各年度均需制定系统、全面的绩效目标，不仅要陈列工作事项，还应明确与项目工作内容的关联度及预期成效，确保目标切实可行；二是细化分解绩效指标，针对保安保洁、基础设施维护等各项工作内容，从经济成本、产出数量、产出质量等多维度设定清晰、可衡量的指标值，且指标值需与目标任务数或计划数相对应</w:t>
      </w:r>
      <w:r>
        <w:rPr>
          <w:rFonts w:hint="eastAsia" w:ascii="Times New Roman Regular" w:hAnsi="Times New Roman Regular" w:eastAsia="仿宋_GB2312" w:cs="Times New Roman Regular"/>
          <w:color w:val="auto"/>
          <w:sz w:val="32"/>
          <w:szCs w:val="40"/>
          <w:highlight w:val="none"/>
          <w:lang w:val="en-US" w:eastAsia="zh-CN"/>
        </w:rPr>
        <w:t>；三是建立审核机制，荣成博物馆内部建立完善的绩效目标及指标审核流程，严格审核立项阶段绩效目标表，未通过审核需重新修订。</w:t>
      </w:r>
    </w:p>
    <w:p w14:paraId="05A8D84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（二）强化预算编制与资金保障，</w:t>
      </w:r>
      <w:r>
        <w:rPr>
          <w:rFonts w:hint="eastAsia" w:ascii="Times New Roman Regular" w:hAnsi="Times New Roman Regular" w:eastAsia="楷体_GB2312" w:cs="Times New Roman Regular"/>
          <w:color w:val="auto"/>
          <w:sz w:val="32"/>
          <w:szCs w:val="40"/>
          <w:highlight w:val="none"/>
          <w:lang w:val="en-US" w:eastAsia="zh-CN"/>
        </w:rPr>
        <w:t>避免资金拖欠</w:t>
      </w:r>
    </w:p>
    <w:p w14:paraId="04B51B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建立资金到位跟踪机制，加强与财政部门的沟通协调，定期跟踪预算资金批复及到位情况，对资金到位滞后的情况及时分析原因并推动解决，保障项目运转所需资金及时足额到位，提高资金保障程度。</w:t>
      </w:r>
    </w:p>
    <w:p w14:paraId="2B7CF2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（三）规范采购管理流程，提升采购合规性</w:t>
      </w:r>
    </w:p>
    <w:p w14:paraId="386EF26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一是严格执行政府采购程序，对于保安保洁等属于政府集中采购目录范畴的服务，必须按照《威海市政府集中采购目录及标准》要求履行政府采购程序，根据采购金额选择合适的采购方式，杜绝直接签订委托合同的</w:t>
      </w:r>
      <w:r>
        <w:rPr>
          <w:rFonts w:hint="eastAsia" w:ascii="Times New Roman Regular" w:hAnsi="Times New Roman Regular" w:eastAsia="仿宋_GB2312" w:cs="Times New Roman Regular"/>
          <w:color w:val="auto"/>
          <w:sz w:val="32"/>
          <w:szCs w:val="40"/>
          <w:highlight w:val="none"/>
          <w:lang w:val="en-US" w:eastAsia="zh-CN"/>
        </w:rPr>
        <w:t>不规范</w:t>
      </w:r>
      <w:r>
        <w:rPr>
          <w:rFonts w:hint="default" w:ascii="Times New Roman Regular" w:hAnsi="Times New Roman Regular" w:eastAsia="仿宋_GB2312" w:cs="Times New Roman Regular"/>
          <w:color w:val="auto"/>
          <w:sz w:val="32"/>
          <w:szCs w:val="40"/>
          <w:highlight w:val="none"/>
          <w:lang w:val="en-US" w:eastAsia="zh-CN"/>
        </w:rPr>
        <w:t>行为；二是完善采购计划备案工作，在政府采购预算批复后2个月内，制定完整的采购计划，明确采购品目、组织形式、采购方式和采购金额等内容，并及时备案，确保采购计划与预算一致；三是保障合同签订时效性，在完成采购流程并收到中标（成交）通知书后，严格在</w:t>
      </w:r>
      <w:r>
        <w:rPr>
          <w:rFonts w:hint="eastAsia" w:ascii="Times New Roman Regular" w:hAnsi="Times New Roman Regular" w:eastAsia="仿宋_GB2312" w:cs="Times New Roman Regular"/>
          <w:color w:val="auto"/>
          <w:sz w:val="32"/>
          <w:szCs w:val="40"/>
          <w:highlight w:val="none"/>
          <w:lang w:val="en-US" w:eastAsia="zh-CN"/>
        </w:rPr>
        <w:t>1</w:t>
      </w:r>
      <w:r>
        <w:rPr>
          <w:rFonts w:hint="default" w:ascii="Times New Roman Regular" w:hAnsi="Times New Roman Regular" w:eastAsia="仿宋_GB2312" w:cs="Times New Roman Regular"/>
          <w:color w:val="auto"/>
          <w:sz w:val="32"/>
          <w:szCs w:val="40"/>
          <w:highlight w:val="none"/>
          <w:lang w:val="en-US" w:eastAsia="zh-CN"/>
        </w:rPr>
        <w:t>0个工作日内签订政府采购合同，规范采购全流程管理。</w:t>
      </w:r>
    </w:p>
    <w:p w14:paraId="27C9C22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楷体_GB2312" w:cs="Times New Roman Regular"/>
          <w:color w:val="auto"/>
          <w:sz w:val="32"/>
          <w:szCs w:val="40"/>
          <w:highlight w:val="none"/>
          <w:lang w:val="en-US" w:eastAsia="zh-CN"/>
        </w:rPr>
      </w:pPr>
      <w:r>
        <w:rPr>
          <w:rFonts w:hint="default" w:ascii="Times New Roman Regular" w:hAnsi="Times New Roman Regular" w:eastAsia="楷体_GB2312" w:cs="Times New Roman Regular"/>
          <w:color w:val="auto"/>
          <w:sz w:val="32"/>
          <w:szCs w:val="40"/>
          <w:highlight w:val="none"/>
          <w:lang w:val="en-US" w:eastAsia="zh-CN"/>
        </w:rPr>
        <w:t>（</w:t>
      </w:r>
      <w:r>
        <w:rPr>
          <w:rFonts w:hint="eastAsia" w:ascii="Times New Roman Regular" w:hAnsi="Times New Roman Regular" w:eastAsia="楷体_GB2312" w:cs="Times New Roman Regular"/>
          <w:color w:val="auto"/>
          <w:sz w:val="32"/>
          <w:szCs w:val="40"/>
          <w:highlight w:val="none"/>
          <w:lang w:val="en-US" w:eastAsia="zh-CN"/>
        </w:rPr>
        <w:t>四</w:t>
      </w:r>
      <w:r>
        <w:rPr>
          <w:rFonts w:hint="default" w:ascii="Times New Roman Regular" w:hAnsi="Times New Roman Regular" w:eastAsia="楷体_GB2312" w:cs="Times New Roman Regular"/>
          <w:color w:val="auto"/>
          <w:sz w:val="32"/>
          <w:szCs w:val="40"/>
          <w:highlight w:val="none"/>
          <w:lang w:val="en-US" w:eastAsia="zh-CN"/>
        </w:rPr>
        <w:t>）加强活动成本控制，严</w:t>
      </w:r>
      <w:r>
        <w:rPr>
          <w:rFonts w:hint="eastAsia" w:ascii="Times New Roman Regular" w:hAnsi="Times New Roman Regular" w:eastAsia="楷体_GB2312" w:cs="Times New Roman Regular"/>
          <w:color w:val="auto"/>
          <w:sz w:val="32"/>
          <w:szCs w:val="40"/>
          <w:highlight w:val="none"/>
          <w:lang w:val="en-US" w:eastAsia="zh-CN"/>
        </w:rPr>
        <w:t>防</w:t>
      </w:r>
      <w:r>
        <w:rPr>
          <w:rFonts w:hint="default" w:ascii="Times New Roman Regular" w:hAnsi="Times New Roman Regular" w:eastAsia="楷体_GB2312" w:cs="Times New Roman Regular"/>
          <w:color w:val="auto"/>
          <w:sz w:val="32"/>
          <w:szCs w:val="40"/>
          <w:highlight w:val="none"/>
          <w:lang w:val="en-US" w:eastAsia="zh-CN"/>
        </w:rPr>
        <w:t>预算超支</w:t>
      </w:r>
    </w:p>
    <w:p w14:paraId="77C5404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default" w:ascii="Times New Roman Regular" w:hAnsi="Times New Roman Regular" w:eastAsia="仿宋_GB2312" w:cs="Times New Roman Regular"/>
          <w:color w:val="auto"/>
          <w:sz w:val="32"/>
          <w:szCs w:val="40"/>
          <w:highlight w:val="none"/>
          <w:lang w:val="en-US" w:eastAsia="zh-CN"/>
        </w:rPr>
        <w:t>一是强化年度预算执行监控，在项目实施过程中，定期对比活动实际支出与预算目标，对基础设施维护费、布展联系费等重点费用进行动态跟踪，</w:t>
      </w:r>
      <w:r>
        <w:rPr>
          <w:rFonts w:hint="eastAsia" w:ascii="Times New Roman Regular" w:hAnsi="Times New Roman Regular" w:eastAsia="仿宋_GB2312" w:cs="Times New Roman Regular"/>
          <w:color w:val="auto"/>
          <w:sz w:val="32"/>
          <w:szCs w:val="40"/>
          <w:highlight w:val="none"/>
          <w:lang w:val="en-US" w:eastAsia="zh-CN"/>
        </w:rPr>
        <w:t>必要时</w:t>
      </w:r>
      <w:r>
        <w:rPr>
          <w:rFonts w:hint="default" w:ascii="Times New Roman Regular" w:hAnsi="Times New Roman Regular" w:eastAsia="仿宋_GB2312" w:cs="Times New Roman Regular"/>
          <w:color w:val="auto"/>
          <w:sz w:val="32"/>
          <w:szCs w:val="40"/>
          <w:highlight w:val="none"/>
          <w:lang w:val="en-US" w:eastAsia="zh-CN"/>
        </w:rPr>
        <w:t>采取干预措施；二是建立超支预警与审批机制，当某项费用接近预算上限时，及时预警并分析原因，确需超支的需履行严格的审批程序，确保费用支出合理合规，避免无计划超支情况发生。</w:t>
      </w:r>
    </w:p>
    <w:p w14:paraId="20ACD9F4">
      <w:pPr>
        <w:keepNext w:val="0"/>
        <w:keepLines w:val="0"/>
        <w:pageBreakBefore/>
        <w:widowControl w:val="0"/>
        <w:kinsoku/>
        <w:wordWrap/>
        <w:overflowPunct/>
        <w:topLinePunct w:val="0"/>
        <w:autoSpaceDE/>
        <w:autoSpaceDN/>
        <w:bidi w:val="0"/>
        <w:adjustRightInd/>
        <w:snapToGrid w:val="0"/>
        <w:spacing w:after="313" w:afterLines="100" w:line="60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color w:val="auto"/>
          <w:sz w:val="44"/>
          <w:szCs w:val="52"/>
          <w:highlight w:val="none"/>
          <w:lang w:val="en-US" w:eastAsia="zh-CN"/>
        </w:rPr>
      </w:pPr>
      <w:bookmarkStart w:id="60" w:name="_Toc4845"/>
      <w:r>
        <w:rPr>
          <w:rFonts w:hint="eastAsia" w:ascii="方正小标宋简体" w:hAnsi="方正小标宋简体" w:eastAsia="方正小标宋简体" w:cs="方正小标宋简体"/>
          <w:color w:val="auto"/>
          <w:sz w:val="44"/>
          <w:szCs w:val="52"/>
          <w:highlight w:val="none"/>
          <w:lang w:val="en-US" w:eastAsia="zh-CN"/>
        </w:rPr>
        <w:t>附  件</w:t>
      </w:r>
      <w:bookmarkEnd w:id="60"/>
    </w:p>
    <w:p w14:paraId="54DEA547">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附件</w:t>
      </w:r>
      <w:r>
        <w:rPr>
          <w:rFonts w:hint="default" w:ascii="Times New Roman Regular" w:hAnsi="Times New Roman Regular" w:eastAsia="仿宋_GB2312" w:cs="Times New Roman Regular"/>
          <w:color w:val="auto"/>
          <w:sz w:val="32"/>
          <w:szCs w:val="40"/>
          <w:highlight w:val="none"/>
          <w:lang w:val="en-US" w:eastAsia="zh-CN"/>
        </w:rPr>
        <w:t>1</w:t>
      </w:r>
      <w:r>
        <w:rPr>
          <w:rFonts w:hint="eastAsia" w:ascii="Times New Roman Regular" w:hAnsi="Times New Roman Regular" w:eastAsia="仿宋_GB2312" w:cs="Times New Roman Regular"/>
          <w:color w:val="auto"/>
          <w:sz w:val="32"/>
          <w:szCs w:val="40"/>
          <w:highlight w:val="none"/>
          <w:lang w:val="en-US" w:eastAsia="zh-CN"/>
        </w:rPr>
        <w:t>：荣成博物馆运转经费项目绩效评价指标体系；</w:t>
      </w:r>
    </w:p>
    <w:p w14:paraId="68B518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附件2：荣成博物馆运转经费项目绩效评价得分表；</w:t>
      </w:r>
    </w:p>
    <w:p w14:paraId="38ECCFB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附件3：荣成博物馆运转经费项目调查问卷反馈情况汇总；</w:t>
      </w:r>
    </w:p>
    <w:p w14:paraId="0DEDD10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r>
        <w:rPr>
          <w:rFonts w:hint="eastAsia" w:ascii="Times New Roman Regular" w:hAnsi="Times New Roman Regular" w:eastAsia="仿宋_GB2312" w:cs="Times New Roman Regular"/>
          <w:color w:val="auto"/>
          <w:sz w:val="32"/>
          <w:szCs w:val="40"/>
          <w:highlight w:val="none"/>
          <w:lang w:val="en-US" w:eastAsia="zh-CN"/>
        </w:rPr>
        <w:t>附件4：荣成博物馆运转经费项目</w:t>
      </w:r>
      <w:r>
        <w:rPr>
          <w:rFonts w:hint="default" w:ascii="Times New Roman Regular" w:hAnsi="Times New Roman Regular" w:eastAsia="仿宋_GB2312" w:cs="Times New Roman Regular"/>
          <w:color w:val="auto"/>
          <w:sz w:val="32"/>
          <w:szCs w:val="40"/>
          <w:highlight w:val="none"/>
          <w:lang w:val="en-US" w:eastAsia="zh-CN"/>
        </w:rPr>
        <w:t>价格调研情况</w:t>
      </w:r>
      <w:r>
        <w:rPr>
          <w:rFonts w:hint="eastAsia" w:ascii="Times New Roman Regular" w:hAnsi="Times New Roman Regular" w:eastAsia="仿宋_GB2312" w:cs="Times New Roman Regular"/>
          <w:color w:val="auto"/>
          <w:sz w:val="32"/>
          <w:szCs w:val="40"/>
          <w:highlight w:val="none"/>
          <w:lang w:val="en-US" w:eastAsia="zh-CN"/>
        </w:rPr>
        <w:t>。</w:t>
      </w:r>
    </w:p>
    <w:p w14:paraId="0FC23E5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pPr>
    </w:p>
    <w:p w14:paraId="16AF848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Regular" w:hAnsi="Times New Roman Regular" w:eastAsia="仿宋_GB2312" w:cs="Times New Roman Regular"/>
          <w:color w:val="auto"/>
          <w:sz w:val="32"/>
          <w:szCs w:val="40"/>
          <w:highlight w:val="none"/>
          <w:lang w:val="en-US" w:eastAsia="zh-CN"/>
        </w:rPr>
        <w:sectPr>
          <w:footerReference r:id="rId8" w:type="default"/>
          <w:pgSz w:w="11906" w:h="16838"/>
          <w:pgMar w:top="1814" w:right="1417" w:bottom="1814" w:left="1474" w:header="851" w:footer="1134" w:gutter="0"/>
          <w:pgNumType w:fmt="decimal" w:start="1"/>
          <w:cols w:space="0" w:num="1"/>
          <w:rtlGutter w:val="0"/>
          <w:docGrid w:linePitch="312" w:charSpace="0"/>
        </w:sectPr>
      </w:pPr>
    </w:p>
    <w:p w14:paraId="59BA00A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0"/>
        <w:rPr>
          <w:rFonts w:hint="default" w:ascii="Times New Roman Regular" w:hAnsi="Times New Roman Regular" w:eastAsia="黑体" w:cs="Times New Roman Regular"/>
          <w:color w:val="auto"/>
          <w:sz w:val="32"/>
          <w:szCs w:val="40"/>
          <w:highlight w:val="none"/>
          <w:lang w:val="en-US" w:eastAsia="zh-CN"/>
        </w:rPr>
      </w:pPr>
      <w:bookmarkStart w:id="61" w:name="_Toc12248"/>
      <w:bookmarkStart w:id="62" w:name="_Toc2029955520"/>
      <w:r>
        <w:rPr>
          <w:rFonts w:hint="default" w:ascii="Times New Roman Regular" w:hAnsi="Times New Roman Regular" w:eastAsia="黑体" w:cs="Times New Roman Regular"/>
          <w:color w:val="auto"/>
          <w:sz w:val="32"/>
          <w:szCs w:val="40"/>
          <w:highlight w:val="none"/>
          <w:lang w:val="en-US" w:eastAsia="zh-CN"/>
        </w:rPr>
        <w:t>附件</w:t>
      </w:r>
      <w:r>
        <w:rPr>
          <w:rFonts w:hint="eastAsia" w:ascii="Times New Roman Regular" w:hAnsi="Times New Roman Regular" w:eastAsia="黑体" w:cs="Times New Roman Regular"/>
          <w:color w:val="auto"/>
          <w:sz w:val="32"/>
          <w:szCs w:val="40"/>
          <w:highlight w:val="none"/>
          <w:lang w:val="en-US" w:eastAsia="zh-CN"/>
        </w:rPr>
        <w:t>1</w:t>
      </w:r>
      <w:r>
        <w:rPr>
          <w:rFonts w:hint="default" w:ascii="Times New Roman Regular" w:hAnsi="Times New Roman Regular" w:eastAsia="黑体" w:cs="Times New Roman Regular"/>
          <w:color w:val="auto"/>
          <w:sz w:val="32"/>
          <w:szCs w:val="40"/>
          <w:highlight w:val="none"/>
          <w:lang w:val="en-US" w:eastAsia="zh-CN"/>
        </w:rPr>
        <w:t>：绩效评价指标体系</w:t>
      </w:r>
      <w:bookmarkEnd w:id="61"/>
    </w:p>
    <w:p w14:paraId="76B965DB">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Regular" w:hAnsi="Times New Roman Regular" w:eastAsia="方正小标宋简体" w:cs="Times New Roman Regular"/>
          <w:color w:val="auto"/>
          <w:sz w:val="44"/>
          <w:szCs w:val="52"/>
          <w:highlight w:val="none"/>
          <w:lang w:val="en-US" w:eastAsia="zh-CN"/>
        </w:rPr>
      </w:pPr>
      <w:r>
        <w:rPr>
          <w:rFonts w:hint="default" w:ascii="Times New Roman Regular" w:hAnsi="Times New Roman Regular" w:eastAsia="方正小标宋简体" w:cs="Times New Roman Regular"/>
          <w:color w:val="auto"/>
          <w:sz w:val="44"/>
          <w:szCs w:val="52"/>
          <w:highlight w:val="none"/>
          <w:lang w:val="en-US" w:eastAsia="zh-CN"/>
        </w:rPr>
        <w:t>荣成博物馆运转经费项目绩效评价指标体系</w:t>
      </w:r>
    </w:p>
    <w:p w14:paraId="2DF0F569">
      <w:pPr>
        <w:pStyle w:val="18"/>
        <w:rPr>
          <w:rFonts w:hint="default"/>
          <w:lang w:val="en-US" w:eastAsia="zh-CN"/>
        </w:rPr>
      </w:pP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13" w:type="dxa"/>
          <w:bottom w:w="0" w:type="dxa"/>
          <w:right w:w="113" w:type="dxa"/>
        </w:tblCellMar>
      </w:tblPr>
      <w:tblGrid>
        <w:gridCol w:w="1253"/>
        <w:gridCol w:w="1293"/>
        <w:gridCol w:w="1247"/>
        <w:gridCol w:w="795"/>
        <w:gridCol w:w="2742"/>
        <w:gridCol w:w="6832"/>
      </w:tblGrid>
      <w:tr w14:paraId="4DA9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13" w:type="dxa"/>
            <w:bottom w:w="0" w:type="dxa"/>
            <w:right w:w="113" w:type="dxa"/>
          </w:tblCellMar>
        </w:tblPrEx>
        <w:trPr>
          <w:trHeight w:val="454" w:hRule="atLeast"/>
          <w:tblHeader/>
        </w:trPr>
        <w:tc>
          <w:tcPr>
            <w:tcW w:w="442" w:type="pct"/>
            <w:shd w:val="clear" w:color="auto" w:fill="FFFFFF"/>
            <w:noWrap/>
            <w:vAlign w:val="center"/>
          </w:tcPr>
          <w:p w14:paraId="5E50DF7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一级指标</w:t>
            </w:r>
          </w:p>
        </w:tc>
        <w:tc>
          <w:tcPr>
            <w:tcW w:w="456" w:type="pct"/>
            <w:shd w:val="clear" w:color="auto" w:fill="FFFFFF"/>
            <w:noWrap/>
            <w:vAlign w:val="center"/>
          </w:tcPr>
          <w:p w14:paraId="30C0EC56">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二级指标</w:t>
            </w:r>
          </w:p>
        </w:tc>
        <w:tc>
          <w:tcPr>
            <w:tcW w:w="440" w:type="pct"/>
            <w:shd w:val="clear" w:color="auto" w:fill="FFFFFF"/>
            <w:noWrap/>
            <w:vAlign w:val="center"/>
          </w:tcPr>
          <w:p w14:paraId="38CACF18">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三级指标</w:t>
            </w:r>
          </w:p>
        </w:tc>
        <w:tc>
          <w:tcPr>
            <w:tcW w:w="280" w:type="pct"/>
            <w:shd w:val="clear" w:color="auto" w:fill="FFFFFF"/>
            <w:noWrap/>
            <w:vAlign w:val="center"/>
          </w:tcPr>
          <w:p w14:paraId="7A105C8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分值</w:t>
            </w:r>
          </w:p>
        </w:tc>
        <w:tc>
          <w:tcPr>
            <w:tcW w:w="968" w:type="pct"/>
            <w:shd w:val="clear" w:color="auto" w:fill="FFFFFF"/>
            <w:noWrap/>
            <w:vAlign w:val="center"/>
          </w:tcPr>
          <w:p w14:paraId="62730B7E">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指标解释</w:t>
            </w:r>
          </w:p>
        </w:tc>
        <w:tc>
          <w:tcPr>
            <w:tcW w:w="2412" w:type="pct"/>
            <w:shd w:val="clear" w:color="auto" w:fill="FFFFFF"/>
            <w:noWrap/>
            <w:vAlign w:val="center"/>
          </w:tcPr>
          <w:p w14:paraId="16A1DEE9">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评分标准</w:t>
            </w:r>
          </w:p>
        </w:tc>
      </w:tr>
      <w:tr w14:paraId="10D8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13" w:type="dxa"/>
            <w:bottom w:w="0" w:type="dxa"/>
            <w:right w:w="113" w:type="dxa"/>
          </w:tblCellMar>
        </w:tblPrEx>
        <w:trPr>
          <w:trHeight w:val="2261" w:hRule="atLeast"/>
        </w:trPr>
        <w:tc>
          <w:tcPr>
            <w:tcW w:w="442" w:type="pct"/>
            <w:vMerge w:val="restart"/>
            <w:shd w:val="clear" w:color="auto" w:fill="FFFFFF"/>
            <w:noWrap w:val="0"/>
            <w:vAlign w:val="center"/>
          </w:tcPr>
          <w:p w14:paraId="439BF15A">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一、决策（10）</w:t>
            </w:r>
          </w:p>
        </w:tc>
        <w:tc>
          <w:tcPr>
            <w:tcW w:w="456" w:type="pct"/>
            <w:vMerge w:val="restart"/>
            <w:shd w:val="clear" w:color="auto" w:fill="FFFFFF"/>
            <w:noWrap w:val="0"/>
            <w:vAlign w:val="center"/>
          </w:tcPr>
          <w:p w14:paraId="7990E03E">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项目立项</w:t>
            </w:r>
          </w:p>
          <w:p w14:paraId="62B7C2B8">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440" w:type="pct"/>
            <w:shd w:val="clear" w:color="auto" w:fill="FFFFFF"/>
            <w:noWrap w:val="0"/>
            <w:vAlign w:val="center"/>
          </w:tcPr>
          <w:p w14:paraId="4BB3149B">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立项依据充分性</w:t>
            </w:r>
          </w:p>
        </w:tc>
        <w:tc>
          <w:tcPr>
            <w:tcW w:w="280" w:type="pct"/>
            <w:shd w:val="clear" w:color="auto" w:fill="FFFFFF"/>
            <w:noWrap w:val="0"/>
            <w:vAlign w:val="center"/>
          </w:tcPr>
          <w:p w14:paraId="03C48D41">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2</w:t>
            </w:r>
          </w:p>
        </w:tc>
        <w:tc>
          <w:tcPr>
            <w:tcW w:w="968" w:type="pct"/>
            <w:shd w:val="clear" w:color="auto" w:fill="FFFFFF"/>
            <w:noWrap w:val="0"/>
            <w:vAlign w:val="center"/>
          </w:tcPr>
          <w:p w14:paraId="25268B1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项目立项是否符合发展规划、相关政策以及部门职责，用以反映和考核项目立项依据情况。</w:t>
            </w:r>
          </w:p>
        </w:tc>
        <w:tc>
          <w:tcPr>
            <w:tcW w:w="2412" w:type="pct"/>
            <w:shd w:val="clear" w:color="auto" w:fill="FFFFFF"/>
            <w:noWrap w:val="0"/>
            <w:vAlign w:val="center"/>
          </w:tcPr>
          <w:p w14:paraId="602CA41A">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①项目立项符合荣成市国民经济和社会发展规划以及行业相关政策要求；</w:t>
            </w:r>
          </w:p>
          <w:p w14:paraId="09A83C7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②项目属于公共财政支持范围；</w:t>
            </w:r>
          </w:p>
          <w:p w14:paraId="66A5AD9B">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③项目未与相关部门同类项目或部门内部相关项目重复；</w:t>
            </w:r>
          </w:p>
          <w:p w14:paraId="26A92054">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④立项与部门职责范围相符，属于部门履职所需；</w:t>
            </w:r>
          </w:p>
          <w:p w14:paraId="46A76F36">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⑤项目符合①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④项，得满分；发现一项不符合的，扣0.5分，本项指标扣完为止。</w:t>
            </w:r>
          </w:p>
        </w:tc>
      </w:tr>
      <w:tr w14:paraId="1F76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1406" w:hRule="atLeast"/>
        </w:trPr>
        <w:tc>
          <w:tcPr>
            <w:tcW w:w="442" w:type="pct"/>
            <w:vMerge w:val="continue"/>
            <w:shd w:val="clear" w:color="auto" w:fill="FFFFFF"/>
            <w:noWrap w:val="0"/>
            <w:vAlign w:val="center"/>
          </w:tcPr>
          <w:p w14:paraId="4CF90A2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48F444F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FFFFFF"/>
            <w:noWrap w:val="0"/>
            <w:vAlign w:val="center"/>
          </w:tcPr>
          <w:p w14:paraId="5C8AFC3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立项程序规范性</w:t>
            </w:r>
          </w:p>
        </w:tc>
        <w:tc>
          <w:tcPr>
            <w:tcW w:w="280" w:type="pct"/>
            <w:shd w:val="clear" w:color="auto" w:fill="FFFFFF"/>
            <w:noWrap w:val="0"/>
            <w:vAlign w:val="center"/>
          </w:tcPr>
          <w:p w14:paraId="0D19303D">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1</w:t>
            </w:r>
          </w:p>
        </w:tc>
        <w:tc>
          <w:tcPr>
            <w:tcW w:w="968" w:type="pct"/>
            <w:shd w:val="clear" w:color="auto" w:fill="FFFFFF"/>
            <w:noWrap w:val="0"/>
            <w:vAlign w:val="center"/>
          </w:tcPr>
          <w:p w14:paraId="70F0068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项目申请、设立过程是否符合相关要求，用以反映和考核项目立项的规范情况。</w:t>
            </w:r>
          </w:p>
        </w:tc>
        <w:tc>
          <w:tcPr>
            <w:tcW w:w="2412" w:type="pct"/>
            <w:shd w:val="clear" w:color="auto" w:fill="FFFFFF"/>
            <w:noWrap w:val="0"/>
            <w:vAlign w:val="center"/>
          </w:tcPr>
          <w:p w14:paraId="7DB03E51">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①项目事前已经过必要的集体决策；</w:t>
            </w:r>
          </w:p>
          <w:p w14:paraId="039E8E12">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②按照规定程序申请设立，提交的申请材料符合要求；</w:t>
            </w:r>
          </w:p>
          <w:p w14:paraId="7A3E369A">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②项，得满分；发现一项不符合的，扣0.5分，本项指标扣完为止。</w:t>
            </w:r>
          </w:p>
        </w:tc>
      </w:tr>
      <w:tr w14:paraId="3AD0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2091" w:hRule="atLeast"/>
        </w:trPr>
        <w:tc>
          <w:tcPr>
            <w:tcW w:w="442" w:type="pct"/>
            <w:vMerge w:val="continue"/>
            <w:shd w:val="clear" w:color="auto" w:fill="FFFFFF"/>
            <w:noWrap w:val="0"/>
            <w:vAlign w:val="center"/>
          </w:tcPr>
          <w:p w14:paraId="4032D6A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restart"/>
            <w:shd w:val="clear" w:color="auto" w:fill="FFFFFF"/>
            <w:noWrap w:val="0"/>
            <w:vAlign w:val="center"/>
          </w:tcPr>
          <w:p w14:paraId="79427BA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绩效目标（3）</w:t>
            </w:r>
          </w:p>
        </w:tc>
        <w:tc>
          <w:tcPr>
            <w:tcW w:w="440" w:type="pct"/>
            <w:shd w:val="clear" w:color="auto" w:fill="FFFFFF"/>
            <w:noWrap w:val="0"/>
            <w:vAlign w:val="center"/>
          </w:tcPr>
          <w:p w14:paraId="35187F33">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绩效目标合理性</w:t>
            </w:r>
          </w:p>
        </w:tc>
        <w:tc>
          <w:tcPr>
            <w:tcW w:w="280" w:type="pct"/>
            <w:shd w:val="clear" w:color="auto" w:fill="FFFFFF"/>
            <w:noWrap w:val="0"/>
            <w:vAlign w:val="center"/>
          </w:tcPr>
          <w:p w14:paraId="40646DA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968" w:type="pct"/>
            <w:shd w:val="clear" w:color="auto" w:fill="FFFFFF"/>
            <w:noWrap w:val="0"/>
            <w:vAlign w:val="center"/>
          </w:tcPr>
          <w:p w14:paraId="36E8F63D">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项目所设定的绩效目标是否与项目实施相符。</w:t>
            </w:r>
          </w:p>
        </w:tc>
        <w:tc>
          <w:tcPr>
            <w:tcW w:w="2412" w:type="pct"/>
            <w:tcBorders>
              <w:bottom w:val="single" w:color="auto" w:sz="4" w:space="0"/>
            </w:tcBorders>
            <w:shd w:val="clear" w:color="auto" w:fill="FFFFFF"/>
            <w:noWrap w:val="0"/>
            <w:vAlign w:val="center"/>
          </w:tcPr>
          <w:p w14:paraId="68926B9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①项目各年度均设定了绩效目标，发现1次及以上未设定绩效目标的，扣除“绩效目标”指标全部分数；</w:t>
            </w:r>
          </w:p>
          <w:p w14:paraId="099881E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②目标与项目工作内容具有较高相关性得1分，相关性较差得0.5分、无相关性得0分；</w:t>
            </w:r>
          </w:p>
          <w:p w14:paraId="4BC054B1">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③绩效目标内容完善、切实可行，得1分，每发现一项目标内容不完善的，扣0.5分，至多扣1分。</w:t>
            </w:r>
          </w:p>
        </w:tc>
      </w:tr>
      <w:tr w14:paraId="15EB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7691B8CE">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094E9C5A">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FFFFFF"/>
            <w:noWrap w:val="0"/>
            <w:vAlign w:val="center"/>
          </w:tcPr>
          <w:p w14:paraId="4DFCA3B6">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绩效指标明确性</w:t>
            </w:r>
          </w:p>
        </w:tc>
        <w:tc>
          <w:tcPr>
            <w:tcW w:w="280" w:type="pct"/>
            <w:shd w:val="clear" w:color="auto" w:fill="FFFFFF"/>
            <w:noWrap w:val="0"/>
            <w:vAlign w:val="center"/>
          </w:tcPr>
          <w:p w14:paraId="3D7F02EA">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968" w:type="pct"/>
            <w:tcBorders>
              <w:right w:val="single" w:color="auto" w:sz="4" w:space="0"/>
            </w:tcBorders>
            <w:shd w:val="clear" w:color="auto" w:fill="auto"/>
            <w:noWrap w:val="0"/>
            <w:vAlign w:val="center"/>
          </w:tcPr>
          <w:p w14:paraId="2FECC348">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依据绩效目标设定的绩效指标是否清晰、细化、可衡量等，用以反映和考核项目绩效目标的细化情况。</w:t>
            </w:r>
          </w:p>
        </w:tc>
        <w:tc>
          <w:tcPr>
            <w:tcW w:w="2412" w:type="pct"/>
            <w:tcBorders>
              <w:top w:val="single" w:color="auto" w:sz="4" w:space="0"/>
              <w:left w:val="single" w:color="auto" w:sz="4" w:space="0"/>
              <w:bottom w:val="single" w:color="auto" w:sz="4" w:space="0"/>
              <w:right w:val="single" w:color="auto" w:sz="4" w:space="0"/>
              <w:tl2br w:val="nil"/>
            </w:tcBorders>
            <w:shd w:val="clear" w:color="auto" w:fill="auto"/>
            <w:noWrap w:val="0"/>
            <w:vAlign w:val="center"/>
          </w:tcPr>
          <w:p w14:paraId="343CF7E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①项目各年度绩效目标均细化分解为具体的绩效指标，有清晰、可衡量的指标值；</w:t>
            </w:r>
          </w:p>
          <w:p w14:paraId="5A3E761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②绩效指标值与项目目标任务数或计划数相对应；</w:t>
            </w:r>
          </w:p>
          <w:p w14:paraId="4861AE08">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②项，得满分；发现一项不符合的，扣0.5分，本项指标扣完为止。</w:t>
            </w:r>
          </w:p>
        </w:tc>
      </w:tr>
      <w:tr w14:paraId="522A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7309101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shd w:val="clear" w:color="auto" w:fill="FFFFFF"/>
            <w:noWrap w:val="0"/>
            <w:vAlign w:val="center"/>
          </w:tcPr>
          <w:p w14:paraId="4BAD0A03">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预算编制（4）</w:t>
            </w:r>
          </w:p>
        </w:tc>
        <w:tc>
          <w:tcPr>
            <w:tcW w:w="440" w:type="pct"/>
            <w:shd w:val="clear" w:color="auto" w:fill="FFFFFF"/>
            <w:noWrap w:val="0"/>
            <w:vAlign w:val="center"/>
          </w:tcPr>
          <w:p w14:paraId="52CE05F9">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预算编制科学性</w:t>
            </w:r>
          </w:p>
        </w:tc>
        <w:tc>
          <w:tcPr>
            <w:tcW w:w="280" w:type="pct"/>
            <w:shd w:val="clear" w:color="auto" w:fill="FFFFFF"/>
            <w:noWrap w:val="0"/>
            <w:vAlign w:val="center"/>
          </w:tcPr>
          <w:p w14:paraId="109596B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4</w:t>
            </w:r>
          </w:p>
        </w:tc>
        <w:tc>
          <w:tcPr>
            <w:tcW w:w="968" w:type="pct"/>
            <w:tcBorders>
              <w:right w:val="single" w:color="auto" w:sz="4" w:space="0"/>
            </w:tcBorders>
            <w:shd w:val="clear" w:color="auto" w:fill="auto"/>
            <w:noWrap w:val="0"/>
            <w:vAlign w:val="center"/>
          </w:tcPr>
          <w:p w14:paraId="19E52E83">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bidi="ar"/>
              </w:rPr>
              <w:t>项目预算编制依据是否充分，是否经过科学论证，用以反映预算编制的准确性。</w:t>
            </w:r>
          </w:p>
        </w:tc>
        <w:tc>
          <w:tcPr>
            <w:tcW w:w="24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29797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①项目各年度预算额度均按照标准编制，经过科学论证、民主决策，得2分。</w:t>
            </w:r>
          </w:p>
          <w:p w14:paraId="419016A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②预算内容与项目内容（保安保洁费、基础设施维护费等费用）匹配，得2分；</w:t>
            </w:r>
          </w:p>
          <w:p w14:paraId="4ECA9FB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本指标每发现一项不符合，扣0.5分，本项指标至多扣2分。</w:t>
            </w:r>
          </w:p>
        </w:tc>
      </w:tr>
      <w:tr w14:paraId="4EB2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restart"/>
            <w:shd w:val="clear" w:color="auto" w:fill="FFFFFF"/>
            <w:noWrap w:val="0"/>
            <w:vAlign w:val="center"/>
          </w:tcPr>
          <w:p w14:paraId="2BA1278D">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二、过程（30）</w:t>
            </w:r>
          </w:p>
        </w:tc>
        <w:tc>
          <w:tcPr>
            <w:tcW w:w="456" w:type="pct"/>
            <w:vMerge w:val="restart"/>
            <w:shd w:val="clear" w:color="auto" w:fill="FFFFFF"/>
            <w:noWrap w:val="0"/>
            <w:vAlign w:val="center"/>
          </w:tcPr>
          <w:p w14:paraId="78E5931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资金管理（8）</w:t>
            </w:r>
          </w:p>
        </w:tc>
        <w:tc>
          <w:tcPr>
            <w:tcW w:w="440" w:type="pct"/>
            <w:shd w:val="clear" w:color="auto" w:fill="auto"/>
            <w:noWrap w:val="0"/>
            <w:vAlign w:val="center"/>
          </w:tcPr>
          <w:p w14:paraId="2E3B61E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资金到位率</w:t>
            </w:r>
          </w:p>
        </w:tc>
        <w:tc>
          <w:tcPr>
            <w:tcW w:w="280" w:type="pct"/>
            <w:shd w:val="clear" w:color="auto" w:fill="auto"/>
            <w:noWrap w:val="0"/>
            <w:vAlign w:val="center"/>
          </w:tcPr>
          <w:p w14:paraId="257F58EF">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3</w:t>
            </w:r>
          </w:p>
        </w:tc>
        <w:tc>
          <w:tcPr>
            <w:tcW w:w="968" w:type="pct"/>
            <w:shd w:val="clear" w:color="auto" w:fill="auto"/>
            <w:noWrap w:val="0"/>
            <w:vAlign w:val="center"/>
          </w:tcPr>
          <w:p w14:paraId="779ADA0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实际到位资金与预算批复资金的比率，用以反映和考核资金落实情况对项目实施的总体保障程度。</w:t>
            </w:r>
          </w:p>
        </w:tc>
        <w:tc>
          <w:tcPr>
            <w:tcW w:w="2412" w:type="pct"/>
            <w:tcBorders>
              <w:top w:val="single" w:color="auto" w:sz="4" w:space="0"/>
            </w:tcBorders>
            <w:shd w:val="clear" w:color="auto" w:fill="auto"/>
            <w:noWrap w:val="0"/>
            <w:vAlign w:val="center"/>
          </w:tcPr>
          <w:p w14:paraId="3BDB3D9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①年度平均预算资金到位率均为100%，得满分；</w:t>
            </w:r>
          </w:p>
          <w:p w14:paraId="34AEA55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②存在一年预算资金到位率不足100%的，扣1分，本项指标扣完为止。</w:t>
            </w:r>
          </w:p>
          <w:p w14:paraId="38441EA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注：预算资金到位率＝当年实际到位资金/当年预算批复资金×100%。</w:t>
            </w:r>
          </w:p>
        </w:tc>
      </w:tr>
      <w:tr w14:paraId="5C33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0A6F818E">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456" w:type="pct"/>
            <w:vMerge w:val="continue"/>
            <w:shd w:val="clear" w:color="auto" w:fill="FFFFFF"/>
            <w:noWrap w:val="0"/>
            <w:vAlign w:val="center"/>
          </w:tcPr>
          <w:p w14:paraId="7F9903F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440" w:type="pct"/>
            <w:shd w:val="clear" w:color="auto" w:fill="FFFFFF"/>
            <w:noWrap w:val="0"/>
            <w:vAlign w:val="center"/>
          </w:tcPr>
          <w:p w14:paraId="65FFC52B">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资金执行率</w:t>
            </w:r>
          </w:p>
        </w:tc>
        <w:tc>
          <w:tcPr>
            <w:tcW w:w="280" w:type="pct"/>
            <w:shd w:val="clear" w:color="auto" w:fill="FFFFFF"/>
            <w:noWrap w:val="0"/>
            <w:vAlign w:val="center"/>
          </w:tcPr>
          <w:p w14:paraId="6E1C822B">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3</w:t>
            </w:r>
          </w:p>
        </w:tc>
        <w:tc>
          <w:tcPr>
            <w:tcW w:w="968" w:type="pct"/>
            <w:shd w:val="clear" w:color="auto" w:fill="FFFFFF"/>
            <w:noWrap w:val="0"/>
            <w:vAlign w:val="center"/>
          </w:tcPr>
          <w:p w14:paraId="3E23597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项目预算资金是否按照计划执行，用以反映或考核项目预算执行情况。</w:t>
            </w:r>
          </w:p>
        </w:tc>
        <w:tc>
          <w:tcPr>
            <w:tcW w:w="2412" w:type="pct"/>
            <w:tcBorders>
              <w:top w:val="single" w:color="auto" w:sz="4" w:space="0"/>
            </w:tcBorders>
            <w:shd w:val="clear" w:color="auto" w:fill="FFFFFF"/>
            <w:noWrap w:val="0"/>
            <w:vAlign w:val="center"/>
          </w:tcPr>
          <w:p w14:paraId="09BABCA1">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①年度预算执行率均达到100%，得满分；</w:t>
            </w:r>
          </w:p>
          <w:p w14:paraId="32897EF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②存在一年预算执行率不足100%的，扣1分，本项指标扣完为止。</w:t>
            </w:r>
          </w:p>
          <w:p w14:paraId="167D826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注：预算执行率＝当年实际支出资金/当年实际到位资金×100%。</w:t>
            </w:r>
          </w:p>
        </w:tc>
      </w:tr>
      <w:tr w14:paraId="7725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6E4415A4">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3D933F7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FFFFFF"/>
            <w:noWrap w:val="0"/>
            <w:vAlign w:val="center"/>
          </w:tcPr>
          <w:p w14:paraId="50E24D0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资金使用合规性</w:t>
            </w:r>
          </w:p>
        </w:tc>
        <w:tc>
          <w:tcPr>
            <w:tcW w:w="280" w:type="pct"/>
            <w:shd w:val="clear" w:color="auto" w:fill="FFFFFF"/>
            <w:noWrap w:val="0"/>
            <w:vAlign w:val="center"/>
          </w:tcPr>
          <w:p w14:paraId="29FAFDEE">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2</w:t>
            </w:r>
          </w:p>
        </w:tc>
        <w:tc>
          <w:tcPr>
            <w:tcW w:w="968" w:type="pct"/>
            <w:shd w:val="clear" w:color="auto" w:fill="FFFFFF"/>
            <w:noWrap w:val="0"/>
            <w:vAlign w:val="center"/>
          </w:tcPr>
          <w:p w14:paraId="3BB9BDB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项目资金使用是否符合相关的财务管理制度规定，用以反映和考核项目资金的规范运行情况。</w:t>
            </w:r>
          </w:p>
        </w:tc>
        <w:tc>
          <w:tcPr>
            <w:tcW w:w="2412" w:type="pct"/>
            <w:shd w:val="clear" w:color="auto" w:fill="FFFFFF"/>
            <w:noWrap w:val="0"/>
            <w:vAlign w:val="center"/>
          </w:tcPr>
          <w:p w14:paraId="0527AC0B">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①项目资金使用符合国家财经法规和财务管理制度以及有关专项资金管理办法的规定；</w:t>
            </w:r>
          </w:p>
          <w:p w14:paraId="044306E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②资金使用符合项目预算批复或政策规定的用途，不存在截留、挤占、挪用、虚列支出等情况；</w:t>
            </w:r>
          </w:p>
          <w:p w14:paraId="3C4289B0">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③项目符合①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②项，得满分，发现一项不符合的，扣1分。</w:t>
            </w:r>
          </w:p>
        </w:tc>
      </w:tr>
      <w:tr w14:paraId="2261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28E45A4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restart"/>
            <w:shd w:val="clear" w:color="auto" w:fill="FFFFFF"/>
            <w:noWrap w:val="0"/>
            <w:vAlign w:val="center"/>
          </w:tcPr>
          <w:p w14:paraId="37F0D20E">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lang w:val="en-US" w:eastAsia="zh-CN"/>
              </w:rPr>
              <w:t>采购管理（2）</w:t>
            </w:r>
          </w:p>
        </w:tc>
        <w:tc>
          <w:tcPr>
            <w:tcW w:w="440" w:type="pct"/>
            <w:shd w:val="clear" w:color="auto" w:fill="auto"/>
            <w:noWrap w:val="0"/>
            <w:vAlign w:val="center"/>
          </w:tcPr>
          <w:p w14:paraId="3037967F">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t>采购方式适用性</w:t>
            </w:r>
          </w:p>
        </w:tc>
        <w:tc>
          <w:tcPr>
            <w:tcW w:w="280" w:type="pct"/>
            <w:shd w:val="clear" w:color="auto" w:fill="auto"/>
            <w:noWrap w:val="0"/>
            <w:vAlign w:val="center"/>
          </w:tcPr>
          <w:p w14:paraId="5580C87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968" w:type="pct"/>
            <w:shd w:val="clear" w:color="auto" w:fill="auto"/>
            <w:noWrap w:val="0"/>
            <w:vAlign w:val="center"/>
          </w:tcPr>
          <w:p w14:paraId="7C384BC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采购方式是否按照采购需求特点选择使用，用以反映和考核采购方式适用的合规性。</w:t>
            </w:r>
          </w:p>
        </w:tc>
        <w:tc>
          <w:tcPr>
            <w:tcW w:w="2412" w:type="pct"/>
            <w:shd w:val="clear" w:color="auto" w:fill="auto"/>
            <w:noWrap w:val="0"/>
            <w:vAlign w:val="center"/>
          </w:tcPr>
          <w:p w14:paraId="5C42D076">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①项目采购方式与预算数额相匹配，属于公开招标数额标准以上项目的，应采用公开招标方式；</w:t>
            </w:r>
          </w:p>
          <w:p w14:paraId="2487C3F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②不符合上述情况的，扣除采购管理指标全部分数。</w:t>
            </w:r>
          </w:p>
        </w:tc>
      </w:tr>
      <w:tr w14:paraId="6642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524B733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68DFA65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auto"/>
            <w:noWrap w:val="0"/>
            <w:vAlign w:val="center"/>
          </w:tcPr>
          <w:p w14:paraId="01E69E9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采购计划备案完整性</w:t>
            </w:r>
          </w:p>
        </w:tc>
        <w:tc>
          <w:tcPr>
            <w:tcW w:w="280" w:type="pct"/>
            <w:shd w:val="clear" w:color="auto" w:fill="auto"/>
            <w:noWrap w:val="0"/>
            <w:vAlign w:val="center"/>
          </w:tcPr>
          <w:p w14:paraId="21FA225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1</w:t>
            </w:r>
          </w:p>
        </w:tc>
        <w:tc>
          <w:tcPr>
            <w:tcW w:w="968" w:type="pct"/>
            <w:shd w:val="clear" w:color="auto" w:fill="auto"/>
            <w:noWrap w:val="0"/>
            <w:vAlign w:val="center"/>
          </w:tcPr>
          <w:p w14:paraId="71724DB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采购计划是否按照采购需求制定情况进行备案，用以反映和考核采购计划的完整准确性。</w:t>
            </w:r>
          </w:p>
        </w:tc>
        <w:tc>
          <w:tcPr>
            <w:tcW w:w="2412" w:type="pct"/>
            <w:shd w:val="clear" w:color="auto" w:fill="auto"/>
            <w:noWrap w:val="0"/>
            <w:vAlign w:val="center"/>
          </w:tcPr>
          <w:p w14:paraId="549DC59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①采购计划填报内容完整；</w:t>
            </w:r>
          </w:p>
          <w:p w14:paraId="4C76CE1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②实际采购内容与项目预算一致；</w:t>
            </w:r>
          </w:p>
          <w:p w14:paraId="5C2C8C3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③在政府采购预算批复后2个月内备案政府采购计划，明确采购品目、组织形式、采购方式和采购金额等内容；</w:t>
            </w:r>
          </w:p>
          <w:p w14:paraId="11C28D2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④采购计划备案后未做过调整变更；</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eastAsia="仿宋_GB2312" w:cs="Times New Roman"/>
                <w:i w:val="0"/>
                <w:iCs w:val="0"/>
                <w:color w:val="auto"/>
                <w:kern w:val="0"/>
                <w:sz w:val="24"/>
                <w:szCs w:val="24"/>
                <w:u w:val="none"/>
                <w:lang w:val="en-US" w:eastAsia="zh-CN" w:bidi="ar"/>
              </w:rPr>
              <w:t>⑤项目符合①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④项，得满分；发现一项不符合的，扣0.25分，本项指标扣完为止。</w:t>
            </w:r>
          </w:p>
        </w:tc>
      </w:tr>
      <w:tr w14:paraId="4965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3C5374C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restart"/>
            <w:shd w:val="clear" w:color="auto" w:fill="FFFFFF"/>
            <w:noWrap w:val="0"/>
            <w:vAlign w:val="center"/>
          </w:tcPr>
          <w:p w14:paraId="40DB457B">
            <w:pPr>
              <w:keepNext w:val="0"/>
              <w:keepLines w:val="0"/>
              <w:pageBreakBefore w:val="0"/>
              <w:widowControl/>
              <w:kinsoku/>
              <w:wordWrap/>
              <w:overflowPunct/>
              <w:topLinePunct w:val="0"/>
              <w:autoSpaceDE/>
              <w:autoSpaceDN/>
              <w:bidi w:val="0"/>
              <w:adjustRightInd w:val="0"/>
              <w:snapToGrid/>
              <w:spacing w:line="240" w:lineRule="auto"/>
              <w:jc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lang w:val="en-US" w:eastAsia="zh-CN"/>
              </w:rPr>
              <w:t>合同签订（10）</w:t>
            </w:r>
          </w:p>
        </w:tc>
        <w:tc>
          <w:tcPr>
            <w:tcW w:w="440" w:type="pct"/>
            <w:shd w:val="clear" w:color="auto" w:fill="auto"/>
            <w:noWrap w:val="0"/>
            <w:vAlign w:val="center"/>
          </w:tcPr>
          <w:p w14:paraId="158CA15F">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合同签订时效性</w:t>
            </w:r>
          </w:p>
        </w:tc>
        <w:tc>
          <w:tcPr>
            <w:tcW w:w="280" w:type="pct"/>
            <w:shd w:val="clear" w:color="auto" w:fill="auto"/>
            <w:noWrap w:val="0"/>
            <w:vAlign w:val="center"/>
          </w:tcPr>
          <w:p w14:paraId="51D08AFD">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1</w:t>
            </w:r>
          </w:p>
        </w:tc>
        <w:tc>
          <w:tcPr>
            <w:tcW w:w="968" w:type="pct"/>
            <w:shd w:val="clear" w:color="auto" w:fill="auto"/>
            <w:noWrap w:val="0"/>
            <w:vAlign w:val="center"/>
          </w:tcPr>
          <w:p w14:paraId="655221C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合同签订时间是否符合政府采购相关政策规定，用以反映和考核采购合同签订的时效性。</w:t>
            </w:r>
          </w:p>
        </w:tc>
        <w:tc>
          <w:tcPr>
            <w:tcW w:w="2412" w:type="pct"/>
            <w:shd w:val="clear" w:color="auto" w:fill="auto"/>
            <w:noWrap w:val="0"/>
            <w:vAlign w:val="center"/>
          </w:tcPr>
          <w:p w14:paraId="777BA37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①在项目中标（成交）通知书发出之日起10个工作日内签订政府采购合同，得满分；</w:t>
            </w:r>
          </w:p>
          <w:p w14:paraId="59941D0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②未在规定时间内签订合同的，扣除本项全部分数。</w:t>
            </w:r>
          </w:p>
        </w:tc>
      </w:tr>
      <w:tr w14:paraId="5863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4AE10879">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091790E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auto"/>
            <w:noWrap w:val="0"/>
            <w:vAlign w:val="center"/>
          </w:tcPr>
          <w:p w14:paraId="10333AA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合同签订规范性</w:t>
            </w:r>
          </w:p>
        </w:tc>
        <w:tc>
          <w:tcPr>
            <w:tcW w:w="280" w:type="pct"/>
            <w:shd w:val="clear" w:color="auto" w:fill="auto"/>
            <w:noWrap w:val="0"/>
            <w:vAlign w:val="center"/>
          </w:tcPr>
          <w:p w14:paraId="5ABBDE5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968" w:type="pct"/>
            <w:shd w:val="clear" w:color="auto" w:fill="auto"/>
            <w:noWrap w:val="0"/>
            <w:vAlign w:val="center"/>
          </w:tcPr>
          <w:p w14:paraId="5B072BC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合同签订是否符合政府采购相关政策规定，用以反映和考核采购合同签订的严密性、合规性情况。</w:t>
            </w:r>
          </w:p>
        </w:tc>
        <w:tc>
          <w:tcPr>
            <w:tcW w:w="2412" w:type="pct"/>
            <w:shd w:val="clear" w:color="auto" w:fill="auto"/>
            <w:noWrap w:val="0"/>
            <w:vAlign w:val="center"/>
          </w:tcPr>
          <w:p w14:paraId="0E798C6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①项目范围内委托第三方提供服务的，服务合同内容完善、范围全面、责任清晰，本指标得满分；</w:t>
            </w:r>
          </w:p>
          <w:p w14:paraId="4E04B19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②每发现一项服务未签订委托服务合同的，发现一次扣1分。</w:t>
            </w:r>
          </w:p>
        </w:tc>
      </w:tr>
      <w:tr w14:paraId="4480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06FA3C6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787F96C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auto"/>
            <w:noWrap w:val="0"/>
            <w:vAlign w:val="center"/>
          </w:tcPr>
          <w:p w14:paraId="2B5465B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合同条款合理性</w:t>
            </w:r>
          </w:p>
        </w:tc>
        <w:tc>
          <w:tcPr>
            <w:tcW w:w="280" w:type="pct"/>
            <w:shd w:val="clear" w:color="auto" w:fill="auto"/>
            <w:noWrap w:val="0"/>
            <w:vAlign w:val="center"/>
          </w:tcPr>
          <w:p w14:paraId="61794AE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968" w:type="pct"/>
            <w:shd w:val="clear" w:color="auto" w:fill="auto"/>
            <w:noWrap w:val="0"/>
            <w:vAlign w:val="center"/>
          </w:tcPr>
          <w:p w14:paraId="4D46DA4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合同内容是否公平、合理，用以反映合同条款的合理性。</w:t>
            </w:r>
          </w:p>
        </w:tc>
        <w:tc>
          <w:tcPr>
            <w:tcW w:w="2412" w:type="pct"/>
            <w:shd w:val="clear" w:color="auto" w:fill="auto"/>
            <w:noWrap w:val="0"/>
            <w:vAlign w:val="center"/>
          </w:tcPr>
          <w:p w14:paraId="46E6F28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①合同条款结合项目情况合理编制，未对合同双方增加不合理条件，且合理安排付款节点的，得满分；</w:t>
            </w:r>
          </w:p>
          <w:p w14:paraId="7EE596B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②发现任一项不符合的，扣除本项全部分数。</w:t>
            </w:r>
          </w:p>
        </w:tc>
      </w:tr>
      <w:tr w14:paraId="27AC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3454F48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restart"/>
            <w:shd w:val="clear" w:color="auto" w:fill="FFFFFF"/>
            <w:noWrap w:val="0"/>
            <w:vAlign w:val="center"/>
          </w:tcPr>
          <w:p w14:paraId="054F35C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组织实施（10）</w:t>
            </w:r>
          </w:p>
        </w:tc>
        <w:tc>
          <w:tcPr>
            <w:tcW w:w="440" w:type="pct"/>
            <w:shd w:val="clear" w:color="auto" w:fill="FFFFFF"/>
            <w:noWrap w:val="0"/>
            <w:vAlign w:val="center"/>
          </w:tcPr>
          <w:p w14:paraId="51C165CC">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管理制度健全性</w:t>
            </w:r>
          </w:p>
        </w:tc>
        <w:tc>
          <w:tcPr>
            <w:tcW w:w="280" w:type="pct"/>
            <w:shd w:val="clear" w:color="auto" w:fill="FFFFFF"/>
            <w:noWrap w:val="0"/>
            <w:vAlign w:val="center"/>
          </w:tcPr>
          <w:p w14:paraId="765A336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4</w:t>
            </w:r>
          </w:p>
        </w:tc>
        <w:tc>
          <w:tcPr>
            <w:tcW w:w="968" w:type="pct"/>
            <w:shd w:val="clear" w:color="auto" w:fill="FFFFFF"/>
            <w:noWrap w:val="0"/>
            <w:vAlign w:val="center"/>
          </w:tcPr>
          <w:p w14:paraId="03C432A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项目实施单位的安全保卫管理制度、卫生保洁作业制度、基础设施巡检及维修管理制度、差旅管理制度、布展等活动管理制度、财务管理制度、档案管理制度是否健全，用以反映和考核管理制度建立情况。</w:t>
            </w:r>
          </w:p>
        </w:tc>
        <w:tc>
          <w:tcPr>
            <w:tcW w:w="2412" w:type="pct"/>
            <w:shd w:val="clear" w:color="auto" w:fill="FFFFFF"/>
            <w:noWrap w:val="0"/>
            <w:vAlign w:val="center"/>
          </w:tcPr>
          <w:p w14:paraId="5D846DBD">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①制定了完善的相关管理制度或管控措施，得满分；</w:t>
            </w:r>
          </w:p>
          <w:p w14:paraId="391BD964">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②安全保卫管理制度、卫生保洁作业制度、基础设施巡检及维修管理制度、差旅管理制度、布展等活动管理制度、财务管理制度、档案管理制度每缺少一项扣0.5分，制度不完善的一项扣0.2分，本项指标扣完为止。</w:t>
            </w:r>
          </w:p>
        </w:tc>
      </w:tr>
      <w:tr w14:paraId="7C82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454" w:hRule="atLeast"/>
        </w:trPr>
        <w:tc>
          <w:tcPr>
            <w:tcW w:w="442" w:type="pct"/>
            <w:vMerge w:val="continue"/>
            <w:shd w:val="clear" w:color="auto" w:fill="FFFFFF"/>
            <w:noWrap w:val="0"/>
            <w:vAlign w:val="center"/>
          </w:tcPr>
          <w:p w14:paraId="056DF46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56" w:type="pct"/>
            <w:vMerge w:val="continue"/>
            <w:shd w:val="clear" w:color="auto" w:fill="FFFFFF"/>
            <w:noWrap w:val="0"/>
            <w:vAlign w:val="center"/>
          </w:tcPr>
          <w:p w14:paraId="5CF9C3E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rPr>
                <w:rFonts w:hint="default" w:ascii="Times New Roman" w:hAnsi="Times New Roman" w:eastAsia="仿宋_GB2312" w:cs="Times New Roman"/>
                <w:i w:val="0"/>
                <w:iCs w:val="0"/>
                <w:color w:val="auto"/>
                <w:sz w:val="24"/>
                <w:szCs w:val="24"/>
                <w:u w:val="none"/>
              </w:rPr>
            </w:pPr>
          </w:p>
        </w:tc>
        <w:tc>
          <w:tcPr>
            <w:tcW w:w="440" w:type="pct"/>
            <w:shd w:val="clear" w:color="auto" w:fill="FFFFFF"/>
            <w:noWrap w:val="0"/>
            <w:vAlign w:val="center"/>
          </w:tcPr>
          <w:p w14:paraId="6F2923D2">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制度执行有效性</w:t>
            </w:r>
          </w:p>
        </w:tc>
        <w:tc>
          <w:tcPr>
            <w:tcW w:w="280" w:type="pct"/>
            <w:shd w:val="clear" w:color="auto" w:fill="FFFFFF"/>
            <w:noWrap w:val="0"/>
            <w:vAlign w:val="center"/>
          </w:tcPr>
          <w:p w14:paraId="2C34703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6</w:t>
            </w:r>
          </w:p>
        </w:tc>
        <w:tc>
          <w:tcPr>
            <w:tcW w:w="968" w:type="pct"/>
            <w:shd w:val="clear" w:color="auto" w:fill="FFFFFF"/>
            <w:noWrap w:val="0"/>
            <w:vAlign w:val="center"/>
          </w:tcPr>
          <w:p w14:paraId="5ED15E69">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rPr>
              <w:t>项目实施是否符合相关管理规定</w:t>
            </w:r>
            <w:r>
              <w:rPr>
                <w:rFonts w:hint="default" w:ascii="Times New Roman" w:hAnsi="Times New Roman" w:eastAsia="仿宋_GB2312" w:cs="Times New Roman"/>
                <w:i w:val="0"/>
                <w:iCs w:val="0"/>
                <w:color w:val="auto"/>
                <w:sz w:val="24"/>
                <w:szCs w:val="24"/>
                <w:u w:val="none"/>
                <w:lang w:val="en-US" w:eastAsia="zh-CN"/>
              </w:rPr>
              <w:t>要求</w:t>
            </w:r>
            <w:r>
              <w:rPr>
                <w:rFonts w:hint="default" w:ascii="Times New Roman" w:hAnsi="Times New Roman" w:eastAsia="仿宋_GB2312" w:cs="Times New Roman"/>
                <w:i w:val="0"/>
                <w:iCs w:val="0"/>
                <w:color w:val="auto"/>
                <w:sz w:val="24"/>
                <w:szCs w:val="24"/>
                <w:u w:val="none"/>
              </w:rPr>
              <w:t>，用以反映和考核管理制度的有效执行情况。</w:t>
            </w:r>
          </w:p>
        </w:tc>
        <w:tc>
          <w:tcPr>
            <w:tcW w:w="2412" w:type="pct"/>
            <w:shd w:val="clear" w:color="auto" w:fill="FFFFFF"/>
            <w:noWrap w:val="0"/>
            <w:vAlign w:val="center"/>
          </w:tcPr>
          <w:p w14:paraId="039440D4">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①遵守相关法律法规和相关管理规定；</w:t>
            </w:r>
          </w:p>
          <w:p w14:paraId="61C54475">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②项目调整及支出调整手续完备；</w:t>
            </w:r>
          </w:p>
          <w:p w14:paraId="4556BDA3">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③项目报销凭证、资金使用计划及审批流程等资料齐全并及时归档；</w:t>
            </w:r>
          </w:p>
          <w:p w14:paraId="4758603F">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④项目卫生保洁、安全保卫、维修维护作业严格按照管理制度执行。</w:t>
            </w:r>
          </w:p>
          <w:p w14:paraId="0B83B717">
            <w:pPr>
              <w:keepNext w:val="0"/>
              <w:keepLines w:val="0"/>
              <w:pageBreakBefore w:val="0"/>
              <w:widowControl/>
              <w:suppressLineNumbers w:val="0"/>
              <w:kinsoku/>
              <w:wordWrap/>
              <w:overflowPunct/>
              <w:topLinePunct w:val="0"/>
              <w:autoSpaceDE/>
              <w:autoSpaceDN/>
              <w:bidi w:val="0"/>
              <w:adjustRightInd w:val="0"/>
              <w:snapToGrid/>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⑤项目符合①</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④项，得满分；发现一项不符合的，扣1.5分，本项指标扣完为止。</w:t>
            </w:r>
          </w:p>
        </w:tc>
      </w:tr>
      <w:tr w14:paraId="6603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restart"/>
            <w:shd w:val="clear" w:color="auto" w:fill="FFFFFF"/>
            <w:noWrap w:val="0"/>
            <w:vAlign w:val="center"/>
          </w:tcPr>
          <w:p w14:paraId="7952C4C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三、</w:t>
            </w:r>
            <w:r>
              <w:rPr>
                <w:rFonts w:hint="default" w:ascii="Times New Roman" w:hAnsi="Times New Roman" w:eastAsia="仿宋_GB2312" w:cs="Times New Roman"/>
                <w:sz w:val="24"/>
                <w:szCs w:val="24"/>
              </w:rPr>
              <w:t>产出（3</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分）</w:t>
            </w:r>
          </w:p>
        </w:tc>
        <w:tc>
          <w:tcPr>
            <w:tcW w:w="456" w:type="pct"/>
            <w:vMerge w:val="restart"/>
            <w:shd w:val="clear" w:color="auto" w:fill="FFFFFF"/>
            <w:noWrap w:val="0"/>
            <w:vAlign w:val="center"/>
          </w:tcPr>
          <w:p w14:paraId="748B5EB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产出数量（</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w:t>
            </w:r>
          </w:p>
        </w:tc>
        <w:tc>
          <w:tcPr>
            <w:tcW w:w="440" w:type="pct"/>
            <w:shd w:val="clear" w:color="auto" w:fill="FFFFFF"/>
            <w:noWrap w:val="0"/>
            <w:vAlign w:val="center"/>
          </w:tcPr>
          <w:p w14:paraId="483F9C1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设备设施维护保养工作完成率</w:t>
            </w:r>
          </w:p>
        </w:tc>
        <w:tc>
          <w:tcPr>
            <w:tcW w:w="280" w:type="pct"/>
            <w:shd w:val="clear" w:color="auto" w:fill="FFFFFF"/>
            <w:noWrap w:val="0"/>
            <w:vAlign w:val="center"/>
          </w:tcPr>
          <w:p w14:paraId="483F0F4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968" w:type="pct"/>
            <w:shd w:val="clear" w:color="auto" w:fill="FFFFFF"/>
            <w:noWrap w:val="0"/>
            <w:vAlign w:val="center"/>
          </w:tcPr>
          <w:p w14:paraId="6499884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考核建筑设施、空调、电梯、灯具、消防设施、安全出口标志、应急照明设备、布展等设施设备的维修养护工作完成情况。</w:t>
            </w:r>
          </w:p>
        </w:tc>
        <w:tc>
          <w:tcPr>
            <w:tcW w:w="2412" w:type="pct"/>
            <w:shd w:val="clear" w:color="auto" w:fill="FFFFFF"/>
            <w:noWrap w:val="0"/>
            <w:vAlign w:val="center"/>
          </w:tcPr>
          <w:p w14:paraId="7BC82C4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重点考核设施、空调、电梯、灯具、消防设施、安全出口标志、应急照明设备、布展设施设备等是否按照计划目标要求完成维修养护任务。</w:t>
            </w:r>
          </w:p>
          <w:p w14:paraId="2CEB47E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①若均完成年度工作计划，则得满分；</w:t>
            </w:r>
          </w:p>
          <w:p w14:paraId="5B0DD04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②有一项未及时完成出现被投诉、上级检查通报情形的，扣0.5分，本项指标扣完为止。</w:t>
            </w:r>
          </w:p>
        </w:tc>
      </w:tr>
      <w:tr w14:paraId="6276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31D5D60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vMerge w:val="continue"/>
            <w:shd w:val="clear" w:color="auto" w:fill="FFFFFF"/>
            <w:noWrap w:val="0"/>
            <w:vAlign w:val="center"/>
          </w:tcPr>
          <w:p w14:paraId="290F3D0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40" w:type="pct"/>
            <w:shd w:val="clear" w:color="auto" w:fill="FFFFFF"/>
            <w:noWrap w:val="0"/>
            <w:vAlign w:val="center"/>
          </w:tcPr>
          <w:p w14:paraId="3FCA4DF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日常运行工作完成率</w:t>
            </w:r>
          </w:p>
        </w:tc>
        <w:tc>
          <w:tcPr>
            <w:tcW w:w="280" w:type="pct"/>
            <w:shd w:val="clear" w:color="auto" w:fill="FFFFFF"/>
            <w:noWrap w:val="0"/>
            <w:vAlign w:val="center"/>
          </w:tcPr>
          <w:p w14:paraId="713967C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968" w:type="pct"/>
            <w:shd w:val="clear" w:color="auto" w:fill="FFFFFF"/>
            <w:noWrap w:val="0"/>
            <w:vAlign w:val="center"/>
          </w:tcPr>
          <w:p w14:paraId="655E9B4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考核物业管理（保安保洁）在日常工作完成是否及时到位。</w:t>
            </w:r>
          </w:p>
        </w:tc>
        <w:tc>
          <w:tcPr>
            <w:tcW w:w="2412" w:type="pct"/>
            <w:shd w:val="clear" w:color="auto" w:fill="FFFFFF"/>
            <w:noWrap w:val="0"/>
            <w:vAlign w:val="center"/>
          </w:tcPr>
          <w:p w14:paraId="6C2D150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重点考核保安巡逻、卫生清扫、垃圾清运等日常工作规模及标准是否按照计划目标要求完成。</w:t>
            </w:r>
          </w:p>
          <w:p w14:paraId="5F1BBCD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①若均完成年度工作计划，则得满分；</w:t>
            </w:r>
          </w:p>
          <w:p w14:paraId="421CF3E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②有一项未及时完成出现被投诉、上级检查通报情形的，扣1分，本项指标扣完为止。</w:t>
            </w:r>
          </w:p>
        </w:tc>
      </w:tr>
      <w:tr w14:paraId="0BF3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0331D80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shd w:val="clear" w:color="auto" w:fill="FFFFFF"/>
            <w:noWrap w:val="0"/>
            <w:vAlign w:val="center"/>
          </w:tcPr>
          <w:p w14:paraId="36995D1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产出质量（5）</w:t>
            </w:r>
          </w:p>
        </w:tc>
        <w:tc>
          <w:tcPr>
            <w:tcW w:w="440" w:type="pct"/>
            <w:shd w:val="clear" w:color="auto" w:fill="FFFFFF"/>
            <w:noWrap w:val="0"/>
            <w:vAlign w:val="center"/>
          </w:tcPr>
          <w:p w14:paraId="73056CB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质量达标率</w:t>
            </w:r>
          </w:p>
        </w:tc>
        <w:tc>
          <w:tcPr>
            <w:tcW w:w="280" w:type="pct"/>
            <w:shd w:val="clear" w:color="auto" w:fill="FFFFFF"/>
            <w:noWrap w:val="0"/>
            <w:vAlign w:val="center"/>
          </w:tcPr>
          <w:p w14:paraId="4037E5B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968" w:type="pct"/>
            <w:shd w:val="clear" w:color="auto" w:fill="FFFFFF"/>
            <w:noWrap w:val="0"/>
            <w:vAlign w:val="center"/>
          </w:tcPr>
          <w:p w14:paraId="571A657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对服务质量进行考核，以判定其是否切实符合行业标准。</w:t>
            </w:r>
          </w:p>
        </w:tc>
        <w:tc>
          <w:tcPr>
            <w:tcW w:w="2412" w:type="pct"/>
            <w:shd w:val="clear" w:color="auto" w:fill="FFFFFF"/>
            <w:noWrap w:val="0"/>
            <w:vAlign w:val="center"/>
          </w:tcPr>
          <w:p w14:paraId="3CD39BB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①项目范围内的设施设备完好率大于98%，得满分。</w:t>
            </w:r>
          </w:p>
          <w:p w14:paraId="17EC4E6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②设备设施完好率较98%每降低1%，扣0.5分，本项指标扣完为止；</w:t>
            </w:r>
          </w:p>
          <w:p w14:paraId="2585B0E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③评价周期内发生文物安全事故的，本项指标不得分。</w:t>
            </w:r>
          </w:p>
          <w:p w14:paraId="041648A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注：设备设施完好率=（完好设备数/总设备数）×100%，</w:t>
            </w:r>
          </w:p>
        </w:tc>
      </w:tr>
      <w:tr w14:paraId="6835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trPr>
        <w:tc>
          <w:tcPr>
            <w:tcW w:w="442" w:type="pct"/>
            <w:vMerge w:val="continue"/>
            <w:shd w:val="clear" w:color="auto" w:fill="FFFFFF"/>
            <w:noWrap w:val="0"/>
            <w:vAlign w:val="center"/>
          </w:tcPr>
          <w:p w14:paraId="002C0A3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shd w:val="clear" w:color="auto" w:fill="FFFFFF"/>
            <w:noWrap w:val="0"/>
            <w:vAlign w:val="center"/>
          </w:tcPr>
          <w:p w14:paraId="5D01BF1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产出时效（5）</w:t>
            </w:r>
          </w:p>
        </w:tc>
        <w:tc>
          <w:tcPr>
            <w:tcW w:w="440" w:type="pct"/>
            <w:shd w:val="clear" w:color="auto" w:fill="FFFFFF"/>
            <w:noWrap w:val="0"/>
            <w:vAlign w:val="center"/>
          </w:tcPr>
          <w:p w14:paraId="4310024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完成及时性</w:t>
            </w:r>
          </w:p>
        </w:tc>
        <w:tc>
          <w:tcPr>
            <w:tcW w:w="280" w:type="pct"/>
            <w:shd w:val="clear" w:color="auto" w:fill="FFFFFF"/>
            <w:noWrap w:val="0"/>
            <w:vAlign w:val="center"/>
          </w:tcPr>
          <w:p w14:paraId="12B0134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968" w:type="pct"/>
            <w:shd w:val="clear" w:color="auto" w:fill="FFFFFF"/>
            <w:noWrap w:val="0"/>
            <w:vAlign w:val="center"/>
          </w:tcPr>
          <w:p w14:paraId="6242F2E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对荣成博物馆在面对突发情形的响应速度及日常物业工作完成的及时性进行评价。</w:t>
            </w:r>
          </w:p>
        </w:tc>
        <w:tc>
          <w:tcPr>
            <w:tcW w:w="2412" w:type="pct"/>
            <w:shd w:val="clear" w:color="auto" w:fill="FFFFFF"/>
            <w:noWrap w:val="0"/>
            <w:vAlign w:val="center"/>
          </w:tcPr>
          <w:p w14:paraId="473D5E5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①项目日常维修维护、展览布展、卫生保洁能够按照合同约定及时完成，得满分。</w:t>
            </w:r>
          </w:p>
          <w:p w14:paraId="6D4BCEA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②每发现一次不符合的。扣1分，本项指标扣完为止。</w:t>
            </w:r>
          </w:p>
        </w:tc>
      </w:tr>
      <w:tr w14:paraId="1AFC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37FA551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vMerge w:val="restart"/>
            <w:shd w:val="clear" w:color="auto" w:fill="FFFFFF"/>
            <w:noWrap w:val="0"/>
            <w:vAlign w:val="center"/>
          </w:tcPr>
          <w:p w14:paraId="23E5255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产出成本（20）</w:t>
            </w:r>
          </w:p>
        </w:tc>
        <w:tc>
          <w:tcPr>
            <w:tcW w:w="440" w:type="pct"/>
            <w:shd w:val="clear" w:color="auto" w:fill="FFFFFF"/>
            <w:noWrap w:val="0"/>
            <w:vAlign w:val="center"/>
          </w:tcPr>
          <w:p w14:paraId="48F3FB4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人工成本控制情况</w:t>
            </w:r>
          </w:p>
        </w:tc>
        <w:tc>
          <w:tcPr>
            <w:tcW w:w="280" w:type="pct"/>
            <w:shd w:val="clear" w:color="auto" w:fill="FFFFFF"/>
            <w:noWrap w:val="0"/>
            <w:vAlign w:val="center"/>
          </w:tcPr>
          <w:p w14:paraId="207EB72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968" w:type="pct"/>
            <w:shd w:val="clear" w:color="auto" w:fill="FFFFFF"/>
            <w:noWrap w:val="0"/>
            <w:vAlign w:val="center"/>
          </w:tcPr>
          <w:p w14:paraId="442FA5A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评价荣成博物馆选用的保安、保洁单位成本是否符合当地市场行情，是否存在价格虚高或过低情形。</w:t>
            </w:r>
          </w:p>
        </w:tc>
        <w:tc>
          <w:tcPr>
            <w:tcW w:w="2412" w:type="pct"/>
            <w:shd w:val="clear" w:color="auto" w:fill="FFFFFF"/>
            <w:noWrap w:val="0"/>
            <w:vAlign w:val="center"/>
          </w:tcPr>
          <w:p w14:paraId="0BAA2C2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①若保安、保洁人员薪酬标准较荣成市执行的最新人力资源市场工资价位中位值偏差小于5%，得满分；</w:t>
            </w:r>
          </w:p>
          <w:p w14:paraId="35C2FE9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②若保安、保洁人员薪酬标准较荣成市执行的最新人力资源市场工资价位中位值偏差大于等于5%、小于10%，且无正当理由的，扣2分；</w:t>
            </w:r>
          </w:p>
          <w:p w14:paraId="1213BEE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③若保安、保洁人员薪酬标准较荣成市执行的最新人力资源市场工资价位中位值偏差大于等于10%、小于20%，且无正当理由的，扣4分；</w:t>
            </w:r>
          </w:p>
          <w:p w14:paraId="4ACB5D3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④若保安、保洁人员薪酬标准较荣成市执行的最新人力资源市场工资价位中位值偏差大于等于20%、小于30%，且无正当理由的，扣6分；</w:t>
            </w:r>
          </w:p>
          <w:p w14:paraId="497FE03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⑤若保安、保洁人员薪酬标准较荣成市执行的最新人力资源市场工资价位中位值偏差大于等于30%，且无正当理由的，本指标不得分。</w:t>
            </w:r>
          </w:p>
        </w:tc>
      </w:tr>
      <w:tr w14:paraId="421F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235E9FD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vMerge w:val="continue"/>
            <w:shd w:val="clear" w:color="auto" w:fill="FFFFFF"/>
            <w:noWrap w:val="0"/>
            <w:vAlign w:val="center"/>
          </w:tcPr>
          <w:p w14:paraId="27F92BF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p>
        </w:tc>
        <w:tc>
          <w:tcPr>
            <w:tcW w:w="440" w:type="pct"/>
            <w:shd w:val="clear" w:color="auto" w:fill="FFFFFF"/>
            <w:noWrap w:val="0"/>
            <w:vAlign w:val="center"/>
          </w:tcPr>
          <w:p w14:paraId="78E594D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专项委托事项成本控制情况</w:t>
            </w:r>
          </w:p>
        </w:tc>
        <w:tc>
          <w:tcPr>
            <w:tcW w:w="280" w:type="pct"/>
            <w:shd w:val="clear" w:color="auto" w:fill="FFFFFF"/>
            <w:noWrap w:val="0"/>
            <w:vAlign w:val="center"/>
          </w:tcPr>
          <w:p w14:paraId="546927A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tc>
        <w:tc>
          <w:tcPr>
            <w:tcW w:w="968" w:type="pct"/>
            <w:shd w:val="clear" w:color="auto" w:fill="FFFFFF"/>
            <w:noWrap w:val="0"/>
            <w:vAlign w:val="center"/>
          </w:tcPr>
          <w:p w14:paraId="141753A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考核博物馆在电梯维修保养费用、自动消防报警系统维护保养费、中央空调系统维护保养费、电子监控系统维护保养费等国家强制性维保项目的成本控制能力。</w:t>
            </w:r>
          </w:p>
        </w:tc>
        <w:tc>
          <w:tcPr>
            <w:tcW w:w="2412" w:type="pct"/>
            <w:shd w:val="clear" w:color="auto" w:fill="FFFFFF"/>
            <w:noWrap w:val="0"/>
            <w:vAlign w:val="center"/>
          </w:tcPr>
          <w:p w14:paraId="7AFB341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①对荣成市及周边区域相关专项委托的费用标准进行调研，实际委托价格高于调研价10%以内的，得满分；</w:t>
            </w:r>
          </w:p>
          <w:p w14:paraId="3BE4762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②实际委托价格高于调研价格10%、小于20%，且无正当理由的，扣2分；</w:t>
            </w:r>
          </w:p>
          <w:p w14:paraId="1EAB607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③实际委托价格高于调研价格20%及以上，且无正当理由的，扣4分。</w:t>
            </w:r>
          </w:p>
        </w:tc>
      </w:tr>
      <w:tr w14:paraId="60E1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280BCBF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vMerge w:val="continue"/>
            <w:shd w:val="clear" w:color="auto" w:fill="FFFFFF"/>
            <w:noWrap w:val="0"/>
            <w:vAlign w:val="center"/>
          </w:tcPr>
          <w:p w14:paraId="3D1E73C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p>
        </w:tc>
        <w:tc>
          <w:tcPr>
            <w:tcW w:w="440" w:type="pct"/>
            <w:shd w:val="clear" w:color="auto" w:fill="FFFFFF"/>
            <w:noWrap w:val="0"/>
            <w:vAlign w:val="center"/>
          </w:tcPr>
          <w:p w14:paraId="4DCD3C2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活动成本控制情况</w:t>
            </w:r>
          </w:p>
        </w:tc>
        <w:tc>
          <w:tcPr>
            <w:tcW w:w="280" w:type="pct"/>
            <w:shd w:val="clear" w:color="auto" w:fill="FFFFFF"/>
            <w:noWrap w:val="0"/>
            <w:vAlign w:val="center"/>
          </w:tcPr>
          <w:p w14:paraId="0B9C034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968" w:type="pct"/>
            <w:shd w:val="clear" w:color="auto" w:fill="FFFFFF"/>
            <w:noWrap w:val="0"/>
            <w:vAlign w:val="center"/>
          </w:tcPr>
          <w:p w14:paraId="4F1F996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评估博物馆举办各类展览、活动等的成本控制效果。</w:t>
            </w:r>
          </w:p>
        </w:tc>
        <w:tc>
          <w:tcPr>
            <w:tcW w:w="2412" w:type="pct"/>
            <w:shd w:val="clear" w:color="auto" w:fill="FFFFFF"/>
            <w:noWrap w:val="0"/>
            <w:vAlign w:val="center"/>
          </w:tcPr>
          <w:p w14:paraId="2BE5ABB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①对项目布展活动、维修维护、布展建设费用凭证进行核查，剔除不合理成本，与项目实际发生成本进行对比，偏差小于5%，得满分；</w:t>
            </w:r>
          </w:p>
          <w:p w14:paraId="11D3A62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②若核定总活动成本与项目实际发生成本偏差大于等于5%、小于10%，且无正当理由的，扣2分；</w:t>
            </w:r>
          </w:p>
          <w:p w14:paraId="7C3F94A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③若核定总活动成本与项目实际发生成本偏差大于等于10%、小于20%，且无正当理由的，扣4分；</w:t>
            </w:r>
          </w:p>
          <w:p w14:paraId="3AF8B60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④若核定总活动合理成本与项目实际发生成本偏差在20%及以上，且无正当理由的，扣2分。</w:t>
            </w:r>
          </w:p>
          <w:p w14:paraId="6C3CDB4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⑤上述各项费用金额超出当年度预算目标对应金额的，每出现一次扣0.5分。</w:t>
            </w:r>
          </w:p>
        </w:tc>
      </w:tr>
      <w:tr w14:paraId="0D17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restart"/>
            <w:shd w:val="clear" w:color="auto" w:fill="FFFFFF"/>
            <w:noWrap w:val="0"/>
            <w:vAlign w:val="center"/>
          </w:tcPr>
          <w:p w14:paraId="0C26328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四、</w:t>
            </w:r>
            <w:r>
              <w:rPr>
                <w:rFonts w:hint="default" w:ascii="Times New Roman" w:hAnsi="Times New Roman" w:eastAsia="仿宋_GB2312" w:cs="Times New Roman"/>
                <w:sz w:val="24"/>
                <w:szCs w:val="24"/>
              </w:rPr>
              <w:t>效益（2</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分）</w:t>
            </w:r>
          </w:p>
        </w:tc>
        <w:tc>
          <w:tcPr>
            <w:tcW w:w="456" w:type="pct"/>
            <w:shd w:val="clear" w:color="auto" w:fill="FFFFFF"/>
            <w:noWrap w:val="0"/>
            <w:vAlign w:val="center"/>
          </w:tcPr>
          <w:p w14:paraId="193B3EA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社会效益</w:t>
            </w:r>
          </w:p>
          <w:p w14:paraId="54A1EFB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440" w:type="pct"/>
            <w:shd w:val="clear" w:color="auto" w:fill="FFFFFF"/>
            <w:noWrap w:val="0"/>
            <w:vAlign w:val="center"/>
          </w:tcPr>
          <w:p w14:paraId="56AF22B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活动承办情况</w:t>
            </w:r>
          </w:p>
        </w:tc>
        <w:tc>
          <w:tcPr>
            <w:tcW w:w="280" w:type="pct"/>
            <w:shd w:val="clear" w:color="auto" w:fill="FFFFFF"/>
            <w:noWrap w:val="0"/>
            <w:vAlign w:val="center"/>
          </w:tcPr>
          <w:p w14:paraId="67CF6C0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968" w:type="pct"/>
            <w:shd w:val="clear" w:color="auto" w:fill="FFFFFF"/>
            <w:noWrap w:val="0"/>
            <w:vAlign w:val="center"/>
          </w:tcPr>
          <w:p w14:paraId="6177183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评估荣成博物馆运转经费项目实施带来的社会效益。</w:t>
            </w:r>
          </w:p>
        </w:tc>
        <w:tc>
          <w:tcPr>
            <w:tcW w:w="2412" w:type="pct"/>
            <w:shd w:val="clear" w:color="auto" w:fill="FFFFFF"/>
            <w:noWrap w:val="0"/>
            <w:vAlign w:val="center"/>
          </w:tcPr>
          <w:p w14:paraId="39894A6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①文化传承与教育：博物馆通过宣讲等方式，传承和弘扬当地文化，年均宣讲场次大于40场的，得4分；每缺少1次扣0.1分。</w:t>
            </w:r>
          </w:p>
          <w:p w14:paraId="0DE8523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②共建合作：博物馆与高校、企业或单位联合组织关于精神弘扬、思想政治培训等正面活动、展览的，年均活动场次大于10场的，得2分；每缺少一次扣0.2分。</w:t>
            </w:r>
          </w:p>
        </w:tc>
      </w:tr>
      <w:tr w14:paraId="3D5D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3DFD5BD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p>
        </w:tc>
        <w:tc>
          <w:tcPr>
            <w:tcW w:w="456" w:type="pct"/>
            <w:shd w:val="clear" w:color="auto" w:fill="FFFFFF"/>
            <w:noWrap w:val="0"/>
            <w:vAlign w:val="center"/>
          </w:tcPr>
          <w:p w14:paraId="4703401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经济效益</w:t>
            </w:r>
          </w:p>
          <w:p w14:paraId="47B21E4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440" w:type="pct"/>
            <w:shd w:val="clear" w:color="auto" w:fill="FFFFFF"/>
            <w:noWrap w:val="0"/>
            <w:vAlign w:val="center"/>
          </w:tcPr>
          <w:p w14:paraId="1390528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陈列馆培训费收入情况</w:t>
            </w:r>
          </w:p>
        </w:tc>
        <w:tc>
          <w:tcPr>
            <w:tcW w:w="280" w:type="pct"/>
            <w:shd w:val="clear" w:color="auto" w:fill="FFFFFF"/>
            <w:noWrap w:val="0"/>
            <w:vAlign w:val="center"/>
          </w:tcPr>
          <w:p w14:paraId="05B75CC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968" w:type="pct"/>
            <w:shd w:val="clear" w:color="auto" w:fill="FFFFFF"/>
            <w:noWrap w:val="0"/>
            <w:vAlign w:val="center"/>
          </w:tcPr>
          <w:p w14:paraId="4E61491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评估荣成博物馆陈列馆开展培训活动所获得的收入情况。</w:t>
            </w:r>
          </w:p>
        </w:tc>
        <w:tc>
          <w:tcPr>
            <w:tcW w:w="2412" w:type="pct"/>
            <w:shd w:val="clear" w:color="auto" w:fill="FFFFFF"/>
            <w:noWrap w:val="0"/>
            <w:vAlign w:val="center"/>
          </w:tcPr>
          <w:p w14:paraId="36BBB46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①对于2022—2024年度郭永怀事迹陈列馆各年度的培训费非税收入均能达到年度预算目标金额及以上的，得满分。</w:t>
            </w:r>
          </w:p>
          <w:p w14:paraId="799E319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②在2022—2024年度中出现1次及以上培训费非税收入未达到年度预算目标金额，且偏差小于10%的，扣0.5分；</w:t>
            </w:r>
          </w:p>
          <w:p w14:paraId="1CA585E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③在2022—2024年度中出现1次及以上培训费非税收入未达到年度预算目标金额，且若偏差大于等于10%、小于20%的，扣1分；</w:t>
            </w:r>
          </w:p>
          <w:p w14:paraId="4A4D5C9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④在2022—2024年度中出现1次及以上培训费非税收入未达到年度预算目标金额，且偏差大于等于20%的，本项指标不得分。</w:t>
            </w:r>
          </w:p>
        </w:tc>
      </w:tr>
      <w:tr w14:paraId="15B4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16C3148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shd w:val="clear" w:color="auto" w:fill="FFFFFF"/>
            <w:noWrap w:val="0"/>
            <w:vAlign w:val="center"/>
          </w:tcPr>
          <w:p w14:paraId="7FA9D2C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可持续影响</w:t>
            </w:r>
          </w:p>
          <w:p w14:paraId="5E9672B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w:t>
            </w:r>
          </w:p>
        </w:tc>
        <w:tc>
          <w:tcPr>
            <w:tcW w:w="440" w:type="pct"/>
            <w:shd w:val="clear" w:color="auto" w:fill="FFFFFF"/>
            <w:noWrap w:val="0"/>
            <w:vAlign w:val="center"/>
          </w:tcPr>
          <w:p w14:paraId="78E28F1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游客量变化情况</w:t>
            </w:r>
          </w:p>
        </w:tc>
        <w:tc>
          <w:tcPr>
            <w:tcW w:w="280" w:type="pct"/>
            <w:shd w:val="clear" w:color="auto" w:fill="FFFFFF"/>
            <w:noWrap w:val="0"/>
            <w:vAlign w:val="center"/>
          </w:tcPr>
          <w:p w14:paraId="590C9F9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w:t>
            </w:r>
          </w:p>
        </w:tc>
        <w:tc>
          <w:tcPr>
            <w:tcW w:w="968" w:type="pct"/>
            <w:shd w:val="clear" w:color="auto" w:fill="FFFFFF"/>
            <w:noWrap w:val="0"/>
            <w:vAlign w:val="center"/>
          </w:tcPr>
          <w:p w14:paraId="298354C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评估荣成博物馆在项目实施后对地方文化发展产生的影响。</w:t>
            </w:r>
          </w:p>
        </w:tc>
        <w:tc>
          <w:tcPr>
            <w:tcW w:w="2412" w:type="pct"/>
            <w:shd w:val="clear" w:color="auto" w:fill="FFFFFF"/>
            <w:noWrap w:val="0"/>
            <w:vAlign w:val="center"/>
          </w:tcPr>
          <w:p w14:paraId="6ED6CEF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①博物馆通过活动宣传等方式，2024年度游客数量大于等于2022年度游客数量的，得满分。</w:t>
            </w:r>
          </w:p>
          <w:p w14:paraId="6E8C024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②2024年度游客数量低于2022年度游客数量、但减少幅度小于等于5%的，扣2分；</w:t>
            </w:r>
          </w:p>
          <w:p w14:paraId="2EF7EDB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③2024年度游客数量低于2022年度游客数量、但减少幅度在5%—10%（含10%）的，扣4分；</w:t>
            </w:r>
          </w:p>
          <w:p w14:paraId="37D8A8A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④2024年度游客数量低于2022年度游客数量10%以上的，本项指标不得分。</w:t>
            </w:r>
          </w:p>
        </w:tc>
      </w:tr>
      <w:tr w14:paraId="2149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2" w:type="pct"/>
            <w:vMerge w:val="continue"/>
            <w:shd w:val="clear" w:color="auto" w:fill="FFFFFF"/>
            <w:noWrap w:val="0"/>
            <w:vAlign w:val="center"/>
          </w:tcPr>
          <w:p w14:paraId="5CA42BD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456" w:type="pct"/>
            <w:shd w:val="clear" w:color="auto" w:fill="FFFFFF"/>
            <w:noWrap w:val="0"/>
            <w:vAlign w:val="center"/>
          </w:tcPr>
          <w:p w14:paraId="0C8FA1A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满意度</w:t>
            </w:r>
          </w:p>
          <w:p w14:paraId="796D490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440" w:type="pct"/>
            <w:shd w:val="clear" w:color="auto" w:fill="FFFFFF"/>
            <w:noWrap w:val="0"/>
            <w:vAlign w:val="center"/>
          </w:tcPr>
          <w:p w14:paraId="141F3A5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服务对象满意度</w:t>
            </w:r>
          </w:p>
        </w:tc>
        <w:tc>
          <w:tcPr>
            <w:tcW w:w="280" w:type="pct"/>
            <w:shd w:val="clear" w:color="auto" w:fill="FFFFFF"/>
            <w:noWrap w:val="0"/>
            <w:vAlign w:val="center"/>
          </w:tcPr>
          <w:p w14:paraId="01456FA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968" w:type="pct"/>
            <w:shd w:val="clear" w:color="auto" w:fill="FFFFFF"/>
            <w:noWrap w:val="0"/>
            <w:vAlign w:val="center"/>
          </w:tcPr>
          <w:p w14:paraId="7A034ED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反映服务对象对荣成博物馆各项服务的满意程度。</w:t>
            </w:r>
          </w:p>
        </w:tc>
        <w:tc>
          <w:tcPr>
            <w:tcW w:w="2412" w:type="pct"/>
            <w:shd w:val="clear" w:color="auto" w:fill="FFFFFF"/>
            <w:noWrap w:val="0"/>
            <w:vAlign w:val="center"/>
          </w:tcPr>
          <w:p w14:paraId="1D59F45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根据博物馆游客对项目各方面情况反馈的满意程度进行打分：</w:t>
            </w:r>
          </w:p>
          <w:p w14:paraId="5C3E08E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①满意比例超过95%（含95%），得满分；</w:t>
            </w:r>
          </w:p>
          <w:p w14:paraId="64850FF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②每降低1%（不足1%按1%计算），扣1分，本项指标扣完为止。</w:t>
            </w:r>
          </w:p>
        </w:tc>
      </w:tr>
      <w:tr w14:paraId="2029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39" w:type="pct"/>
            <w:gridSpan w:val="3"/>
            <w:shd w:val="clear" w:color="auto" w:fill="FFFFFF"/>
            <w:noWrap w:val="0"/>
            <w:vAlign w:val="center"/>
          </w:tcPr>
          <w:p w14:paraId="3B194F6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合计</w:t>
            </w:r>
          </w:p>
        </w:tc>
        <w:tc>
          <w:tcPr>
            <w:tcW w:w="280" w:type="pct"/>
            <w:shd w:val="clear" w:color="auto" w:fill="FFFFFF"/>
            <w:noWrap w:val="0"/>
            <w:vAlign w:val="center"/>
          </w:tcPr>
          <w:p w14:paraId="2E5D75E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100</w:t>
            </w:r>
          </w:p>
        </w:tc>
        <w:tc>
          <w:tcPr>
            <w:tcW w:w="968" w:type="pct"/>
            <w:shd w:val="clear" w:color="auto" w:fill="FFFFFF"/>
            <w:noWrap w:val="0"/>
            <w:vAlign w:val="center"/>
          </w:tcPr>
          <w:p w14:paraId="65E9817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p>
        </w:tc>
        <w:tc>
          <w:tcPr>
            <w:tcW w:w="2412" w:type="pct"/>
            <w:shd w:val="clear" w:color="auto" w:fill="FFFFFF"/>
            <w:noWrap w:val="0"/>
            <w:vAlign w:val="center"/>
          </w:tcPr>
          <w:p w14:paraId="71A654B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仿宋_GB2312" w:cs="Times New Roman"/>
                <w:sz w:val="24"/>
                <w:szCs w:val="24"/>
                <w:lang w:val="en-US" w:eastAsia="zh-CN"/>
              </w:rPr>
            </w:pPr>
          </w:p>
        </w:tc>
      </w:tr>
    </w:tbl>
    <w:p w14:paraId="00848EE7">
      <w:pPr>
        <w:rPr>
          <w:rFonts w:hint="default" w:ascii="Times New Roman Regular" w:hAnsi="Times New Roman Regular" w:eastAsia="黑体" w:cs="Times New Roman Regular"/>
          <w:color w:val="auto"/>
          <w:sz w:val="32"/>
          <w:szCs w:val="40"/>
          <w:highlight w:val="none"/>
          <w:lang w:val="en-US" w:eastAsia="zh-CN"/>
        </w:rPr>
      </w:pPr>
      <w:r>
        <w:rPr>
          <w:rFonts w:hint="default" w:ascii="Times New Roman Regular" w:hAnsi="Times New Roman Regular" w:eastAsia="黑体" w:cs="Times New Roman Regular"/>
          <w:color w:val="auto"/>
          <w:sz w:val="32"/>
          <w:szCs w:val="40"/>
          <w:highlight w:val="none"/>
          <w:lang w:val="en-US" w:eastAsia="zh-CN"/>
        </w:rPr>
        <w:br w:type="page"/>
      </w:r>
    </w:p>
    <w:p w14:paraId="19AF3A6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0"/>
        <w:rPr>
          <w:rFonts w:hint="default" w:ascii="Times New Roman Regular" w:hAnsi="Times New Roman Regular" w:eastAsia="黑体" w:cs="Times New Roman Regular"/>
          <w:color w:val="auto"/>
          <w:sz w:val="32"/>
          <w:szCs w:val="40"/>
          <w:highlight w:val="none"/>
          <w:lang w:val="en-US" w:eastAsia="zh-CN"/>
        </w:rPr>
      </w:pPr>
      <w:bookmarkStart w:id="63" w:name="_Toc17780"/>
      <w:r>
        <w:rPr>
          <w:rFonts w:hint="default" w:ascii="Times New Roman Regular" w:hAnsi="Times New Roman Regular" w:eastAsia="黑体" w:cs="Times New Roman Regular"/>
          <w:color w:val="auto"/>
          <w:sz w:val="32"/>
          <w:szCs w:val="40"/>
          <w:highlight w:val="none"/>
          <w:lang w:val="en-US" w:eastAsia="zh-CN"/>
        </w:rPr>
        <w:t>附件</w:t>
      </w:r>
      <w:r>
        <w:rPr>
          <w:rFonts w:hint="eastAsia" w:ascii="Times New Roman Regular" w:hAnsi="Times New Roman Regular" w:eastAsia="黑体" w:cs="Times New Roman Regular"/>
          <w:color w:val="auto"/>
          <w:sz w:val="32"/>
          <w:szCs w:val="40"/>
          <w:highlight w:val="none"/>
          <w:lang w:val="en-US" w:eastAsia="zh-CN"/>
        </w:rPr>
        <w:t>2</w:t>
      </w:r>
      <w:r>
        <w:rPr>
          <w:rFonts w:hint="default" w:ascii="Times New Roman Regular" w:hAnsi="Times New Roman Regular" w:eastAsia="黑体" w:cs="Times New Roman Regular"/>
          <w:color w:val="auto"/>
          <w:sz w:val="32"/>
          <w:szCs w:val="40"/>
          <w:highlight w:val="none"/>
          <w:lang w:val="en-US" w:eastAsia="zh-CN"/>
        </w:rPr>
        <w:t>：</w:t>
      </w:r>
      <w:bookmarkEnd w:id="62"/>
      <w:r>
        <w:rPr>
          <w:rFonts w:hint="default" w:ascii="Times New Roman Regular" w:hAnsi="Times New Roman Regular" w:eastAsia="黑体" w:cs="Times New Roman Regular"/>
          <w:color w:val="auto"/>
          <w:sz w:val="32"/>
          <w:szCs w:val="40"/>
          <w:highlight w:val="none"/>
          <w:lang w:val="en-US" w:eastAsia="zh-CN"/>
        </w:rPr>
        <w:t>绩效评价得分表</w:t>
      </w:r>
      <w:bookmarkEnd w:id="63"/>
    </w:p>
    <w:p w14:paraId="06798CA6">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Regular" w:hAnsi="Times New Roman Regular" w:eastAsia="方正小标宋简体" w:cs="Times New Roman Regular"/>
          <w:color w:val="auto"/>
          <w:sz w:val="44"/>
          <w:szCs w:val="52"/>
          <w:highlight w:val="none"/>
          <w:lang w:val="en-US" w:eastAsia="zh-CN"/>
        </w:rPr>
      </w:pPr>
      <w:bookmarkStart w:id="64" w:name="_Toc1570210442"/>
      <w:bookmarkStart w:id="65" w:name="_Toc2021674464"/>
      <w:r>
        <w:rPr>
          <w:rFonts w:hint="eastAsia" w:ascii="Times New Roman Regular" w:hAnsi="Times New Roman Regular" w:eastAsia="方正小标宋简体" w:cs="Times New Roman Regular"/>
          <w:color w:val="auto"/>
          <w:sz w:val="44"/>
          <w:szCs w:val="52"/>
          <w:highlight w:val="none"/>
          <w:lang w:val="en-US" w:eastAsia="zh-CN"/>
        </w:rPr>
        <w:t>荣成博物馆运转经费项目</w:t>
      </w:r>
      <w:r>
        <w:rPr>
          <w:rFonts w:hint="default" w:ascii="Times New Roman Regular" w:hAnsi="Times New Roman Regular" w:eastAsia="方正小标宋简体" w:cs="Times New Roman Regular"/>
          <w:color w:val="auto"/>
          <w:sz w:val="44"/>
          <w:szCs w:val="52"/>
          <w:highlight w:val="none"/>
          <w:lang w:val="en-US" w:eastAsia="zh-CN"/>
        </w:rPr>
        <w:t>绩效评价得分表</w:t>
      </w:r>
      <w:bookmarkEnd w:id="64"/>
    </w:p>
    <w:tbl>
      <w:tblPr>
        <w:tblStyle w:val="12"/>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79"/>
        <w:gridCol w:w="674"/>
        <w:gridCol w:w="630"/>
        <w:gridCol w:w="1278"/>
        <w:gridCol w:w="3107"/>
        <w:gridCol w:w="684"/>
        <w:gridCol w:w="4476"/>
        <w:gridCol w:w="2042"/>
        <w:gridCol w:w="755"/>
      </w:tblGrid>
      <w:tr w14:paraId="3C28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blHeader/>
        </w:trPr>
        <w:tc>
          <w:tcPr>
            <w:tcW w:w="237" w:type="pct"/>
            <w:shd w:val="clear" w:color="auto" w:fill="FFFFFF"/>
            <w:noWrap/>
            <w:vAlign w:val="center"/>
          </w:tcPr>
          <w:p w14:paraId="169F54F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一级指标</w:t>
            </w:r>
          </w:p>
        </w:tc>
        <w:tc>
          <w:tcPr>
            <w:tcW w:w="235" w:type="pct"/>
            <w:shd w:val="clear" w:color="auto" w:fill="FFFFFF"/>
            <w:noWrap/>
            <w:vAlign w:val="center"/>
          </w:tcPr>
          <w:p w14:paraId="58EBCC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二级指标</w:t>
            </w:r>
          </w:p>
        </w:tc>
        <w:tc>
          <w:tcPr>
            <w:tcW w:w="219" w:type="pct"/>
            <w:shd w:val="clear" w:color="auto" w:fill="FFFFFF"/>
            <w:noWrap/>
            <w:vAlign w:val="center"/>
          </w:tcPr>
          <w:p w14:paraId="4AF73DA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三级指标</w:t>
            </w:r>
          </w:p>
        </w:tc>
        <w:tc>
          <w:tcPr>
            <w:tcW w:w="445" w:type="pct"/>
            <w:shd w:val="clear" w:color="auto" w:fill="FFFFFF"/>
            <w:noWrap/>
            <w:vAlign w:val="center"/>
          </w:tcPr>
          <w:p w14:paraId="0842DDB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指标解释</w:t>
            </w:r>
          </w:p>
        </w:tc>
        <w:tc>
          <w:tcPr>
            <w:tcW w:w="1084" w:type="pct"/>
            <w:shd w:val="clear" w:color="auto" w:fill="FFFFFF"/>
            <w:noWrap/>
            <w:vAlign w:val="center"/>
          </w:tcPr>
          <w:p w14:paraId="2811B00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评分标准</w:t>
            </w:r>
          </w:p>
        </w:tc>
        <w:tc>
          <w:tcPr>
            <w:tcW w:w="238" w:type="pct"/>
            <w:shd w:val="clear" w:color="auto" w:fill="FFFFFF"/>
            <w:noWrap/>
            <w:vAlign w:val="center"/>
          </w:tcPr>
          <w:p w14:paraId="3C9D50F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4"/>
                <w:szCs w:val="24"/>
                <w:u w:val="none"/>
                <w:lang w:val="en-US" w:eastAsia="zh-CN" w:bidi="ar-SA"/>
              </w:rPr>
            </w:pPr>
            <w:r>
              <w:rPr>
                <w:rFonts w:hint="default" w:ascii="Times New Roman" w:hAnsi="Times New Roman" w:eastAsia="仿宋_GB2312" w:cs="Times New Roman"/>
                <w:b/>
                <w:bCs/>
                <w:i w:val="0"/>
                <w:iCs w:val="0"/>
                <w:color w:val="auto"/>
                <w:kern w:val="2"/>
                <w:sz w:val="24"/>
                <w:szCs w:val="24"/>
                <w:u w:val="none"/>
                <w:lang w:val="en-US" w:eastAsia="zh-CN" w:bidi="ar-SA"/>
              </w:rPr>
              <w:t>得分</w:t>
            </w:r>
          </w:p>
        </w:tc>
        <w:tc>
          <w:tcPr>
            <w:tcW w:w="1561" w:type="pct"/>
            <w:shd w:val="clear" w:color="auto" w:fill="FFFFFF"/>
            <w:noWrap/>
            <w:vAlign w:val="center"/>
          </w:tcPr>
          <w:p w14:paraId="44F3885D">
            <w:pPr>
              <w:keepNext w:val="0"/>
              <w:keepLines w:val="0"/>
              <w:pageBreakBefore w:val="0"/>
              <w:widowControl w:val="0"/>
              <w:suppressLineNumbers w:val="0"/>
              <w:kinsoku/>
              <w:wordWrap w:val="0"/>
              <w:overflowPunct/>
              <w:topLinePunct/>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依据</w:t>
            </w:r>
          </w:p>
        </w:tc>
        <w:tc>
          <w:tcPr>
            <w:tcW w:w="712" w:type="pct"/>
            <w:shd w:val="clear" w:color="auto" w:fill="FFFFFF"/>
            <w:noWrap/>
            <w:vAlign w:val="center"/>
          </w:tcPr>
          <w:p w14:paraId="1BF96D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依据来源</w:t>
            </w:r>
          </w:p>
        </w:tc>
        <w:tc>
          <w:tcPr>
            <w:tcW w:w="263" w:type="pct"/>
            <w:shd w:val="clear" w:color="auto" w:fill="FFFFFF"/>
            <w:noWrap/>
            <w:vAlign w:val="center"/>
          </w:tcPr>
          <w:p w14:paraId="398D70B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0"/>
                <w:sz w:val="24"/>
                <w:szCs w:val="24"/>
                <w:u w:val="none"/>
                <w:lang w:val="en-US" w:eastAsia="zh-CN" w:bidi="ar"/>
              </w:rPr>
            </w:pPr>
            <w:r>
              <w:rPr>
                <w:rFonts w:hint="default" w:ascii="Times New Roman" w:hAnsi="Times New Roman" w:eastAsia="仿宋_GB2312" w:cs="Times New Roman"/>
                <w:b/>
                <w:bCs/>
                <w:i w:val="0"/>
                <w:iCs w:val="0"/>
                <w:color w:val="auto"/>
                <w:kern w:val="0"/>
                <w:sz w:val="24"/>
                <w:szCs w:val="24"/>
                <w:u w:val="none"/>
                <w:lang w:val="en-US" w:eastAsia="zh-CN" w:bidi="ar"/>
              </w:rPr>
              <w:t>证据收集方式</w:t>
            </w:r>
          </w:p>
        </w:tc>
      </w:tr>
      <w:tr w14:paraId="33AD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50" w:hRule="atLeast"/>
        </w:trPr>
        <w:tc>
          <w:tcPr>
            <w:tcW w:w="237" w:type="pct"/>
            <w:vMerge w:val="restart"/>
            <w:shd w:val="clear" w:color="auto" w:fill="FFFFFF"/>
            <w:noWrap w:val="0"/>
            <w:vAlign w:val="center"/>
          </w:tcPr>
          <w:p w14:paraId="4DE4143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决策</w:t>
            </w:r>
          </w:p>
          <w:p w14:paraId="23B085D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(10)</w:t>
            </w:r>
          </w:p>
        </w:tc>
        <w:tc>
          <w:tcPr>
            <w:tcW w:w="235" w:type="pct"/>
            <w:vMerge w:val="restart"/>
            <w:shd w:val="clear" w:color="auto" w:fill="FFFFFF"/>
            <w:noWrap w:val="0"/>
            <w:vAlign w:val="center"/>
          </w:tcPr>
          <w:p w14:paraId="1B0B775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项目立项</w:t>
            </w:r>
          </w:p>
          <w:p w14:paraId="3F9B002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219" w:type="pct"/>
            <w:shd w:val="clear" w:color="auto" w:fill="FFFFFF"/>
            <w:noWrap w:val="0"/>
            <w:vAlign w:val="center"/>
          </w:tcPr>
          <w:p w14:paraId="49CEF47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立项依据充分性</w:t>
            </w:r>
          </w:p>
          <w:p w14:paraId="2DACF55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445" w:type="pct"/>
            <w:shd w:val="clear" w:color="auto" w:fill="FFFFFF"/>
            <w:noWrap w:val="0"/>
            <w:vAlign w:val="center"/>
          </w:tcPr>
          <w:p w14:paraId="44FCBFF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项目立项是否符合发展规划、相关政策以及部门职责，用以反映和考核项目立项依据情况。</w:t>
            </w:r>
          </w:p>
        </w:tc>
        <w:tc>
          <w:tcPr>
            <w:tcW w:w="1084" w:type="pct"/>
            <w:shd w:val="clear" w:color="auto" w:fill="FFFFFF"/>
            <w:noWrap w:val="0"/>
            <w:vAlign w:val="center"/>
          </w:tcPr>
          <w:p w14:paraId="45BC910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①项目立项符合荣成市国民经济和社会发展规划以及行业相关政策要求；</w:t>
            </w:r>
          </w:p>
          <w:p w14:paraId="4A30F92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②项目属于公共财政支持范围；</w:t>
            </w:r>
          </w:p>
          <w:p w14:paraId="5F340E5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③项目未与相关部门同类项目或部门内部相关项目重复；</w:t>
            </w:r>
          </w:p>
          <w:p w14:paraId="04B52FA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④立项与部门职责范围相符，属于部门履职所需；</w:t>
            </w:r>
          </w:p>
          <w:p w14:paraId="54485C9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⑤项目符合①—④项，得满分；发现一项不符合的，扣0.5分，本项指标扣完为止。</w:t>
            </w:r>
          </w:p>
        </w:tc>
        <w:tc>
          <w:tcPr>
            <w:tcW w:w="238" w:type="pct"/>
            <w:shd w:val="clear" w:color="auto" w:fill="FFFFFF"/>
            <w:noWrap w:val="0"/>
            <w:vAlign w:val="center"/>
          </w:tcPr>
          <w:p w14:paraId="7E110AF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2</w:t>
            </w:r>
          </w:p>
        </w:tc>
        <w:tc>
          <w:tcPr>
            <w:tcW w:w="1561" w:type="pct"/>
            <w:shd w:val="clear" w:color="auto" w:fill="FFFFFF"/>
            <w:noWrap w:val="0"/>
            <w:vAlign w:val="center"/>
          </w:tcPr>
          <w:p w14:paraId="65866C0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①项目立项符合荣成市国民经济和社会发展规划以及行业相关政策要求，具体如下：</w:t>
            </w:r>
          </w:p>
          <w:p w14:paraId="01A2F29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A．中共中央宣传部、财政部、文化部、国家文物局联合印发的《关于全国博物馆、纪念馆免费开放的通知》（中宣发〔2008〕2号），明确全国各级文化文物部门归口管理的公共博物馆、纪念馆，全国爱国主义教育示范基地全部免费开放，并要求各级财政部门应将博物馆、纪念馆免费开放相关经费纳入财政预算，切实予以保障。</w:t>
            </w:r>
          </w:p>
          <w:p w14:paraId="4D46799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B．《荣成博物馆机构职能编制规定》明确荣成博物馆挂荣成市郭永怀事迹陈列馆牌子，为市文化和旅游局所属正科级公益一类事业单位，属于免费开放博物馆范畴，经费来源由财政拨款。</w:t>
            </w:r>
          </w:p>
          <w:p w14:paraId="76290A8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C．《荣成市国民经济和社会发展第十四个五年规划和二〇三五年远景目标纲要》中“着力提升城市文化内涵”章节明确提出要将博物馆打造成为展示荣成历史文化和风土人情的窗口，用文物、老物件讲好“荣成故事”。丰富完善郭永怀事迹陈列馆，深入打造郭永怀事迹宣讲团和永怀讲堂两个社会教育品牌，本项目属于国民经济及发展规划明确的重点支持范畴。</w:t>
            </w:r>
          </w:p>
          <w:p w14:paraId="36EB68E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结合《荣成博物馆机构职能编制规定》，荣成博物馆属于免费开放博物馆范畴，经费来源由财政拨款，项目符合《中华人民共和国预算法》中“财政资金用于保障和改善民生、推动经济社会发展”的要求、属于公共财政支持范围。</w:t>
            </w:r>
          </w:p>
          <w:p w14:paraId="78D74E3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③根据《荣成博物馆机构职能编制规定》明确的荣成博物馆职责范围，各项职责内容未提及其他部门承担同类任务，且本项目为延续性项目，不存在项目重复的情况。</w:t>
            </w:r>
          </w:p>
          <w:p w14:paraId="6566AC5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荣成博物馆机构职能编制规定》明确由荣成博物馆负责“征集、收藏、展览文物和自然标本，开展对各类文物的发掘、研究、保护和利用工作；承担文物修复、复制以及文创产品的开发和应用工作；承担宣传教育、文化交流、社会培训、青少年研学等工作，传播历史、科学文化和党史知识，进行爱国主义教育；负责本单位管理的公共文化场所及举办的公益活动的安全工作；承担郭永怀事迹陈列教育工作；完成市文化和旅游局交办的其他任务”，项目立项与荣成博物馆部门职责范围相符，属于其部门履职所需。</w:t>
            </w:r>
          </w:p>
        </w:tc>
        <w:tc>
          <w:tcPr>
            <w:tcW w:w="712" w:type="pct"/>
            <w:shd w:val="clear" w:color="auto" w:fill="FFFFFF"/>
            <w:noWrap w:val="0"/>
            <w:vAlign w:val="center"/>
          </w:tcPr>
          <w:p w14:paraId="69E2907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①《关于全国博物馆、纪念馆免费开放的通知》（中宣发〔2008〕2号）；</w:t>
            </w:r>
          </w:p>
          <w:p w14:paraId="607C773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②《荣成博物馆机构职能编制规定》；</w:t>
            </w:r>
          </w:p>
          <w:p w14:paraId="4AA35BD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③《荣成市国民经济和社会发展第十四个五年规划和二〇三五年远景目标纲要》。</w:t>
            </w:r>
          </w:p>
        </w:tc>
        <w:tc>
          <w:tcPr>
            <w:tcW w:w="263" w:type="pct"/>
            <w:shd w:val="clear" w:color="auto" w:fill="FFFFFF"/>
            <w:noWrap w:val="0"/>
            <w:vAlign w:val="center"/>
          </w:tcPr>
          <w:p w14:paraId="26AAA33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7D28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71" w:hRule="atLeast"/>
        </w:trPr>
        <w:tc>
          <w:tcPr>
            <w:tcW w:w="237" w:type="pct"/>
            <w:vMerge w:val="continue"/>
            <w:shd w:val="clear" w:color="auto" w:fill="FFFFFF"/>
            <w:noWrap w:val="0"/>
            <w:vAlign w:val="center"/>
          </w:tcPr>
          <w:p w14:paraId="705F7D5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61DCEB3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FFFFFF"/>
            <w:noWrap w:val="0"/>
            <w:vAlign w:val="center"/>
          </w:tcPr>
          <w:p w14:paraId="32A1CB7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立项程序规范性</w:t>
            </w:r>
          </w:p>
          <w:p w14:paraId="0E1BEC2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445" w:type="pct"/>
            <w:shd w:val="clear" w:color="auto" w:fill="FFFFFF"/>
            <w:noWrap w:val="0"/>
            <w:vAlign w:val="center"/>
          </w:tcPr>
          <w:p w14:paraId="76AEC2D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项目申请、设立过程是否符合相关要求，用以反映和考核项目立项的规范情况。</w:t>
            </w:r>
          </w:p>
        </w:tc>
        <w:tc>
          <w:tcPr>
            <w:tcW w:w="1084" w:type="pct"/>
            <w:shd w:val="clear" w:color="auto" w:fill="FFFFFF"/>
            <w:noWrap w:val="0"/>
            <w:vAlign w:val="center"/>
          </w:tcPr>
          <w:p w14:paraId="57A0E9B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①项目事前已经过必要的集体决策；</w:t>
            </w:r>
          </w:p>
          <w:p w14:paraId="42D4B55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②按照规定程序申请设立，提交的申请材料符合要求；</w:t>
            </w:r>
          </w:p>
          <w:p w14:paraId="7E94508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③项目符合①</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②项，得满分；发现一项不符合的，扣0.5分，本项指标扣完为止。</w:t>
            </w:r>
          </w:p>
        </w:tc>
        <w:tc>
          <w:tcPr>
            <w:tcW w:w="238" w:type="pct"/>
            <w:shd w:val="clear" w:color="auto" w:fill="FFFFFF"/>
            <w:noWrap w:val="0"/>
            <w:vAlign w:val="center"/>
          </w:tcPr>
          <w:p w14:paraId="017428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1</w:t>
            </w:r>
          </w:p>
        </w:tc>
        <w:tc>
          <w:tcPr>
            <w:tcW w:w="1561" w:type="pct"/>
            <w:shd w:val="clear" w:color="auto" w:fill="FFFFFF"/>
            <w:noWrap w:val="0"/>
            <w:vAlign w:val="center"/>
          </w:tcPr>
          <w:p w14:paraId="5242F53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荣成博物馆自2000年5月建成、2001年12月正式开馆，按照荣成博物馆“三定”制度要求，负责场馆的保安保洁、基础设施维护、展馆建设、布展联系、冬季取暖等具体工作，项目运转产生的费用由财政承担。本项目为延续性项目，荣成博物馆负责具体工作，不再重复申请立项。</w:t>
            </w:r>
          </w:p>
          <w:p w14:paraId="0F76070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②项目实施过程中，针对电力维修、活动举办、教育基地搭建、费用支付等事项履行荣成博物馆“三重一大”审批流程，程序较为规范，重点工作事项经过集体决策。</w:t>
            </w:r>
          </w:p>
        </w:tc>
        <w:tc>
          <w:tcPr>
            <w:tcW w:w="712" w:type="pct"/>
            <w:shd w:val="clear" w:color="auto" w:fill="FFFFFF"/>
            <w:noWrap w:val="0"/>
            <w:vAlign w:val="center"/>
          </w:tcPr>
          <w:p w14:paraId="130ACB66">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①《荣成博物馆机构职能编制规定》；</w:t>
            </w:r>
          </w:p>
          <w:p w14:paraId="6E3AB14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②《“三重一大”事项报告表》。</w:t>
            </w:r>
          </w:p>
        </w:tc>
        <w:tc>
          <w:tcPr>
            <w:tcW w:w="263" w:type="pct"/>
            <w:shd w:val="clear" w:color="auto" w:fill="FFFFFF"/>
            <w:noWrap w:val="0"/>
            <w:vAlign w:val="center"/>
          </w:tcPr>
          <w:p w14:paraId="770C12F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7250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36" w:hRule="atLeast"/>
        </w:trPr>
        <w:tc>
          <w:tcPr>
            <w:tcW w:w="237" w:type="pct"/>
            <w:vMerge w:val="continue"/>
            <w:shd w:val="clear" w:color="auto" w:fill="FFFFFF"/>
            <w:noWrap w:val="0"/>
            <w:vAlign w:val="center"/>
          </w:tcPr>
          <w:p w14:paraId="1E3C74E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restart"/>
            <w:shd w:val="clear" w:color="auto" w:fill="FFFFFF"/>
            <w:noWrap w:val="0"/>
            <w:vAlign w:val="center"/>
          </w:tcPr>
          <w:p w14:paraId="7D454EE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绩效目标</w:t>
            </w:r>
          </w:p>
          <w:p w14:paraId="4BF3845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219" w:type="pct"/>
            <w:shd w:val="clear" w:color="auto" w:fill="FFFFFF"/>
            <w:noWrap w:val="0"/>
            <w:vAlign w:val="center"/>
          </w:tcPr>
          <w:p w14:paraId="2B6D95F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绩效目标合理性</w:t>
            </w:r>
          </w:p>
          <w:p w14:paraId="4CB0005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445" w:type="pct"/>
            <w:shd w:val="clear" w:color="auto" w:fill="FFFFFF"/>
            <w:noWrap w:val="0"/>
            <w:vAlign w:val="center"/>
          </w:tcPr>
          <w:p w14:paraId="253919E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项目所设定的绩效目标是否与项目实施相符。</w:t>
            </w:r>
          </w:p>
        </w:tc>
        <w:tc>
          <w:tcPr>
            <w:tcW w:w="1084" w:type="pct"/>
            <w:tcBorders>
              <w:bottom w:val="single" w:color="auto" w:sz="4" w:space="0"/>
            </w:tcBorders>
            <w:shd w:val="clear" w:color="auto" w:fill="FFFFFF"/>
            <w:noWrap w:val="0"/>
            <w:vAlign w:val="center"/>
          </w:tcPr>
          <w:p w14:paraId="66E5E6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①项目各年度均设定了绩效目标，发现1次及以上未设定绩效目标的，扣除“绩效目标”指标全部分数；</w:t>
            </w:r>
          </w:p>
          <w:p w14:paraId="5324CB1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②目标与项目工作内容具有较高相关性得1分，相关性较差得0.5分、无相关性得0分；</w:t>
            </w:r>
          </w:p>
          <w:p w14:paraId="3A15DCE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③绩效目标内容完善、切实可行，得1分，每发现一项目标内容不完善的，扣0.5分，至多扣1分。</w:t>
            </w:r>
          </w:p>
        </w:tc>
        <w:tc>
          <w:tcPr>
            <w:tcW w:w="238" w:type="pct"/>
            <w:tcBorders>
              <w:bottom w:val="single" w:color="auto" w:sz="4" w:space="0"/>
            </w:tcBorders>
            <w:shd w:val="clear" w:color="auto" w:fill="FFFFFF"/>
            <w:noWrap w:val="0"/>
            <w:vAlign w:val="center"/>
          </w:tcPr>
          <w:p w14:paraId="458BFFF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1.5</w:t>
            </w:r>
          </w:p>
        </w:tc>
        <w:tc>
          <w:tcPr>
            <w:tcW w:w="1561" w:type="pct"/>
            <w:tcBorders>
              <w:bottom w:val="single" w:color="auto" w:sz="4" w:space="0"/>
            </w:tcBorders>
            <w:shd w:val="clear" w:color="auto" w:fill="FFFFFF"/>
            <w:noWrap w:val="0"/>
            <w:vAlign w:val="center"/>
          </w:tcPr>
          <w:p w14:paraId="53D4F17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对2022、2023及2024年度的《项目支出绩效目标表》进行核查：</w:t>
            </w:r>
          </w:p>
          <w:p w14:paraId="1851A93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①项目各年度均设定了年度绩效目标。</w:t>
            </w:r>
          </w:p>
          <w:p w14:paraId="42F0BF5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②各年度绩效目标与荣成博物馆职责范畴内的保安保洁、基础设施维护、展馆建设、布展联系、冬季取暖等具体运营事项高度相关，本项得1分。</w:t>
            </w:r>
          </w:p>
          <w:p w14:paraId="577C41A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③2023、2024年度绩效目标较为完善，设定目标切实可行，但是存在2022年度绩效目标内容不完善、仅对年度涉及的工作事项进行了陈列，本项扣0.5分。</w:t>
            </w:r>
          </w:p>
        </w:tc>
        <w:tc>
          <w:tcPr>
            <w:tcW w:w="712" w:type="pct"/>
            <w:tcBorders>
              <w:bottom w:val="single" w:color="auto" w:sz="4" w:space="0"/>
            </w:tcBorders>
            <w:shd w:val="clear" w:color="auto" w:fill="FFFFFF"/>
            <w:noWrap w:val="0"/>
            <w:vAlign w:val="center"/>
          </w:tcPr>
          <w:p w14:paraId="5A1A4B8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《项目支出绩效目标表》</w:t>
            </w:r>
          </w:p>
        </w:tc>
        <w:tc>
          <w:tcPr>
            <w:tcW w:w="263" w:type="pct"/>
            <w:tcBorders>
              <w:bottom w:val="single" w:color="auto" w:sz="4" w:space="0"/>
            </w:tcBorders>
            <w:shd w:val="clear" w:color="auto" w:fill="FFFFFF"/>
            <w:noWrap w:val="0"/>
            <w:vAlign w:val="center"/>
          </w:tcPr>
          <w:p w14:paraId="18005FF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49E5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838" w:hRule="atLeast"/>
        </w:trPr>
        <w:tc>
          <w:tcPr>
            <w:tcW w:w="237" w:type="pct"/>
            <w:vMerge w:val="continue"/>
            <w:shd w:val="clear" w:color="auto" w:fill="FFFFFF"/>
            <w:noWrap w:val="0"/>
            <w:vAlign w:val="center"/>
          </w:tcPr>
          <w:p w14:paraId="799DED5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534B04A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FFFFFF"/>
            <w:noWrap w:val="0"/>
            <w:vAlign w:val="center"/>
          </w:tcPr>
          <w:p w14:paraId="4048303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绩效指标明确性</w:t>
            </w:r>
          </w:p>
          <w:p w14:paraId="3720090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445" w:type="pct"/>
            <w:tcBorders>
              <w:right w:val="single" w:color="auto" w:sz="4" w:space="0"/>
            </w:tcBorders>
            <w:shd w:val="clear" w:color="auto" w:fill="auto"/>
            <w:noWrap w:val="0"/>
            <w:vAlign w:val="center"/>
          </w:tcPr>
          <w:p w14:paraId="4B9F7AF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依据绩效目标设定的绩效指标是否清晰、细化、可衡量等，用以反映和考核项目绩效目标的细化情况。</w:t>
            </w:r>
          </w:p>
        </w:tc>
        <w:tc>
          <w:tcPr>
            <w:tcW w:w="1084" w:type="pct"/>
            <w:tcBorders>
              <w:top w:val="single" w:color="auto" w:sz="4" w:space="0"/>
              <w:left w:val="single" w:color="auto" w:sz="4" w:space="0"/>
              <w:bottom w:val="single" w:color="auto" w:sz="4" w:space="0"/>
              <w:right w:val="single" w:color="auto" w:sz="4" w:space="0"/>
              <w:tl2br w:val="nil"/>
            </w:tcBorders>
            <w:shd w:val="clear" w:color="auto" w:fill="auto"/>
            <w:noWrap w:val="0"/>
            <w:vAlign w:val="center"/>
          </w:tcPr>
          <w:p w14:paraId="0D8BB38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①项目各年度绩效目标均细化分解为具体的绩效指标，有清晰、可衡量的指标值；</w:t>
            </w:r>
          </w:p>
          <w:p w14:paraId="0ABEFB3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②绩效指标值与项目目标任务数或计划数相对应；</w:t>
            </w:r>
          </w:p>
          <w:p w14:paraId="48AB73D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③项目符合①</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i w:val="0"/>
                <w:iCs w:val="0"/>
                <w:color w:val="auto"/>
                <w:kern w:val="0"/>
                <w:sz w:val="24"/>
                <w:szCs w:val="24"/>
                <w:u w:val="none"/>
                <w:lang w:val="en-US" w:eastAsia="zh-CN" w:bidi="ar"/>
              </w:rPr>
              <w:t>②项，得满分；发现一项不符合的，扣0.5分，本项指标扣完为止。</w:t>
            </w:r>
          </w:p>
        </w:tc>
        <w:tc>
          <w:tcPr>
            <w:tcW w:w="238" w:type="pct"/>
            <w:tcBorders>
              <w:top w:val="single" w:color="auto" w:sz="4" w:space="0"/>
              <w:left w:val="single" w:color="auto" w:sz="4" w:space="0"/>
              <w:bottom w:val="single" w:color="auto" w:sz="4" w:space="0"/>
              <w:right w:val="single" w:color="auto" w:sz="4" w:space="0"/>
              <w:tl2br w:val="nil"/>
            </w:tcBorders>
            <w:shd w:val="clear" w:color="auto" w:fill="FFFFFF"/>
            <w:noWrap w:val="0"/>
            <w:vAlign w:val="center"/>
          </w:tcPr>
          <w:p w14:paraId="7639610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561" w:type="pct"/>
            <w:tcBorders>
              <w:top w:val="single" w:color="auto" w:sz="4" w:space="0"/>
              <w:left w:val="single" w:color="auto" w:sz="4" w:space="0"/>
              <w:bottom w:val="single" w:color="auto" w:sz="4" w:space="0"/>
              <w:right w:val="single" w:color="auto" w:sz="4" w:space="0"/>
              <w:tl2br w:val="nil"/>
            </w:tcBorders>
            <w:shd w:val="clear" w:color="auto" w:fill="auto"/>
            <w:noWrap w:val="0"/>
            <w:vAlign w:val="center"/>
          </w:tcPr>
          <w:p w14:paraId="31B98B4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对2022、2023及2024年度的《项目支出绩效目标表》进行核查：</w:t>
            </w:r>
          </w:p>
          <w:p w14:paraId="52637AA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本项目2023、2024年度对总体绩效目标进行了细化，针对保安保洁、基础设施维护、展馆建设、布展联系、冬季取暖等工作内容从经济成本、产出数量、产出质量、产出成本、社会效益、可持续影响、满意度等方面详细设定，各项指标内容清晰，评价标准量化、可衡量。但2022年度成本指标中未设置单项费用目标，无法衡量单项费用支出是否合理，本项扣1分。</w:t>
            </w:r>
          </w:p>
          <w:p w14:paraId="34A7E0D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②项目各年度绩效指标内容与项目绩效目标内容一致，经济指标与预算目标一致，服务内容与标准设定合理。</w:t>
            </w:r>
          </w:p>
        </w:tc>
        <w:tc>
          <w:tcPr>
            <w:tcW w:w="712" w:type="pct"/>
            <w:tcBorders>
              <w:top w:val="single" w:color="auto" w:sz="4" w:space="0"/>
              <w:left w:val="single" w:color="auto" w:sz="4" w:space="0"/>
              <w:bottom w:val="single" w:color="auto" w:sz="4" w:space="0"/>
              <w:right w:val="single" w:color="auto" w:sz="4" w:space="0"/>
              <w:tl2br w:val="nil"/>
            </w:tcBorders>
            <w:shd w:val="clear" w:color="auto" w:fill="auto"/>
            <w:noWrap w:val="0"/>
            <w:vAlign w:val="center"/>
          </w:tcPr>
          <w:p w14:paraId="25B561C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《项目支出绩效目标表》</w:t>
            </w:r>
          </w:p>
        </w:tc>
        <w:tc>
          <w:tcPr>
            <w:tcW w:w="263" w:type="pct"/>
            <w:tcBorders>
              <w:top w:val="single" w:color="auto" w:sz="4" w:space="0"/>
              <w:left w:val="single" w:color="auto" w:sz="4" w:space="0"/>
              <w:bottom w:val="single" w:color="auto" w:sz="4" w:space="0"/>
              <w:right w:val="single" w:color="auto" w:sz="4" w:space="0"/>
              <w:tl2br w:val="nil"/>
            </w:tcBorders>
            <w:shd w:val="clear" w:color="auto" w:fill="auto"/>
            <w:noWrap w:val="0"/>
            <w:vAlign w:val="center"/>
          </w:tcPr>
          <w:p w14:paraId="271D8B2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50EB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19" w:hRule="atLeast"/>
        </w:trPr>
        <w:tc>
          <w:tcPr>
            <w:tcW w:w="237" w:type="pct"/>
            <w:vMerge w:val="continue"/>
            <w:shd w:val="clear" w:color="auto" w:fill="FFFFFF"/>
            <w:noWrap w:val="0"/>
            <w:vAlign w:val="center"/>
          </w:tcPr>
          <w:p w14:paraId="16BE671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shd w:val="clear" w:color="auto" w:fill="FFFFFF"/>
            <w:noWrap w:val="0"/>
            <w:vAlign w:val="center"/>
          </w:tcPr>
          <w:p w14:paraId="617CC78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预算编制</w:t>
            </w:r>
          </w:p>
          <w:p w14:paraId="2E8CA31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219" w:type="pct"/>
            <w:shd w:val="clear" w:color="auto" w:fill="FFFFFF"/>
            <w:noWrap w:val="0"/>
            <w:vAlign w:val="center"/>
          </w:tcPr>
          <w:p w14:paraId="06985BC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预算编制科学性</w:t>
            </w:r>
          </w:p>
          <w:p w14:paraId="321F9E9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445" w:type="pct"/>
            <w:tcBorders>
              <w:right w:val="single" w:color="auto" w:sz="4" w:space="0"/>
            </w:tcBorders>
            <w:shd w:val="clear" w:color="auto" w:fill="auto"/>
            <w:noWrap w:val="0"/>
            <w:vAlign w:val="center"/>
          </w:tcPr>
          <w:p w14:paraId="29125DA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bidi="ar"/>
              </w:rPr>
              <w:t>项目预算编制依据是否充分，是否经过科学论证，用以反映预算编制的准确性。</w:t>
            </w:r>
          </w:p>
        </w:tc>
        <w:tc>
          <w:tcPr>
            <w:tcW w:w="10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9A2EE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①项目各年度预算额度均按照标准编制，经过科学论证、民主决策，得2分。</w:t>
            </w:r>
          </w:p>
          <w:p w14:paraId="7E1A280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②预算内容与项目内容（保安保洁费、基础设施维护费等费用）匹配，得2分；</w:t>
            </w:r>
          </w:p>
          <w:p w14:paraId="735755C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本指标每发现一项不符合，扣0.5分，本项指标至多扣2分。</w:t>
            </w:r>
          </w:p>
        </w:tc>
        <w:tc>
          <w:tcPr>
            <w:tcW w:w="23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B6522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4</w:t>
            </w:r>
          </w:p>
        </w:tc>
        <w:tc>
          <w:tcPr>
            <w:tcW w:w="15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A118E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结合《荣成博物馆财务管理制度汇编》，明确专项支出预算的编制应紧密结合单位当年主要职责任务、工作目标及事业发展设想，按照从严从紧、区别轻重缓急，急事优先的原则按序安排支出事项，本项目参照历史运营数据申报预算，</w:t>
            </w:r>
            <w:r>
              <w:rPr>
                <w:rFonts w:hint="eastAsia" w:ascii="Times New Roman" w:hAnsi="Times New Roman" w:eastAsia="仿宋_GB2312" w:cs="Times New Roman"/>
                <w:sz w:val="24"/>
                <w:szCs w:val="24"/>
                <w:lang w:val="en-US" w:eastAsia="zh-CN"/>
              </w:rPr>
              <w:t>在文旅局统一履行民主决策流程，预算额度编制较为科学、客观。</w:t>
            </w:r>
          </w:p>
          <w:p w14:paraId="0FB6D2D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②对《年度资金指标表》进行评价，预算内容与项目内容高度匹配，符合指标要求。</w:t>
            </w:r>
          </w:p>
        </w:tc>
        <w:tc>
          <w:tcPr>
            <w:tcW w:w="7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3144D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①《荣成博物馆财务管理制度汇编》；</w:t>
            </w:r>
          </w:p>
          <w:p w14:paraId="5F8F010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②《年度资金指标表》。</w:t>
            </w:r>
          </w:p>
        </w:tc>
        <w:tc>
          <w:tcPr>
            <w:tcW w:w="2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9E111C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35DB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11" w:hRule="atLeast"/>
        </w:trPr>
        <w:tc>
          <w:tcPr>
            <w:tcW w:w="237" w:type="pct"/>
            <w:vMerge w:val="restart"/>
            <w:shd w:val="clear" w:color="auto" w:fill="FFFFFF"/>
            <w:noWrap w:val="0"/>
            <w:vAlign w:val="center"/>
          </w:tcPr>
          <w:p w14:paraId="16DB540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过程</w:t>
            </w:r>
          </w:p>
          <w:p w14:paraId="6BB3890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(30)</w:t>
            </w:r>
          </w:p>
        </w:tc>
        <w:tc>
          <w:tcPr>
            <w:tcW w:w="235" w:type="pct"/>
            <w:vMerge w:val="restart"/>
            <w:shd w:val="clear" w:color="auto" w:fill="FFFFFF"/>
            <w:noWrap w:val="0"/>
            <w:vAlign w:val="center"/>
          </w:tcPr>
          <w:p w14:paraId="779DF71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资金管理</w:t>
            </w:r>
          </w:p>
          <w:p w14:paraId="16C3B30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(8)</w:t>
            </w:r>
          </w:p>
        </w:tc>
        <w:tc>
          <w:tcPr>
            <w:tcW w:w="219" w:type="pct"/>
            <w:shd w:val="clear" w:color="auto" w:fill="auto"/>
            <w:noWrap w:val="0"/>
            <w:vAlign w:val="center"/>
          </w:tcPr>
          <w:p w14:paraId="14E072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资金到位率</w:t>
            </w:r>
          </w:p>
          <w:p w14:paraId="4DB2C2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445" w:type="pct"/>
            <w:shd w:val="clear" w:color="auto" w:fill="auto"/>
            <w:noWrap w:val="0"/>
            <w:vAlign w:val="center"/>
          </w:tcPr>
          <w:p w14:paraId="5944B1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实际到位资金与预算批复资金的比率，用以反映和考核资金落实情况对项目实施的总体保障程度。</w:t>
            </w:r>
          </w:p>
        </w:tc>
        <w:tc>
          <w:tcPr>
            <w:tcW w:w="1084" w:type="pct"/>
            <w:tcBorders>
              <w:top w:val="single" w:color="auto" w:sz="4" w:space="0"/>
            </w:tcBorders>
            <w:shd w:val="clear" w:color="auto" w:fill="auto"/>
            <w:noWrap w:val="0"/>
            <w:vAlign w:val="center"/>
          </w:tcPr>
          <w:p w14:paraId="734A03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①年度平均预算资金到位率均为100%，得满分；</w:t>
            </w:r>
          </w:p>
          <w:p w14:paraId="55C8B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②存在一年预算资金到位率不足100%的，扣1分，本项指标扣完为止。</w:t>
            </w:r>
          </w:p>
          <w:p w14:paraId="6EE14F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注：预算资金到位率＝当年实际到位资金/当年预算批复资金×100%。</w:t>
            </w:r>
          </w:p>
        </w:tc>
        <w:tc>
          <w:tcPr>
            <w:tcW w:w="238" w:type="pct"/>
            <w:tcBorders>
              <w:top w:val="single" w:color="auto" w:sz="4" w:space="0"/>
            </w:tcBorders>
            <w:shd w:val="clear" w:color="auto" w:fill="auto"/>
            <w:noWrap w:val="0"/>
            <w:vAlign w:val="center"/>
          </w:tcPr>
          <w:p w14:paraId="3F6642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0</w:t>
            </w:r>
          </w:p>
        </w:tc>
        <w:tc>
          <w:tcPr>
            <w:tcW w:w="1561" w:type="pct"/>
            <w:tcBorders>
              <w:top w:val="single" w:color="auto" w:sz="4" w:space="0"/>
            </w:tcBorders>
            <w:shd w:val="clear" w:color="auto" w:fill="auto"/>
            <w:noWrap w:val="0"/>
            <w:vAlign w:val="center"/>
          </w:tcPr>
          <w:p w14:paraId="59675FF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据统计：</w:t>
            </w:r>
          </w:p>
          <w:p w14:paraId="3168F8D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2022年度预算批复金额252万元、到位资金138.8万元，预算资金到位率55.08%；</w:t>
            </w:r>
          </w:p>
          <w:p w14:paraId="2CD29A1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2023年度预算批复金额272万元、到位资金55.12万元，预算资金到位率20.26%；</w:t>
            </w:r>
          </w:p>
          <w:p w14:paraId="2149E7D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2024年度预算批复金额254万元、到位资金25.34万元，预算资金到位率9.98%。</w:t>
            </w:r>
          </w:p>
          <w:p w14:paraId="3B9D561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故项目2022—2024年各年度均存在资金到位率小于100%的情形，本指标扣3分。</w:t>
            </w:r>
          </w:p>
        </w:tc>
        <w:tc>
          <w:tcPr>
            <w:tcW w:w="712" w:type="pct"/>
            <w:tcBorders>
              <w:top w:val="single" w:color="auto" w:sz="4" w:space="0"/>
            </w:tcBorders>
            <w:shd w:val="clear" w:color="auto" w:fill="auto"/>
            <w:noWrap w:val="0"/>
            <w:vAlign w:val="center"/>
          </w:tcPr>
          <w:p w14:paraId="4C37CFB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①《项目支出绩效目标表》；</w:t>
            </w:r>
          </w:p>
          <w:p w14:paraId="4EBB922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②《博物馆运转经费支出明细表》。</w:t>
            </w:r>
          </w:p>
        </w:tc>
        <w:tc>
          <w:tcPr>
            <w:tcW w:w="263" w:type="pct"/>
            <w:tcBorders>
              <w:top w:val="single" w:color="auto" w:sz="4" w:space="0"/>
            </w:tcBorders>
            <w:shd w:val="clear" w:color="auto" w:fill="auto"/>
            <w:noWrap w:val="0"/>
            <w:vAlign w:val="center"/>
          </w:tcPr>
          <w:p w14:paraId="606A1C7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5DA1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3" w:hRule="atLeast"/>
        </w:trPr>
        <w:tc>
          <w:tcPr>
            <w:tcW w:w="237" w:type="pct"/>
            <w:vMerge w:val="continue"/>
            <w:shd w:val="clear" w:color="auto" w:fill="FFFFFF"/>
            <w:noWrap w:val="0"/>
            <w:vAlign w:val="center"/>
          </w:tcPr>
          <w:p w14:paraId="1B386D5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235" w:type="pct"/>
            <w:vMerge w:val="continue"/>
            <w:shd w:val="clear" w:color="auto" w:fill="FFFFFF"/>
            <w:noWrap w:val="0"/>
            <w:vAlign w:val="center"/>
          </w:tcPr>
          <w:p w14:paraId="7E56BEB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p>
        </w:tc>
        <w:tc>
          <w:tcPr>
            <w:tcW w:w="219" w:type="pct"/>
            <w:shd w:val="clear" w:color="auto" w:fill="FFFFFF"/>
            <w:noWrap w:val="0"/>
            <w:vAlign w:val="center"/>
          </w:tcPr>
          <w:p w14:paraId="5BE9EE8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资金执行率</w:t>
            </w:r>
          </w:p>
          <w:p w14:paraId="75E409F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445" w:type="pct"/>
            <w:shd w:val="clear" w:color="auto" w:fill="FFFFFF"/>
            <w:noWrap w:val="0"/>
            <w:vAlign w:val="center"/>
          </w:tcPr>
          <w:p w14:paraId="74E0390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项目预算资金是否按照计划执行，用以反映或考核项目预算执行情况。</w:t>
            </w:r>
          </w:p>
        </w:tc>
        <w:tc>
          <w:tcPr>
            <w:tcW w:w="1084" w:type="pct"/>
            <w:tcBorders>
              <w:top w:val="single" w:color="auto" w:sz="4" w:space="0"/>
            </w:tcBorders>
            <w:shd w:val="clear" w:color="auto" w:fill="FFFFFF"/>
            <w:noWrap w:val="0"/>
            <w:vAlign w:val="center"/>
          </w:tcPr>
          <w:p w14:paraId="2CEDFEC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①年度预算执行率均达到100%，得满分；</w:t>
            </w:r>
          </w:p>
          <w:p w14:paraId="729626D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②存在一年预算执行率不足100%的，扣1分，本项指标扣完为止。</w:t>
            </w:r>
          </w:p>
          <w:p w14:paraId="17AC228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注：预算执行率＝当年实际支出资金/当年实际到位资金×100%。</w:t>
            </w:r>
          </w:p>
        </w:tc>
        <w:tc>
          <w:tcPr>
            <w:tcW w:w="238" w:type="pct"/>
            <w:tcBorders>
              <w:top w:val="single" w:color="auto" w:sz="4" w:space="0"/>
            </w:tcBorders>
            <w:shd w:val="clear" w:color="auto" w:fill="FFFFFF"/>
            <w:noWrap w:val="0"/>
            <w:vAlign w:val="center"/>
          </w:tcPr>
          <w:p w14:paraId="1888C32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3</w:t>
            </w:r>
          </w:p>
        </w:tc>
        <w:tc>
          <w:tcPr>
            <w:tcW w:w="1561" w:type="pct"/>
            <w:tcBorders>
              <w:top w:val="single" w:color="auto" w:sz="4" w:space="0"/>
            </w:tcBorders>
            <w:shd w:val="clear" w:color="auto" w:fill="FFFFFF"/>
            <w:noWrap w:val="0"/>
            <w:vAlign w:val="center"/>
          </w:tcPr>
          <w:p w14:paraId="1F1BFA86">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本项目各年度预算执行率均为100%，满足指标要求。具体如下：</w:t>
            </w:r>
          </w:p>
          <w:p w14:paraId="5C1F738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2022年度实际到位资金138.8万元、实际支出资金138.8万元，预算执行率100%；</w:t>
            </w:r>
          </w:p>
          <w:p w14:paraId="353434E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2023年度实际到位资金55.12万元、实际支出资金55.12万元，预算执行率100%；</w:t>
            </w:r>
          </w:p>
          <w:p w14:paraId="2C88572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2024年度实际到位资金25.34万元、实际支出资金25.34万元，预算执行率100%。</w:t>
            </w:r>
          </w:p>
        </w:tc>
        <w:tc>
          <w:tcPr>
            <w:tcW w:w="712" w:type="pct"/>
            <w:tcBorders>
              <w:top w:val="single" w:color="auto" w:sz="4" w:space="0"/>
            </w:tcBorders>
            <w:shd w:val="clear" w:color="auto" w:fill="FFFFFF"/>
            <w:noWrap w:val="0"/>
            <w:vAlign w:val="center"/>
          </w:tcPr>
          <w:p w14:paraId="3A36ED0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《博物馆运转经费支出明细表》</w:t>
            </w:r>
          </w:p>
        </w:tc>
        <w:tc>
          <w:tcPr>
            <w:tcW w:w="263" w:type="pct"/>
            <w:tcBorders>
              <w:top w:val="single" w:color="auto" w:sz="4" w:space="0"/>
            </w:tcBorders>
            <w:shd w:val="clear" w:color="auto" w:fill="FFFFFF"/>
            <w:noWrap w:val="0"/>
            <w:vAlign w:val="center"/>
          </w:tcPr>
          <w:p w14:paraId="3A97542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591A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398" w:hRule="atLeast"/>
        </w:trPr>
        <w:tc>
          <w:tcPr>
            <w:tcW w:w="237" w:type="pct"/>
            <w:vMerge w:val="continue"/>
            <w:shd w:val="clear" w:color="auto" w:fill="FFFFFF"/>
            <w:noWrap w:val="0"/>
            <w:vAlign w:val="center"/>
          </w:tcPr>
          <w:p w14:paraId="711298E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2BD89CD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FFFFFF"/>
            <w:noWrap w:val="0"/>
            <w:vAlign w:val="center"/>
          </w:tcPr>
          <w:p w14:paraId="18E6041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资金使用合规性</w:t>
            </w:r>
          </w:p>
          <w:p w14:paraId="3E82F78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445" w:type="pct"/>
            <w:shd w:val="clear" w:color="auto" w:fill="FFFFFF"/>
            <w:noWrap w:val="0"/>
            <w:vAlign w:val="center"/>
          </w:tcPr>
          <w:p w14:paraId="48C4171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项目资金使用是否符合相关的财务管理制度规定，用以反映和考核项目资金的规范运行情况。</w:t>
            </w:r>
          </w:p>
        </w:tc>
        <w:tc>
          <w:tcPr>
            <w:tcW w:w="1084" w:type="pct"/>
            <w:shd w:val="clear" w:color="auto" w:fill="FFFFFF"/>
            <w:noWrap w:val="0"/>
            <w:vAlign w:val="center"/>
          </w:tcPr>
          <w:p w14:paraId="397725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①项目资金使用符合国家财经法规和财务管理制度以及有关专项资金管理办法的规定；</w:t>
            </w:r>
          </w:p>
          <w:p w14:paraId="5096D30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②资金使用符合项目预算批复或政策规定的用途，不存在截留、挤占、挪用、虚列支出等情况；</w:t>
            </w:r>
          </w:p>
          <w:p w14:paraId="145D5DD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③项目符合①—②项，得满分，发现一项不符合的，扣1分。</w:t>
            </w:r>
          </w:p>
        </w:tc>
        <w:tc>
          <w:tcPr>
            <w:tcW w:w="238" w:type="pct"/>
            <w:shd w:val="clear" w:color="auto" w:fill="FFFFFF"/>
            <w:noWrap w:val="0"/>
            <w:vAlign w:val="center"/>
          </w:tcPr>
          <w:p w14:paraId="613EE09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2</w:t>
            </w:r>
          </w:p>
        </w:tc>
        <w:tc>
          <w:tcPr>
            <w:tcW w:w="1561" w:type="pct"/>
            <w:shd w:val="clear" w:color="auto" w:fill="FFFFFF"/>
            <w:noWrap w:val="0"/>
            <w:vAlign w:val="center"/>
          </w:tcPr>
          <w:p w14:paraId="5180A93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经核查，项目严格按照荣成博物馆财务管理制度相关执行，资金使用较为规范，符合指标考核要求。具体如下：</w:t>
            </w:r>
          </w:p>
          <w:p w14:paraId="6893757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①荣成博物馆财务管理制度对会计核算、岗位管理、预算管理、收入管理、专项资金使用管理等进行了明确约定，本次考核未发现违反资金管理办法的情形。</w:t>
            </w:r>
          </w:p>
          <w:p w14:paraId="48ECA55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②本项目2022—2024年度内累计拨付专项资金219.26万元；</w:t>
            </w:r>
          </w:p>
          <w:p w14:paraId="3B80E8F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③经核查财务明细账，</w:t>
            </w:r>
            <w:r>
              <w:rPr>
                <w:rFonts w:hint="eastAsia" w:ascii="Times New Roman" w:hAnsi="Times New Roman" w:eastAsia="仿宋_GB2312" w:cs="Times New Roman"/>
                <w:sz w:val="24"/>
                <w:szCs w:val="24"/>
                <w:lang w:val="en-US" w:eastAsia="zh-CN"/>
              </w:rPr>
              <w:t>暂未发现截留、挤占、挪用、虚列支出等情况。</w:t>
            </w:r>
          </w:p>
        </w:tc>
        <w:tc>
          <w:tcPr>
            <w:tcW w:w="712" w:type="pct"/>
            <w:shd w:val="clear" w:color="auto" w:fill="FFFFFF"/>
            <w:noWrap w:val="0"/>
            <w:vAlign w:val="center"/>
          </w:tcPr>
          <w:p w14:paraId="612E448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①《财务管理制度汇编》；</w:t>
            </w:r>
          </w:p>
          <w:p w14:paraId="63BBC2A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②《博物馆运转经费支出明细表》。</w:t>
            </w:r>
          </w:p>
          <w:p w14:paraId="18EA1C6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p>
        </w:tc>
        <w:tc>
          <w:tcPr>
            <w:tcW w:w="263" w:type="pct"/>
            <w:shd w:val="clear" w:color="auto" w:fill="FFFFFF"/>
            <w:noWrap w:val="0"/>
            <w:vAlign w:val="center"/>
          </w:tcPr>
          <w:p w14:paraId="20DAF0A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3B1A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01" w:hRule="atLeast"/>
        </w:trPr>
        <w:tc>
          <w:tcPr>
            <w:tcW w:w="237" w:type="pct"/>
            <w:vMerge w:val="continue"/>
            <w:shd w:val="clear" w:color="auto" w:fill="FFFFFF"/>
            <w:noWrap w:val="0"/>
            <w:vAlign w:val="center"/>
          </w:tcPr>
          <w:p w14:paraId="5B45D0E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restart"/>
            <w:shd w:val="clear" w:color="auto" w:fill="FFFFFF"/>
            <w:noWrap w:val="0"/>
            <w:vAlign w:val="center"/>
          </w:tcPr>
          <w:p w14:paraId="2139939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i w:val="0"/>
                <w:iCs w:val="0"/>
                <w:color w:val="auto"/>
                <w:sz w:val="24"/>
                <w:szCs w:val="24"/>
                <w:u w:val="none"/>
                <w:lang w:val="en-US" w:eastAsia="zh-CN"/>
              </w:rPr>
            </w:pPr>
            <w:r>
              <w:rPr>
                <w:rFonts w:hint="default" w:ascii="Times New Roman" w:hAnsi="Times New Roman" w:eastAsia="仿宋_GB2312" w:cs="Times New Roman"/>
                <w:i w:val="0"/>
                <w:iCs w:val="0"/>
                <w:color w:val="auto"/>
                <w:sz w:val="24"/>
                <w:szCs w:val="24"/>
                <w:u w:val="none"/>
                <w:lang w:val="en-US" w:eastAsia="zh-CN"/>
              </w:rPr>
              <w:t>采购管理</w:t>
            </w:r>
          </w:p>
          <w:p w14:paraId="716FD43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lang w:val="en-US" w:eastAsia="zh-CN"/>
              </w:rPr>
              <w:t>(2)</w:t>
            </w:r>
          </w:p>
        </w:tc>
        <w:tc>
          <w:tcPr>
            <w:tcW w:w="219" w:type="pct"/>
            <w:shd w:val="clear" w:color="auto" w:fill="auto"/>
            <w:noWrap w:val="0"/>
            <w:vAlign w:val="center"/>
          </w:tcPr>
          <w:p w14:paraId="689A31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pPr>
            <w: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t>采购方式适用性</w:t>
            </w:r>
          </w:p>
          <w:p w14:paraId="5DE928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pPr>
            <w:r>
              <w:rPr>
                <w:rFonts w:hint="default" w:ascii="Times New Roman" w:hAnsi="Times New Roman" w:eastAsia="仿宋_GB2312" w:cs="Times New Roman"/>
                <w:i w:val="0"/>
                <w:iCs w:val="0"/>
                <w:color w:val="auto"/>
                <w:kern w:val="0"/>
                <w:sz w:val="24"/>
                <w:szCs w:val="24"/>
                <w:highlight w:val="none"/>
                <w:u w:val="none"/>
                <w:shd w:val="clear" w:fill="FFFFFF"/>
                <w:lang w:val="en-US" w:eastAsia="zh-CN" w:bidi="ar"/>
              </w:rPr>
              <w:t>(1)</w:t>
            </w:r>
          </w:p>
        </w:tc>
        <w:tc>
          <w:tcPr>
            <w:tcW w:w="445" w:type="pct"/>
            <w:shd w:val="clear" w:color="auto" w:fill="auto"/>
            <w:noWrap w:val="0"/>
            <w:vAlign w:val="center"/>
          </w:tcPr>
          <w:p w14:paraId="4757D1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采购方式是否按照采购需求特点选择使用，用以反映和考核采购方式适用的合规性。</w:t>
            </w:r>
          </w:p>
        </w:tc>
        <w:tc>
          <w:tcPr>
            <w:tcW w:w="1084" w:type="pct"/>
            <w:shd w:val="clear" w:color="auto" w:fill="auto"/>
            <w:noWrap w:val="0"/>
            <w:vAlign w:val="center"/>
          </w:tcPr>
          <w:p w14:paraId="66B243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①项目采购方式与预算数额相匹配，属于公开招标数额标准以上项目的，应采用公开招标方式；</w:t>
            </w:r>
          </w:p>
          <w:p w14:paraId="3F55E8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②不符合上述情况的，扣除采购管理指标全部分数。</w:t>
            </w:r>
          </w:p>
        </w:tc>
        <w:tc>
          <w:tcPr>
            <w:tcW w:w="238" w:type="pct"/>
            <w:shd w:val="clear" w:color="auto" w:fill="auto"/>
            <w:noWrap w:val="0"/>
            <w:vAlign w:val="center"/>
          </w:tcPr>
          <w:p w14:paraId="058633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561" w:type="pct"/>
            <w:shd w:val="clear" w:color="auto" w:fill="auto"/>
            <w:noWrap w:val="0"/>
            <w:vAlign w:val="center"/>
          </w:tcPr>
          <w:p w14:paraId="19C35A1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服务范围内的保安保洁工作属于《威海市政府集中采购目录及标准（2025年版）》中的政府集中采购目录范畴、需要履行政府采购程序。同时，分项采购金额低于公开招标数额标准（服务类200万元以上）要求，不属于强制公开招标范围。</w:t>
            </w:r>
          </w:p>
          <w:p w14:paraId="1E1BEAE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但是，经核查项目保安、保洁服务未履行政府采购程序，直接与第三方签署委托合同，采购程序不合规，本指标不得分。</w:t>
            </w:r>
          </w:p>
        </w:tc>
        <w:tc>
          <w:tcPr>
            <w:tcW w:w="712" w:type="pct"/>
            <w:shd w:val="clear" w:color="auto" w:fill="auto"/>
            <w:noWrap w:val="0"/>
            <w:vAlign w:val="center"/>
          </w:tcPr>
          <w:p w14:paraId="3EBBFDA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①《威海市政府集中采购目录及标准（2025年版）》；</w:t>
            </w:r>
          </w:p>
          <w:p w14:paraId="4A1DB46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②《物业保洁合同》；</w:t>
            </w:r>
          </w:p>
          <w:p w14:paraId="051C474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③《保安合同》。</w:t>
            </w:r>
          </w:p>
        </w:tc>
        <w:tc>
          <w:tcPr>
            <w:tcW w:w="263" w:type="pct"/>
            <w:shd w:val="clear" w:color="auto" w:fill="auto"/>
            <w:noWrap w:val="0"/>
            <w:vAlign w:val="center"/>
          </w:tcPr>
          <w:p w14:paraId="246A30D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333A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417" w:hRule="atLeast"/>
        </w:trPr>
        <w:tc>
          <w:tcPr>
            <w:tcW w:w="237" w:type="pct"/>
            <w:vMerge w:val="continue"/>
            <w:shd w:val="clear" w:color="auto" w:fill="FFFFFF"/>
            <w:noWrap w:val="0"/>
            <w:vAlign w:val="center"/>
          </w:tcPr>
          <w:p w14:paraId="71C6BA6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7CE05C7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auto"/>
            <w:noWrap w:val="0"/>
            <w:vAlign w:val="center"/>
          </w:tcPr>
          <w:p w14:paraId="720E91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采购计划备案完整性</w:t>
            </w:r>
          </w:p>
          <w:p w14:paraId="2EB92B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445" w:type="pct"/>
            <w:shd w:val="clear" w:color="auto" w:fill="auto"/>
            <w:noWrap w:val="0"/>
            <w:vAlign w:val="center"/>
          </w:tcPr>
          <w:p w14:paraId="7DA32F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采购计划是否按照采购需求制定情况进行备案，用以反映和考核采购计划的完整准确性。</w:t>
            </w:r>
          </w:p>
        </w:tc>
        <w:tc>
          <w:tcPr>
            <w:tcW w:w="1084" w:type="pct"/>
            <w:shd w:val="clear" w:color="auto" w:fill="auto"/>
            <w:noWrap w:val="0"/>
            <w:vAlign w:val="center"/>
          </w:tcPr>
          <w:p w14:paraId="7B7ED0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①采购计划填报内容完整；</w:t>
            </w:r>
          </w:p>
          <w:p w14:paraId="155F2F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②实际采购内容与项目预算一致；</w:t>
            </w:r>
          </w:p>
          <w:p w14:paraId="1199CB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③在政府采购预算批复后2个月内备案政府采购计划，明确采购品目、组织形式、采购方式和采购金额等内容；</w:t>
            </w:r>
          </w:p>
          <w:p w14:paraId="1DAC34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④采购计划备案后未做过调整变更；</w:t>
            </w:r>
            <w:r>
              <w:rPr>
                <w:rFonts w:hint="default" w:ascii="Times New Roman" w:hAnsi="Times New Roman" w:eastAsia="仿宋_GB2312" w:cs="Times New Roman"/>
                <w:i w:val="0"/>
                <w:iCs w:val="0"/>
                <w:color w:val="auto"/>
                <w:kern w:val="0"/>
                <w:sz w:val="24"/>
                <w:szCs w:val="24"/>
                <w:u w:val="none"/>
                <w:lang w:val="en-US" w:eastAsia="zh-CN" w:bidi="ar"/>
              </w:rPr>
              <w:br w:type="textWrapping"/>
            </w:r>
            <w:r>
              <w:rPr>
                <w:rFonts w:hint="default" w:ascii="Times New Roman" w:hAnsi="Times New Roman" w:eastAsia="仿宋_GB2312" w:cs="Times New Roman"/>
                <w:i w:val="0"/>
                <w:iCs w:val="0"/>
                <w:color w:val="auto"/>
                <w:kern w:val="0"/>
                <w:sz w:val="24"/>
                <w:szCs w:val="24"/>
                <w:u w:val="none"/>
                <w:lang w:val="en-US" w:eastAsia="zh-CN" w:bidi="ar"/>
              </w:rPr>
              <w:t>⑤项目符合①—④项，得满分；发现一项不符合的，扣0.25分，本项指标扣完为止。</w:t>
            </w:r>
          </w:p>
        </w:tc>
        <w:tc>
          <w:tcPr>
            <w:tcW w:w="238" w:type="pct"/>
            <w:shd w:val="clear" w:color="auto" w:fill="auto"/>
            <w:noWrap w:val="0"/>
            <w:vAlign w:val="center"/>
          </w:tcPr>
          <w:p w14:paraId="190DE0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0</w:t>
            </w:r>
          </w:p>
        </w:tc>
        <w:tc>
          <w:tcPr>
            <w:tcW w:w="1561" w:type="pct"/>
            <w:shd w:val="clear" w:color="auto" w:fill="auto"/>
            <w:noWrap w:val="0"/>
            <w:vAlign w:val="center"/>
          </w:tcPr>
          <w:p w14:paraId="7388D90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鉴于本项目各项服务内容均未履行采购流程，各项委托服务缺少采购计划、未履行备案手续，本指标不得分。</w:t>
            </w:r>
          </w:p>
        </w:tc>
        <w:tc>
          <w:tcPr>
            <w:tcW w:w="712" w:type="pct"/>
            <w:shd w:val="clear" w:color="auto" w:fill="auto"/>
            <w:noWrap w:val="0"/>
            <w:vAlign w:val="center"/>
          </w:tcPr>
          <w:p w14:paraId="26A902E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现场核查</w:t>
            </w:r>
          </w:p>
        </w:tc>
        <w:tc>
          <w:tcPr>
            <w:tcW w:w="263" w:type="pct"/>
            <w:shd w:val="clear" w:color="auto" w:fill="auto"/>
            <w:noWrap w:val="0"/>
            <w:vAlign w:val="center"/>
          </w:tcPr>
          <w:p w14:paraId="085CF87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现场核查</w:t>
            </w:r>
          </w:p>
        </w:tc>
      </w:tr>
      <w:tr w14:paraId="24D2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01EA57D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restart"/>
            <w:shd w:val="clear" w:color="auto" w:fill="FFFFFF"/>
            <w:noWrap w:val="0"/>
            <w:vAlign w:val="center"/>
          </w:tcPr>
          <w:p w14:paraId="5047975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i w:val="0"/>
                <w:iCs w:val="0"/>
                <w:color w:val="auto"/>
                <w:sz w:val="24"/>
                <w:szCs w:val="24"/>
                <w:u w:val="none"/>
                <w:lang w:val="en-US" w:eastAsia="zh-CN"/>
              </w:rPr>
            </w:pPr>
            <w:r>
              <w:rPr>
                <w:rFonts w:hint="default" w:ascii="Times New Roman" w:hAnsi="Times New Roman" w:eastAsia="仿宋_GB2312" w:cs="Times New Roman"/>
                <w:i w:val="0"/>
                <w:iCs w:val="0"/>
                <w:color w:val="auto"/>
                <w:sz w:val="24"/>
                <w:szCs w:val="24"/>
                <w:u w:val="none"/>
                <w:lang w:val="en-US" w:eastAsia="zh-CN"/>
              </w:rPr>
              <w:t>合同签订</w:t>
            </w:r>
          </w:p>
          <w:p w14:paraId="152B859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lang w:val="en-US" w:eastAsia="zh-CN"/>
              </w:rPr>
              <w:t>(10)</w:t>
            </w:r>
          </w:p>
        </w:tc>
        <w:tc>
          <w:tcPr>
            <w:tcW w:w="219" w:type="pct"/>
            <w:shd w:val="clear" w:color="auto" w:fill="auto"/>
            <w:noWrap w:val="0"/>
            <w:vAlign w:val="center"/>
          </w:tcPr>
          <w:p w14:paraId="6B511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合同签订时效性</w:t>
            </w:r>
          </w:p>
          <w:p w14:paraId="55A6F3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445" w:type="pct"/>
            <w:shd w:val="clear" w:color="auto" w:fill="auto"/>
            <w:noWrap w:val="0"/>
            <w:vAlign w:val="center"/>
          </w:tcPr>
          <w:p w14:paraId="67E349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合同签订时间是否符合政府采购相关政策规定，用以反映和考核采购合同签订的时效性。</w:t>
            </w:r>
          </w:p>
        </w:tc>
        <w:tc>
          <w:tcPr>
            <w:tcW w:w="1084" w:type="pct"/>
            <w:shd w:val="clear" w:color="auto" w:fill="auto"/>
            <w:noWrap w:val="0"/>
            <w:vAlign w:val="center"/>
          </w:tcPr>
          <w:p w14:paraId="2C6E51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①在项目中标（成交）通知书发出之日起10个工作日内签订政府采购合同，得满分；</w:t>
            </w:r>
          </w:p>
          <w:p w14:paraId="632169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②未在规定时间内签订合同的，扣除本项全部分数。</w:t>
            </w:r>
          </w:p>
        </w:tc>
        <w:tc>
          <w:tcPr>
            <w:tcW w:w="238" w:type="pct"/>
            <w:shd w:val="clear" w:color="auto" w:fill="auto"/>
            <w:noWrap w:val="0"/>
            <w:vAlign w:val="center"/>
          </w:tcPr>
          <w:p w14:paraId="014862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0</w:t>
            </w:r>
          </w:p>
        </w:tc>
        <w:tc>
          <w:tcPr>
            <w:tcW w:w="1561" w:type="pct"/>
            <w:shd w:val="clear" w:color="auto" w:fill="auto"/>
            <w:noWrap w:val="0"/>
            <w:vAlign w:val="center"/>
          </w:tcPr>
          <w:p w14:paraId="591449A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鉴于本项目各项服务内容均未履行采购流程，暂无中标通知环节，本指标不得分。</w:t>
            </w:r>
          </w:p>
        </w:tc>
        <w:tc>
          <w:tcPr>
            <w:tcW w:w="712" w:type="pct"/>
            <w:shd w:val="clear" w:color="auto" w:fill="auto"/>
            <w:noWrap w:val="0"/>
            <w:vAlign w:val="center"/>
          </w:tcPr>
          <w:p w14:paraId="58D09CB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现场核查</w:t>
            </w:r>
          </w:p>
        </w:tc>
        <w:tc>
          <w:tcPr>
            <w:tcW w:w="263" w:type="pct"/>
            <w:shd w:val="clear" w:color="auto" w:fill="auto"/>
            <w:noWrap w:val="0"/>
            <w:vAlign w:val="center"/>
          </w:tcPr>
          <w:p w14:paraId="69E94B3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现场核查</w:t>
            </w:r>
          </w:p>
        </w:tc>
      </w:tr>
      <w:tr w14:paraId="1A04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382" w:hRule="atLeast"/>
        </w:trPr>
        <w:tc>
          <w:tcPr>
            <w:tcW w:w="237" w:type="pct"/>
            <w:vMerge w:val="continue"/>
            <w:shd w:val="clear" w:color="auto" w:fill="FFFFFF"/>
            <w:noWrap w:val="0"/>
            <w:vAlign w:val="center"/>
          </w:tcPr>
          <w:p w14:paraId="2C1D4C6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740E407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auto"/>
            <w:noWrap w:val="0"/>
            <w:vAlign w:val="center"/>
          </w:tcPr>
          <w:p w14:paraId="76B30E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合同签订规范性</w:t>
            </w:r>
          </w:p>
          <w:p w14:paraId="1FFCE4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445" w:type="pct"/>
            <w:shd w:val="clear" w:color="auto" w:fill="auto"/>
            <w:noWrap w:val="0"/>
            <w:vAlign w:val="center"/>
          </w:tcPr>
          <w:p w14:paraId="466E51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合同签订是否符合政府采购相关政策规定，用以反映和考核采购合同签订的严密性、合规性情况。</w:t>
            </w:r>
          </w:p>
        </w:tc>
        <w:tc>
          <w:tcPr>
            <w:tcW w:w="1084" w:type="pct"/>
            <w:shd w:val="clear" w:color="auto" w:fill="auto"/>
            <w:noWrap w:val="0"/>
            <w:vAlign w:val="center"/>
          </w:tcPr>
          <w:p w14:paraId="7D6681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①项目范围内委托第三方提供服务的，服务合同内容完善、范围全面、责任清晰，本指标得满分；</w:t>
            </w:r>
          </w:p>
          <w:p w14:paraId="2F5BAC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②每发现一项服务未签订委托服务合同的，发现一次扣1分。</w:t>
            </w:r>
          </w:p>
        </w:tc>
        <w:tc>
          <w:tcPr>
            <w:tcW w:w="238" w:type="pct"/>
            <w:shd w:val="clear" w:color="auto" w:fill="auto"/>
            <w:noWrap w:val="0"/>
            <w:vAlign w:val="center"/>
          </w:tcPr>
          <w:p w14:paraId="25FAB5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1561" w:type="pct"/>
            <w:shd w:val="clear" w:color="auto" w:fill="auto"/>
            <w:noWrap w:val="0"/>
            <w:vAlign w:val="center"/>
          </w:tcPr>
          <w:p w14:paraId="2F60C73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本项目范围内的保安、保洁、垃圾清运、维修、电力维保、消防维保、场馆建设、展览材料采购等均已签订委托服务合同，已签订的各项服务合同能够覆盖各项工作服务范畴，本指标符合绩效考核标准。</w:t>
            </w:r>
          </w:p>
        </w:tc>
        <w:tc>
          <w:tcPr>
            <w:tcW w:w="712" w:type="pct"/>
            <w:shd w:val="clear" w:color="auto" w:fill="auto"/>
            <w:noWrap w:val="0"/>
            <w:vAlign w:val="center"/>
          </w:tcPr>
          <w:p w14:paraId="542F86F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①《生活垃圾有偿清运、处置协议书》；</w:t>
            </w:r>
          </w:p>
          <w:p w14:paraId="07E68EA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②《物业保洁合同》；</w:t>
            </w:r>
          </w:p>
          <w:p w14:paraId="008A637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③《保安合同》；</w:t>
            </w:r>
          </w:p>
          <w:p w14:paraId="5948D61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④《荣成博物馆中央空调系统清洗合同》；</w:t>
            </w:r>
          </w:p>
          <w:p w14:paraId="67864B2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⑤《电梯维保合同书》；</w:t>
            </w:r>
          </w:p>
          <w:p w14:paraId="556C5B1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⑥《建筑消防设施维护保养合同》；</w:t>
            </w:r>
          </w:p>
          <w:p w14:paraId="4E74081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⑦《电力代维服务协议书》；</w:t>
            </w:r>
          </w:p>
          <w:p w14:paraId="25EC913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⑧《物料制作合同》；</w:t>
            </w:r>
          </w:p>
          <w:p w14:paraId="3B9441E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⑨《施工合同》。</w:t>
            </w:r>
          </w:p>
        </w:tc>
        <w:tc>
          <w:tcPr>
            <w:tcW w:w="263" w:type="pct"/>
            <w:shd w:val="clear" w:color="auto" w:fill="auto"/>
            <w:noWrap w:val="0"/>
            <w:vAlign w:val="center"/>
          </w:tcPr>
          <w:p w14:paraId="201F993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01AF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6" w:hRule="atLeast"/>
        </w:trPr>
        <w:tc>
          <w:tcPr>
            <w:tcW w:w="237" w:type="pct"/>
            <w:vMerge w:val="continue"/>
            <w:shd w:val="clear" w:color="auto" w:fill="FFFFFF"/>
            <w:noWrap w:val="0"/>
            <w:vAlign w:val="center"/>
          </w:tcPr>
          <w:p w14:paraId="13BCDA8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7813C47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auto"/>
            <w:noWrap w:val="0"/>
            <w:vAlign w:val="center"/>
          </w:tcPr>
          <w:p w14:paraId="2A319E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合同条款合理性</w:t>
            </w:r>
          </w:p>
          <w:p w14:paraId="2294BC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445" w:type="pct"/>
            <w:shd w:val="clear" w:color="auto" w:fill="auto"/>
            <w:noWrap w:val="0"/>
            <w:vAlign w:val="center"/>
          </w:tcPr>
          <w:p w14:paraId="1B2F56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合同内容是否公平、合理，用以反映合同条款的合理性。</w:t>
            </w:r>
          </w:p>
        </w:tc>
        <w:tc>
          <w:tcPr>
            <w:tcW w:w="1084" w:type="pct"/>
            <w:shd w:val="clear" w:color="auto" w:fill="auto"/>
            <w:noWrap w:val="0"/>
            <w:vAlign w:val="center"/>
          </w:tcPr>
          <w:p w14:paraId="398458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①合同条款结合项目情况合理编制，未对合同双方增加不合理条件，且合理安排付款节点的，得满分；</w:t>
            </w:r>
          </w:p>
          <w:p w14:paraId="1D3412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②发现任一项不符合的，扣除本项全部分数。</w:t>
            </w:r>
          </w:p>
        </w:tc>
        <w:tc>
          <w:tcPr>
            <w:tcW w:w="238" w:type="pct"/>
            <w:shd w:val="clear" w:color="auto" w:fill="auto"/>
            <w:noWrap w:val="0"/>
            <w:vAlign w:val="center"/>
          </w:tcPr>
          <w:p w14:paraId="4C7DC4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1561" w:type="pct"/>
            <w:shd w:val="clear" w:color="auto" w:fill="auto"/>
            <w:noWrap w:val="0"/>
            <w:vAlign w:val="center"/>
          </w:tcPr>
          <w:p w14:paraId="5194F5D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针对项目已签订的各项服务合同进行核查，合同内容较为完善，合同各方职责、服务标准、费用核算及支付等内容明确，本指标不扣分。</w:t>
            </w:r>
          </w:p>
        </w:tc>
        <w:tc>
          <w:tcPr>
            <w:tcW w:w="712" w:type="pct"/>
            <w:shd w:val="clear" w:color="auto" w:fill="auto"/>
            <w:noWrap w:val="0"/>
            <w:vAlign w:val="center"/>
          </w:tcPr>
          <w:p w14:paraId="214D6EB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同上</w:t>
            </w:r>
          </w:p>
        </w:tc>
        <w:tc>
          <w:tcPr>
            <w:tcW w:w="263" w:type="pct"/>
            <w:shd w:val="clear" w:color="auto" w:fill="auto"/>
            <w:noWrap w:val="0"/>
            <w:vAlign w:val="center"/>
          </w:tcPr>
          <w:p w14:paraId="2D8C781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荣成博物馆提供资料</w:t>
            </w:r>
          </w:p>
        </w:tc>
      </w:tr>
      <w:tr w14:paraId="4944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17231FE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restart"/>
            <w:shd w:val="clear" w:color="auto" w:fill="FFFFFF"/>
            <w:noWrap w:val="0"/>
            <w:vAlign w:val="center"/>
          </w:tcPr>
          <w:p w14:paraId="025ED63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组织实施</w:t>
            </w:r>
          </w:p>
          <w:p w14:paraId="0C95248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(10)</w:t>
            </w:r>
          </w:p>
        </w:tc>
        <w:tc>
          <w:tcPr>
            <w:tcW w:w="219" w:type="pct"/>
            <w:shd w:val="clear" w:color="auto" w:fill="FFFFFF"/>
            <w:noWrap w:val="0"/>
            <w:vAlign w:val="center"/>
          </w:tcPr>
          <w:p w14:paraId="7B8F573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管理制度健全性</w:t>
            </w:r>
          </w:p>
          <w:p w14:paraId="2B38EBC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445" w:type="pct"/>
            <w:shd w:val="clear" w:color="auto" w:fill="FFFFFF"/>
            <w:noWrap w:val="0"/>
            <w:vAlign w:val="center"/>
          </w:tcPr>
          <w:p w14:paraId="524D6CF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项目实施单位的安全保卫管理制度、卫生保洁作业制度、基础设施巡检及维修管理制度、差旅管理制度、布展等活动管理制度、财务管理制度、档案管理制度是否健全，用以反映和考核管理制度建立情况。</w:t>
            </w:r>
          </w:p>
        </w:tc>
        <w:tc>
          <w:tcPr>
            <w:tcW w:w="1084" w:type="pct"/>
            <w:shd w:val="clear" w:color="auto" w:fill="FFFFFF"/>
            <w:noWrap w:val="0"/>
            <w:vAlign w:val="center"/>
          </w:tcPr>
          <w:p w14:paraId="45CE25A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①制定了完善的相关管理制度或管控措施，得满分；</w:t>
            </w:r>
          </w:p>
          <w:p w14:paraId="10D356B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②安全保卫管理制度、卫生保洁作业制度、基础设施巡检及维修管理制度、差旅管理制度、布展等活动管理制度、财务管理制度、档案管理制度每缺少一项扣0.5分，制度不完善的一项扣0.2分，本项指标扣完为止。</w:t>
            </w:r>
          </w:p>
        </w:tc>
        <w:tc>
          <w:tcPr>
            <w:tcW w:w="238" w:type="pct"/>
            <w:shd w:val="clear" w:color="auto" w:fill="FFFFFF"/>
            <w:noWrap w:val="0"/>
            <w:vAlign w:val="center"/>
          </w:tcPr>
          <w:p w14:paraId="1872B97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eastAsia" w:ascii="Times New Roman" w:hAnsi="Times New Roman" w:eastAsia="仿宋_GB2312" w:cs="Times New Roman"/>
                <w:i w:val="0"/>
                <w:iCs w:val="0"/>
                <w:color w:val="auto"/>
                <w:kern w:val="2"/>
                <w:sz w:val="24"/>
                <w:szCs w:val="24"/>
                <w:u w:val="none"/>
                <w:lang w:val="en-US" w:eastAsia="zh-CN" w:bidi="ar-SA"/>
              </w:rPr>
              <w:t>4</w:t>
            </w:r>
          </w:p>
        </w:tc>
        <w:tc>
          <w:tcPr>
            <w:tcW w:w="1561" w:type="pct"/>
            <w:shd w:val="clear" w:color="auto" w:fill="FFFFFF"/>
            <w:noWrap w:val="0"/>
            <w:vAlign w:val="center"/>
          </w:tcPr>
          <w:p w14:paraId="70BCCBE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对荣成博物馆提供的保安服务管理条例、保安人员考核细则、保洁员工作管理制度、差旅费管理制度、财务管理制度、“三重一大”制度（含活动管理）进行核查，制度内容较为完善。</w:t>
            </w:r>
          </w:p>
        </w:tc>
        <w:tc>
          <w:tcPr>
            <w:tcW w:w="712" w:type="pct"/>
            <w:shd w:val="clear" w:color="auto" w:fill="FFFFFF"/>
            <w:noWrap w:val="0"/>
            <w:vAlign w:val="center"/>
          </w:tcPr>
          <w:p w14:paraId="6DA13BD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①《保安服务管理条例》；</w:t>
            </w:r>
          </w:p>
          <w:p w14:paraId="1C35D1B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②《保安人员考核细则》；</w:t>
            </w:r>
          </w:p>
          <w:p w14:paraId="2E0B0F7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③《保洁员工作管理制度》；</w:t>
            </w:r>
          </w:p>
          <w:p w14:paraId="2381F11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④《差旅费管理制度》；</w:t>
            </w:r>
          </w:p>
          <w:p w14:paraId="2CFB408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⑤《财务管理制度》；</w:t>
            </w:r>
          </w:p>
          <w:p w14:paraId="0D8D9C8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⑥《“三重一大”制度》。</w:t>
            </w:r>
          </w:p>
        </w:tc>
        <w:tc>
          <w:tcPr>
            <w:tcW w:w="263" w:type="pct"/>
            <w:shd w:val="clear" w:color="auto" w:fill="FFFFFF"/>
            <w:noWrap w:val="0"/>
            <w:vAlign w:val="center"/>
          </w:tcPr>
          <w:p w14:paraId="2E321F6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00B6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77FCAC8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35" w:type="pct"/>
            <w:vMerge w:val="continue"/>
            <w:shd w:val="clear" w:color="auto" w:fill="FFFFFF"/>
            <w:noWrap w:val="0"/>
            <w:vAlign w:val="center"/>
          </w:tcPr>
          <w:p w14:paraId="7ACC3F3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i w:val="0"/>
                <w:iCs w:val="0"/>
                <w:color w:val="auto"/>
                <w:sz w:val="24"/>
                <w:szCs w:val="24"/>
                <w:u w:val="none"/>
              </w:rPr>
            </w:pPr>
          </w:p>
        </w:tc>
        <w:tc>
          <w:tcPr>
            <w:tcW w:w="219" w:type="pct"/>
            <w:shd w:val="clear" w:color="auto" w:fill="FFFFFF"/>
            <w:noWrap w:val="0"/>
            <w:vAlign w:val="center"/>
          </w:tcPr>
          <w:p w14:paraId="088C968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制度执行有效性</w:t>
            </w:r>
          </w:p>
          <w:p w14:paraId="585DBCE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(6)</w:t>
            </w:r>
          </w:p>
        </w:tc>
        <w:tc>
          <w:tcPr>
            <w:tcW w:w="445" w:type="pct"/>
            <w:shd w:val="clear" w:color="auto" w:fill="FFFFFF"/>
            <w:noWrap w:val="0"/>
            <w:vAlign w:val="center"/>
          </w:tcPr>
          <w:p w14:paraId="780EC5F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sz w:val="24"/>
                <w:szCs w:val="24"/>
                <w:u w:val="none"/>
              </w:rPr>
              <w:t>项目实施是否符合相关管理规定</w:t>
            </w:r>
            <w:r>
              <w:rPr>
                <w:rFonts w:hint="default" w:ascii="Times New Roman" w:hAnsi="Times New Roman" w:eastAsia="仿宋_GB2312" w:cs="Times New Roman"/>
                <w:i w:val="0"/>
                <w:iCs w:val="0"/>
                <w:color w:val="auto"/>
                <w:sz w:val="24"/>
                <w:szCs w:val="24"/>
                <w:u w:val="none"/>
                <w:lang w:val="en-US" w:eastAsia="zh-CN"/>
              </w:rPr>
              <w:t>要求</w:t>
            </w:r>
            <w:r>
              <w:rPr>
                <w:rFonts w:hint="default" w:ascii="Times New Roman" w:hAnsi="Times New Roman" w:eastAsia="仿宋_GB2312" w:cs="Times New Roman"/>
                <w:i w:val="0"/>
                <w:iCs w:val="0"/>
                <w:color w:val="auto"/>
                <w:sz w:val="24"/>
                <w:szCs w:val="24"/>
                <w:u w:val="none"/>
              </w:rPr>
              <w:t>，用以反映和考核管理制度的有效执行情况。</w:t>
            </w:r>
          </w:p>
        </w:tc>
        <w:tc>
          <w:tcPr>
            <w:tcW w:w="1084" w:type="pct"/>
            <w:shd w:val="clear" w:color="auto" w:fill="FFFFFF"/>
            <w:noWrap w:val="0"/>
            <w:vAlign w:val="center"/>
          </w:tcPr>
          <w:p w14:paraId="7A0C8CB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①遵守相关法律法规和相关管理规定；</w:t>
            </w:r>
          </w:p>
          <w:p w14:paraId="1B33A46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②项目调整及支出调整手续完备；</w:t>
            </w:r>
          </w:p>
          <w:p w14:paraId="1071982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③项目报销凭证、资金使用计划及审批流程等资料齐全并及时归档；</w:t>
            </w:r>
          </w:p>
          <w:p w14:paraId="645AE6B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④项目卫生保洁、安全保卫、维修维护作业严格按照管理制度执行。</w:t>
            </w:r>
          </w:p>
          <w:p w14:paraId="72A63A6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both"/>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⑤项目符合①—④项，得满分；发现一项不符合的，扣1.5分，本项指标扣完为止。</w:t>
            </w:r>
          </w:p>
        </w:tc>
        <w:tc>
          <w:tcPr>
            <w:tcW w:w="238" w:type="pct"/>
            <w:shd w:val="clear" w:color="auto" w:fill="FFFFFF"/>
            <w:noWrap w:val="0"/>
            <w:vAlign w:val="center"/>
          </w:tcPr>
          <w:p w14:paraId="33A29B3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2"/>
                <w:sz w:val="24"/>
                <w:szCs w:val="24"/>
                <w:u w:val="none"/>
                <w:lang w:val="en-US" w:eastAsia="zh-CN" w:bidi="ar-SA"/>
              </w:rPr>
              <w:t>6</w:t>
            </w:r>
          </w:p>
        </w:tc>
        <w:tc>
          <w:tcPr>
            <w:tcW w:w="1561" w:type="pct"/>
            <w:shd w:val="clear" w:color="auto" w:fill="FFFFFF"/>
            <w:noWrap w:val="0"/>
            <w:vAlign w:val="center"/>
          </w:tcPr>
          <w:p w14:paraId="5B74DB5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①结合提供制度及日常考核、绩效自评、问卷调查反馈及现场检查，荣成博物馆在运营期间能够严格按照现有制度规范项目运作，项目未发生违反相关法律法规和相关管理规定的情形。</w:t>
            </w:r>
          </w:p>
          <w:p w14:paraId="3D89D2D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②本项目运营期间暂未发生项目预算计划调整情形，不涉及调整手续等内容。</w:t>
            </w:r>
          </w:p>
          <w:p w14:paraId="6E7FEF9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③项目建立了较为完善的资金使用计划，审批流程齐全。对项目报销票据进行抽查，与荣成博物馆支出明细表能够一一对应。</w:t>
            </w:r>
          </w:p>
          <w:p w14:paraId="4B1967D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④项目卫生保洁、安全保卫工作委托第三方（荣成市城投物业服务有限公司、荣成市保安服务有限公司）负责，结合第三方单位提供的自检资料等凭证，项目能够严格按照制定的管理制度开展专项运维工作。</w:t>
            </w:r>
          </w:p>
        </w:tc>
        <w:tc>
          <w:tcPr>
            <w:tcW w:w="712" w:type="pct"/>
            <w:shd w:val="clear" w:color="auto" w:fill="FFFFFF"/>
            <w:noWrap w:val="0"/>
            <w:vAlign w:val="center"/>
          </w:tcPr>
          <w:p w14:paraId="0AA0538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①《客户寻访记录本》；</w:t>
            </w:r>
          </w:p>
          <w:p w14:paraId="15D187E6">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②《博物馆运转经费支出明细表》及报销票据抽查情况；</w:t>
            </w:r>
          </w:p>
          <w:p w14:paraId="0D9BC33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③满意度调查问卷反馈情况；</w:t>
            </w:r>
          </w:p>
          <w:p w14:paraId="1FBFBDF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④现场检查情况。</w:t>
            </w:r>
          </w:p>
        </w:tc>
        <w:tc>
          <w:tcPr>
            <w:tcW w:w="263" w:type="pct"/>
            <w:shd w:val="clear" w:color="auto" w:fill="FFFFFF"/>
            <w:noWrap w:val="0"/>
            <w:vAlign w:val="center"/>
          </w:tcPr>
          <w:p w14:paraId="7683052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荣成博物馆提供资料、现场核查、线上调研</w:t>
            </w:r>
          </w:p>
        </w:tc>
      </w:tr>
      <w:tr w14:paraId="7835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trPr>
        <w:tc>
          <w:tcPr>
            <w:tcW w:w="237" w:type="pct"/>
            <w:vMerge w:val="restart"/>
            <w:shd w:val="clear" w:color="auto" w:fill="FFFFFF"/>
            <w:noWrap w:val="0"/>
            <w:vAlign w:val="center"/>
          </w:tcPr>
          <w:p w14:paraId="660F840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产出</w:t>
            </w:r>
          </w:p>
          <w:p w14:paraId="6369BF1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3</w:t>
            </w:r>
            <w:r>
              <w:rPr>
                <w:rFonts w:hint="default" w:ascii="Times New Roman" w:hAnsi="Times New Roman" w:eastAsia="仿宋_GB2312" w:cs="Times New Roman"/>
                <w:sz w:val="24"/>
                <w:szCs w:val="24"/>
                <w:lang w:val="en-US" w:eastAsia="zh-CN"/>
              </w:rPr>
              <w:t>5)</w:t>
            </w:r>
          </w:p>
        </w:tc>
        <w:tc>
          <w:tcPr>
            <w:tcW w:w="235" w:type="pct"/>
            <w:vMerge w:val="restart"/>
            <w:shd w:val="clear" w:color="auto" w:fill="FFFFFF"/>
            <w:noWrap w:val="0"/>
            <w:vAlign w:val="center"/>
          </w:tcPr>
          <w:p w14:paraId="2C56993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产出数量</w:t>
            </w:r>
          </w:p>
          <w:p w14:paraId="10C89C1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p>
        </w:tc>
        <w:tc>
          <w:tcPr>
            <w:tcW w:w="219" w:type="pct"/>
            <w:shd w:val="clear" w:color="auto" w:fill="FFFFFF"/>
            <w:noWrap w:val="0"/>
            <w:vAlign w:val="center"/>
          </w:tcPr>
          <w:p w14:paraId="2D8C12B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设备设施维护保养工作完成率</w:t>
            </w:r>
          </w:p>
          <w:p w14:paraId="0ED1B42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445" w:type="pct"/>
            <w:shd w:val="clear" w:color="auto" w:fill="FFFFFF"/>
            <w:noWrap w:val="0"/>
            <w:vAlign w:val="center"/>
          </w:tcPr>
          <w:p w14:paraId="223B2D5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考核建筑设施、空调、电梯、灯具、消防设施、安全出口标志、应急照明设备、布展等设施设备的维修养护工作完成情况。</w:t>
            </w:r>
          </w:p>
        </w:tc>
        <w:tc>
          <w:tcPr>
            <w:tcW w:w="1084" w:type="pct"/>
            <w:shd w:val="clear" w:color="auto" w:fill="FFFFFF"/>
            <w:noWrap w:val="0"/>
            <w:vAlign w:val="center"/>
          </w:tcPr>
          <w:p w14:paraId="108E268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重点考核设施、空调、电梯、灯具、消防设施、安全出口标志、应急照明设备、布展设施设备等是否按照计划目标要求完成维修养护任务。</w:t>
            </w:r>
          </w:p>
          <w:p w14:paraId="16853DE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①若均完成年度工作计划，则得满分；</w:t>
            </w:r>
          </w:p>
          <w:p w14:paraId="3B3C79C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②有一项未及时完成出现被投诉、上级检查通报情形的，扣0.5分，本项指标扣完为止。</w:t>
            </w:r>
          </w:p>
        </w:tc>
        <w:tc>
          <w:tcPr>
            <w:tcW w:w="238" w:type="pct"/>
            <w:shd w:val="clear" w:color="auto" w:fill="FFFFFF"/>
            <w:noWrap w:val="0"/>
            <w:vAlign w:val="center"/>
          </w:tcPr>
          <w:p w14:paraId="1661F5A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2</w:t>
            </w:r>
          </w:p>
        </w:tc>
        <w:tc>
          <w:tcPr>
            <w:tcW w:w="1561" w:type="pct"/>
            <w:shd w:val="clear" w:color="auto" w:fill="FFFFFF"/>
            <w:noWrap w:val="0"/>
            <w:vAlign w:val="center"/>
          </w:tcPr>
          <w:p w14:paraId="0467093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①经核查，项目范围内设施设备均能满足绩效目标设定的设施维修及时率100%、设备验收合格率100%等年度计划，满足指标考核要求。</w:t>
            </w:r>
          </w:p>
          <w:p w14:paraId="4F5EA19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②经核查，项目2022—2024年度未发生因设施设备损坏未及时修复，造成投诉或上级通报的情形。</w:t>
            </w:r>
          </w:p>
        </w:tc>
        <w:tc>
          <w:tcPr>
            <w:tcW w:w="712" w:type="pct"/>
            <w:shd w:val="clear" w:color="auto" w:fill="FFFFFF"/>
            <w:noWrap w:val="0"/>
            <w:vAlign w:val="center"/>
          </w:tcPr>
          <w:p w14:paraId="52A5D326">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①《项目支出绩效目标表》；</w:t>
            </w:r>
          </w:p>
          <w:p w14:paraId="76483FA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②满意度调查问卷反馈情况；</w:t>
            </w:r>
          </w:p>
          <w:p w14:paraId="1237D28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③现场检查情况。</w:t>
            </w:r>
          </w:p>
        </w:tc>
        <w:tc>
          <w:tcPr>
            <w:tcW w:w="263" w:type="pct"/>
            <w:shd w:val="clear" w:color="auto" w:fill="FFFFFF"/>
            <w:noWrap w:val="0"/>
            <w:vAlign w:val="center"/>
          </w:tcPr>
          <w:p w14:paraId="48F0E1C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荣成博物馆提供资料、现场核查、线上调研</w:t>
            </w:r>
          </w:p>
        </w:tc>
      </w:tr>
      <w:tr w14:paraId="1077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92" w:hRule="atLeast"/>
        </w:trPr>
        <w:tc>
          <w:tcPr>
            <w:tcW w:w="237" w:type="pct"/>
            <w:vMerge w:val="continue"/>
            <w:shd w:val="clear" w:color="auto" w:fill="FFFFFF"/>
            <w:noWrap w:val="0"/>
            <w:vAlign w:val="center"/>
          </w:tcPr>
          <w:p w14:paraId="5F09114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vMerge w:val="continue"/>
            <w:shd w:val="clear" w:color="auto" w:fill="FFFFFF"/>
            <w:noWrap w:val="0"/>
            <w:vAlign w:val="center"/>
          </w:tcPr>
          <w:p w14:paraId="2BB8F84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19" w:type="pct"/>
            <w:shd w:val="clear" w:color="auto" w:fill="FFFFFF"/>
            <w:noWrap w:val="0"/>
            <w:vAlign w:val="center"/>
          </w:tcPr>
          <w:p w14:paraId="7827ACA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日常运行工作完成率</w:t>
            </w:r>
          </w:p>
          <w:p w14:paraId="3CD3E26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445" w:type="pct"/>
            <w:shd w:val="clear" w:color="auto" w:fill="FFFFFF"/>
            <w:noWrap w:val="0"/>
            <w:vAlign w:val="center"/>
          </w:tcPr>
          <w:p w14:paraId="39FB2F0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考核物业管理（保安保洁）在日常工作完成是否及时到位。</w:t>
            </w:r>
          </w:p>
        </w:tc>
        <w:tc>
          <w:tcPr>
            <w:tcW w:w="1084" w:type="pct"/>
            <w:shd w:val="clear" w:color="auto" w:fill="FFFFFF"/>
            <w:noWrap w:val="0"/>
            <w:vAlign w:val="center"/>
          </w:tcPr>
          <w:p w14:paraId="4629348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重点考核保安巡逻、卫生清扫、垃圾清运等日常工作规模及标准是否按照计划目标要求完成。</w:t>
            </w:r>
          </w:p>
          <w:p w14:paraId="21D0B52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①若均完成年度工作计划，则得满分；</w:t>
            </w:r>
          </w:p>
          <w:p w14:paraId="723BEF6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②有一项未及时完成出现被投诉、上级检查通报情形的，扣1分，本项指标扣完为止。</w:t>
            </w:r>
          </w:p>
        </w:tc>
        <w:tc>
          <w:tcPr>
            <w:tcW w:w="238" w:type="pct"/>
            <w:shd w:val="clear" w:color="auto" w:fill="FFFFFF"/>
            <w:noWrap w:val="0"/>
            <w:vAlign w:val="center"/>
          </w:tcPr>
          <w:p w14:paraId="7B1FE49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3</w:t>
            </w:r>
          </w:p>
        </w:tc>
        <w:tc>
          <w:tcPr>
            <w:tcW w:w="1561" w:type="pct"/>
            <w:shd w:val="clear" w:color="auto" w:fill="FFFFFF"/>
            <w:noWrap w:val="0"/>
            <w:vAlign w:val="center"/>
          </w:tcPr>
          <w:p w14:paraId="0A90628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①根据满意度调查问卷反馈及现场检查，项目范围内保安巡逻及卫生清扫、垃圾清运等日常工作能够按照计划目标及时完成，满足指标考核要求。</w:t>
            </w:r>
          </w:p>
          <w:p w14:paraId="18795B7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②经核查，项目2022—2024年度未发生因安全保卫、卫生保洁等物业管理工作不到位，造成投诉或上级通报的情形。</w:t>
            </w:r>
          </w:p>
        </w:tc>
        <w:tc>
          <w:tcPr>
            <w:tcW w:w="712" w:type="pct"/>
            <w:shd w:val="clear" w:color="auto" w:fill="FFFFFF"/>
            <w:noWrap w:val="0"/>
            <w:vAlign w:val="center"/>
          </w:tcPr>
          <w:p w14:paraId="62C6DD5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①满意度调查问卷反馈情况；</w:t>
            </w:r>
          </w:p>
          <w:p w14:paraId="70A22F6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②现场检查情况。</w:t>
            </w:r>
          </w:p>
        </w:tc>
        <w:tc>
          <w:tcPr>
            <w:tcW w:w="263" w:type="pct"/>
            <w:shd w:val="clear" w:color="auto" w:fill="FFFFFF"/>
            <w:noWrap w:val="0"/>
            <w:vAlign w:val="center"/>
          </w:tcPr>
          <w:p w14:paraId="3DEC300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现场核查、线上调研</w:t>
            </w:r>
          </w:p>
        </w:tc>
      </w:tr>
      <w:tr w14:paraId="0EBB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0B6A24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shd w:val="clear" w:color="auto" w:fill="FFFFFF"/>
            <w:noWrap w:val="0"/>
            <w:vAlign w:val="center"/>
          </w:tcPr>
          <w:p w14:paraId="174A84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产出质量</w:t>
            </w:r>
          </w:p>
          <w:p w14:paraId="0DA95CA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219" w:type="pct"/>
            <w:shd w:val="clear" w:color="auto" w:fill="FFFFFF"/>
            <w:noWrap w:val="0"/>
            <w:vAlign w:val="center"/>
          </w:tcPr>
          <w:p w14:paraId="7331AF9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质量达标率</w:t>
            </w:r>
          </w:p>
          <w:p w14:paraId="0231BCE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445" w:type="pct"/>
            <w:shd w:val="clear" w:color="auto" w:fill="FFFFFF"/>
            <w:noWrap w:val="0"/>
            <w:vAlign w:val="center"/>
          </w:tcPr>
          <w:p w14:paraId="24814E5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对服务质量进行考核，以判定其是否切实符合行业标准。</w:t>
            </w:r>
          </w:p>
        </w:tc>
        <w:tc>
          <w:tcPr>
            <w:tcW w:w="1084" w:type="pct"/>
            <w:shd w:val="clear" w:color="auto" w:fill="FFFFFF"/>
            <w:noWrap w:val="0"/>
            <w:vAlign w:val="center"/>
          </w:tcPr>
          <w:p w14:paraId="25C7DF8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①项目范围内的设施设备完好率大于98%，得满分。</w:t>
            </w:r>
          </w:p>
          <w:p w14:paraId="4A80748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②设备设施完好率较98%每降低1%，扣0.5分，本项指标扣完为止；</w:t>
            </w:r>
          </w:p>
          <w:p w14:paraId="3E9CBAD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③评价周期内发生文物安全事故的，本项指标不得分。</w:t>
            </w:r>
          </w:p>
          <w:p w14:paraId="63F7B2F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注：设备设施完好率=（完好设备数/总设备数）×100%，</w:t>
            </w:r>
          </w:p>
        </w:tc>
        <w:tc>
          <w:tcPr>
            <w:tcW w:w="238" w:type="pct"/>
            <w:shd w:val="clear" w:color="auto" w:fill="FFFFFF"/>
            <w:noWrap w:val="0"/>
            <w:vAlign w:val="center"/>
          </w:tcPr>
          <w:p w14:paraId="7146069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5</w:t>
            </w:r>
          </w:p>
        </w:tc>
        <w:tc>
          <w:tcPr>
            <w:tcW w:w="1561" w:type="pct"/>
            <w:shd w:val="clear" w:color="auto" w:fill="FFFFFF"/>
            <w:noWrap w:val="0"/>
            <w:vAlign w:val="center"/>
          </w:tcPr>
          <w:p w14:paraId="689787E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①经现场检查，未发现设施设备损坏未及时修复的情形。</w:t>
            </w:r>
          </w:p>
          <w:p w14:paraId="352EF90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②项目2022—2024年度未发生文物安全事故情形，符合指标考核要求。</w:t>
            </w:r>
          </w:p>
        </w:tc>
        <w:tc>
          <w:tcPr>
            <w:tcW w:w="712" w:type="pct"/>
            <w:shd w:val="clear" w:color="auto" w:fill="FFFFFF"/>
            <w:noWrap w:val="0"/>
            <w:vAlign w:val="center"/>
          </w:tcPr>
          <w:p w14:paraId="67A7F38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现场检查情况。</w:t>
            </w:r>
          </w:p>
        </w:tc>
        <w:tc>
          <w:tcPr>
            <w:tcW w:w="263" w:type="pct"/>
            <w:shd w:val="clear" w:color="auto" w:fill="FFFFFF"/>
            <w:noWrap w:val="0"/>
            <w:vAlign w:val="center"/>
          </w:tcPr>
          <w:p w14:paraId="7A9FD96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现场核查</w:t>
            </w:r>
          </w:p>
        </w:tc>
      </w:tr>
      <w:tr w14:paraId="6090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36CB841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shd w:val="clear" w:color="auto" w:fill="FFFFFF"/>
            <w:noWrap w:val="0"/>
            <w:vAlign w:val="center"/>
          </w:tcPr>
          <w:p w14:paraId="690C052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产出时效</w:t>
            </w:r>
          </w:p>
          <w:p w14:paraId="1EDB273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219" w:type="pct"/>
            <w:shd w:val="clear" w:color="auto" w:fill="FFFFFF"/>
            <w:noWrap w:val="0"/>
            <w:vAlign w:val="center"/>
          </w:tcPr>
          <w:p w14:paraId="77C06F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完成及时性</w:t>
            </w:r>
          </w:p>
          <w:p w14:paraId="31112FA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445" w:type="pct"/>
            <w:shd w:val="clear" w:color="auto" w:fill="FFFFFF"/>
            <w:noWrap w:val="0"/>
            <w:vAlign w:val="center"/>
          </w:tcPr>
          <w:p w14:paraId="0A68F46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对荣成博物馆在面对突发情形的响应速度及日常物业工作完成的及时性进行评价。</w:t>
            </w:r>
          </w:p>
        </w:tc>
        <w:tc>
          <w:tcPr>
            <w:tcW w:w="1084" w:type="pct"/>
            <w:shd w:val="clear" w:color="auto" w:fill="FFFFFF"/>
            <w:noWrap w:val="0"/>
            <w:vAlign w:val="center"/>
          </w:tcPr>
          <w:p w14:paraId="51FA1EE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①项目日常维修维护、展览布展、卫生保洁能够按照合同约定及时完成，得满分。</w:t>
            </w:r>
          </w:p>
          <w:p w14:paraId="53CA2FD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②每发现一次不符合的。扣1分，本项指标扣完为止。</w:t>
            </w:r>
          </w:p>
        </w:tc>
        <w:tc>
          <w:tcPr>
            <w:tcW w:w="238" w:type="pct"/>
            <w:shd w:val="clear" w:color="auto" w:fill="FFFFFF"/>
            <w:noWrap w:val="0"/>
            <w:vAlign w:val="center"/>
          </w:tcPr>
          <w:p w14:paraId="060CAFF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5</w:t>
            </w:r>
          </w:p>
        </w:tc>
        <w:tc>
          <w:tcPr>
            <w:tcW w:w="1561" w:type="pct"/>
            <w:shd w:val="clear" w:color="auto" w:fill="FFFFFF"/>
            <w:noWrap w:val="0"/>
            <w:vAlign w:val="center"/>
          </w:tcPr>
          <w:p w14:paraId="7807378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根据第三方单位及荣成博物馆自检情况，结合满意度调查问卷反馈，本项目2022—2024年度未发生卫生保洁、安全保卫及博物馆维修维护、展览布展工作履行不到位的情形。</w:t>
            </w:r>
          </w:p>
        </w:tc>
        <w:tc>
          <w:tcPr>
            <w:tcW w:w="712" w:type="pct"/>
            <w:shd w:val="clear" w:color="auto" w:fill="FFFFFF"/>
            <w:noWrap w:val="0"/>
            <w:vAlign w:val="center"/>
          </w:tcPr>
          <w:p w14:paraId="646AD9F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①满意度调查问卷反馈情况；</w:t>
            </w:r>
          </w:p>
          <w:p w14:paraId="03C8B57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②现场检查情况。</w:t>
            </w:r>
          </w:p>
        </w:tc>
        <w:tc>
          <w:tcPr>
            <w:tcW w:w="263" w:type="pct"/>
            <w:shd w:val="clear" w:color="auto" w:fill="FFFFFF"/>
            <w:noWrap w:val="0"/>
            <w:vAlign w:val="center"/>
          </w:tcPr>
          <w:p w14:paraId="1A0B9C0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现场核查、线上调研</w:t>
            </w:r>
          </w:p>
        </w:tc>
      </w:tr>
      <w:tr w14:paraId="11B7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24" w:hRule="atLeast"/>
        </w:trPr>
        <w:tc>
          <w:tcPr>
            <w:tcW w:w="237" w:type="pct"/>
            <w:vMerge w:val="continue"/>
            <w:shd w:val="clear" w:color="auto" w:fill="FFFFFF"/>
            <w:noWrap w:val="0"/>
            <w:vAlign w:val="center"/>
          </w:tcPr>
          <w:p w14:paraId="2AD1A1D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vMerge w:val="restart"/>
            <w:shd w:val="clear" w:color="auto" w:fill="FFFFFF"/>
            <w:noWrap w:val="0"/>
            <w:vAlign w:val="center"/>
          </w:tcPr>
          <w:p w14:paraId="7CBC565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产出成本</w:t>
            </w:r>
          </w:p>
          <w:p w14:paraId="6A124C8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w:t>
            </w:r>
          </w:p>
        </w:tc>
        <w:tc>
          <w:tcPr>
            <w:tcW w:w="219" w:type="pct"/>
            <w:shd w:val="clear" w:color="auto" w:fill="FFFFFF"/>
            <w:noWrap w:val="0"/>
            <w:vAlign w:val="center"/>
          </w:tcPr>
          <w:p w14:paraId="3F70E2F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人工成本控制情况</w:t>
            </w:r>
          </w:p>
          <w:p w14:paraId="397FD9D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445" w:type="pct"/>
            <w:shd w:val="clear" w:color="auto" w:fill="FFFFFF"/>
            <w:noWrap w:val="0"/>
            <w:vAlign w:val="center"/>
          </w:tcPr>
          <w:p w14:paraId="065CBAC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评价荣成博物馆选用的保安、保洁单位成本是否符合当地市场行情，是否存在价格虚高或过低情形。</w:t>
            </w:r>
          </w:p>
        </w:tc>
        <w:tc>
          <w:tcPr>
            <w:tcW w:w="1084" w:type="pct"/>
            <w:shd w:val="clear" w:color="auto" w:fill="FFFFFF"/>
            <w:noWrap w:val="0"/>
            <w:vAlign w:val="center"/>
          </w:tcPr>
          <w:p w14:paraId="17BF6A8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①若保安、保洁人员薪酬标准较荣成市执行的最新人力资源市场工资价位中位值偏差小于5%，得满分；</w:t>
            </w:r>
          </w:p>
          <w:p w14:paraId="3FD4512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②若保安、保洁人员薪酬标准较荣成市执行的最新人力资源市场工资价位中位值偏差大于等于5%、小于10%，且无正当理由的，扣2分；</w:t>
            </w:r>
          </w:p>
          <w:p w14:paraId="3863598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③若保安、保洁人员薪酬标准较荣成市执行的最新人力资源市场工资价位中位值偏差大于等于10%、小于20%，且无正当理由的，扣4分；</w:t>
            </w:r>
          </w:p>
          <w:p w14:paraId="1CCF721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④若保安、保洁人员薪酬标准较荣成市执行的最新人力资源市场工资价位中位值偏差大于等于20%、小于30%，且无正当理由的，扣6分；</w:t>
            </w:r>
          </w:p>
          <w:p w14:paraId="2554F88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⑤若保安、保洁人员薪酬标准较荣成市执行的最新人力资源市场工资价位中位值偏差大于等于30%，且无正当理由的，本指标不得分。</w:t>
            </w:r>
          </w:p>
        </w:tc>
        <w:tc>
          <w:tcPr>
            <w:tcW w:w="238" w:type="pct"/>
            <w:shd w:val="clear" w:color="auto" w:fill="FFFFFF"/>
            <w:noWrap w:val="0"/>
            <w:vAlign w:val="center"/>
          </w:tcPr>
          <w:p w14:paraId="55F21B3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10</w:t>
            </w:r>
          </w:p>
        </w:tc>
        <w:tc>
          <w:tcPr>
            <w:tcW w:w="1561" w:type="pct"/>
            <w:shd w:val="clear" w:color="auto" w:fill="FFFFFF"/>
            <w:noWrap w:val="0"/>
            <w:vAlign w:val="center"/>
          </w:tcPr>
          <w:p w14:paraId="6197D766">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①根据签订的保安及保洁委托合同，当前荣成博物馆保安人员薪酬3760元/月/人，保洁管理员薪酬标准3600元/月、其他保洁人员薪酬标准2300元/月/人。</w:t>
            </w:r>
          </w:p>
          <w:p w14:paraId="75DCA7F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根据《威海市人力资源和社会保障局关于发布威海市2023年人力资源市场工资价位的通知》（威人社字〔2024〕26号），保卫及辅助警务人员薪酬中位数40611元/年（折合3384.25元/月）、环境卫生服务人员薪酬中位数35273元/年（折合2937.41元/月），计算保安、保洁人员薪酬标准较行业数据偏差为6.67%。</w:t>
            </w:r>
          </w:p>
          <w:p w14:paraId="0CD6763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同时，针对荣成市物业招聘市场进行线上及线下调研，荣成市保洁人员平均工资2300-3000元/月，安保人员根据岗位需求不同平均工资在2500-4500元/月。对存在偏差情形进行分析，因本项目作为荣成市游客往来参观重点，卫生保洁质量要求较高，偏差较为合理，</w:t>
            </w:r>
            <w:r>
              <w:rPr>
                <w:rFonts w:hint="eastAsia" w:ascii="Times New Roman" w:hAnsi="Times New Roman" w:eastAsia="仿宋_GB2312" w:cs="Times New Roman"/>
                <w:sz w:val="24"/>
                <w:szCs w:val="24"/>
                <w:lang w:val="en-US" w:eastAsia="zh-CN"/>
              </w:rPr>
              <w:t>与荣成市用工成本基本相符，</w:t>
            </w:r>
            <w:r>
              <w:rPr>
                <w:rFonts w:hint="default" w:ascii="Times New Roman" w:hAnsi="Times New Roman" w:eastAsia="仿宋_GB2312" w:cs="Times New Roman"/>
                <w:sz w:val="24"/>
                <w:szCs w:val="24"/>
                <w:lang w:val="en-US" w:eastAsia="zh-CN"/>
              </w:rPr>
              <w:t>本指标暂不扣分。</w:t>
            </w:r>
          </w:p>
        </w:tc>
        <w:tc>
          <w:tcPr>
            <w:tcW w:w="712" w:type="pct"/>
            <w:shd w:val="clear" w:color="auto" w:fill="FFFFFF"/>
            <w:noWrap w:val="0"/>
            <w:vAlign w:val="center"/>
          </w:tcPr>
          <w:p w14:paraId="2B12F66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①《物业保洁合同》；</w:t>
            </w:r>
          </w:p>
          <w:p w14:paraId="50FF64F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②《保安合同》；</w:t>
            </w:r>
          </w:p>
          <w:p w14:paraId="1AEC4B3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③《威海市人力资源和社会保障局关于发布威海市2023年人力资源市场工资价位的通知》（威人社字〔2024〕26号）。</w:t>
            </w:r>
          </w:p>
        </w:tc>
        <w:tc>
          <w:tcPr>
            <w:tcW w:w="263" w:type="pct"/>
            <w:shd w:val="clear" w:color="auto" w:fill="FFFFFF"/>
            <w:noWrap w:val="0"/>
            <w:vAlign w:val="center"/>
          </w:tcPr>
          <w:p w14:paraId="5E9D2E6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荣成博物馆提供资料、市场调研</w:t>
            </w:r>
          </w:p>
        </w:tc>
      </w:tr>
      <w:tr w14:paraId="32B3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67636D2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vMerge w:val="continue"/>
            <w:shd w:val="clear" w:color="auto" w:fill="FFFFFF"/>
            <w:noWrap w:val="0"/>
            <w:vAlign w:val="center"/>
          </w:tcPr>
          <w:p w14:paraId="0E92DC3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p>
        </w:tc>
        <w:tc>
          <w:tcPr>
            <w:tcW w:w="219" w:type="pct"/>
            <w:shd w:val="clear" w:color="auto" w:fill="FFFFFF"/>
            <w:noWrap w:val="0"/>
            <w:vAlign w:val="center"/>
          </w:tcPr>
          <w:p w14:paraId="64ADC98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专项委托事项成本控制情况</w:t>
            </w:r>
          </w:p>
          <w:p w14:paraId="38F9E9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tc>
        <w:tc>
          <w:tcPr>
            <w:tcW w:w="445" w:type="pct"/>
            <w:shd w:val="clear" w:color="auto" w:fill="FFFFFF"/>
            <w:noWrap w:val="0"/>
            <w:vAlign w:val="center"/>
          </w:tcPr>
          <w:p w14:paraId="20E557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考核博物馆在电梯维修保养费用、消防维保等专项维保项目的成本控制能力。</w:t>
            </w:r>
          </w:p>
        </w:tc>
        <w:tc>
          <w:tcPr>
            <w:tcW w:w="1084" w:type="pct"/>
            <w:shd w:val="clear" w:color="auto" w:fill="FFFFFF"/>
            <w:noWrap w:val="0"/>
            <w:vAlign w:val="center"/>
          </w:tcPr>
          <w:p w14:paraId="14CF985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①对荣成市及周边区域相关专项委托的费用标准进行调研，实际委托价格高于调研价10%以内的，得满分；</w:t>
            </w:r>
          </w:p>
          <w:p w14:paraId="11EB21D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②实际委托价格高于调研价格10%、小于20%，且无正当理由的，扣2分；</w:t>
            </w:r>
          </w:p>
          <w:p w14:paraId="04F0E0B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③实际委托价格高于调研价格20%及以上，且无正当理由的，扣4分。</w:t>
            </w:r>
          </w:p>
        </w:tc>
        <w:tc>
          <w:tcPr>
            <w:tcW w:w="238" w:type="pct"/>
            <w:shd w:val="clear" w:color="auto" w:fill="FFFFFF"/>
            <w:noWrap w:val="0"/>
            <w:vAlign w:val="center"/>
          </w:tcPr>
          <w:p w14:paraId="10605C5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4</w:t>
            </w:r>
          </w:p>
        </w:tc>
        <w:tc>
          <w:tcPr>
            <w:tcW w:w="1561" w:type="pct"/>
            <w:shd w:val="clear" w:color="auto" w:fill="FFFFFF"/>
            <w:noWrap w:val="0"/>
            <w:vAlign w:val="center"/>
          </w:tcPr>
          <w:p w14:paraId="7A0DA08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①经梳理，项目2022—2024年度电梯维修保养费用4600元/年/座、消防维保3000元/年。</w:t>
            </w:r>
          </w:p>
          <w:p w14:paraId="149961C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②电梯维保调研：日常保养（清洁、润滑、调整、检查等常规项目）年度日常保养费用约为2300—5000元，年检费用500元/部/年、保险费用200元/部/年，合计约为3000—5700元/部/年。</w:t>
            </w:r>
          </w:p>
          <w:p w14:paraId="5F7D12B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③消防维保调研：根据消防维保对象不同，维保费用存在较大差异，大型公共建筑消防维保费用约为0.4元/平方米/年，本项目总建筑面积2.8万平方米，消防维保费用应控制在1.12万元/年以下。</w:t>
            </w:r>
          </w:p>
          <w:p w14:paraId="0E8F178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综上所述，本项目电梯维修保养费用、消防维保费用低于市场调研价格，符合指标考核要求。</w:t>
            </w:r>
          </w:p>
        </w:tc>
        <w:tc>
          <w:tcPr>
            <w:tcW w:w="712" w:type="pct"/>
            <w:shd w:val="clear" w:color="auto" w:fill="FFFFFF"/>
            <w:noWrap w:val="0"/>
            <w:vAlign w:val="center"/>
          </w:tcPr>
          <w:p w14:paraId="30A9D399">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①《电梯维保合同书》；</w:t>
            </w:r>
          </w:p>
          <w:p w14:paraId="16DF61A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②《建筑消防设施维护保养合同》；</w:t>
            </w:r>
          </w:p>
          <w:p w14:paraId="3921A790">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③市场调研情况。</w:t>
            </w:r>
          </w:p>
        </w:tc>
        <w:tc>
          <w:tcPr>
            <w:tcW w:w="263" w:type="pct"/>
            <w:shd w:val="clear" w:color="auto" w:fill="FFFFFF"/>
            <w:noWrap w:val="0"/>
            <w:vAlign w:val="center"/>
          </w:tcPr>
          <w:p w14:paraId="0FE96E4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荣成博物馆提供资料、市场调研</w:t>
            </w:r>
          </w:p>
        </w:tc>
      </w:tr>
      <w:tr w14:paraId="14BF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4FF9B12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vMerge w:val="continue"/>
            <w:shd w:val="clear" w:color="auto" w:fill="FFFFFF"/>
            <w:noWrap w:val="0"/>
            <w:vAlign w:val="center"/>
          </w:tcPr>
          <w:p w14:paraId="62145D6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p>
        </w:tc>
        <w:tc>
          <w:tcPr>
            <w:tcW w:w="219" w:type="pct"/>
            <w:shd w:val="clear" w:color="auto" w:fill="FFFFFF"/>
            <w:noWrap w:val="0"/>
            <w:vAlign w:val="center"/>
          </w:tcPr>
          <w:p w14:paraId="230293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活动成本控制情况</w:t>
            </w:r>
          </w:p>
          <w:p w14:paraId="4E35FF7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445" w:type="pct"/>
            <w:shd w:val="clear" w:color="auto" w:fill="FFFFFF"/>
            <w:noWrap w:val="0"/>
            <w:vAlign w:val="center"/>
          </w:tcPr>
          <w:p w14:paraId="0507560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评估博物馆举办各类展览、活动等的成本控制效果。</w:t>
            </w:r>
          </w:p>
        </w:tc>
        <w:tc>
          <w:tcPr>
            <w:tcW w:w="1084" w:type="pct"/>
            <w:shd w:val="clear" w:color="auto" w:fill="FFFFFF"/>
            <w:noWrap w:val="0"/>
            <w:vAlign w:val="center"/>
          </w:tcPr>
          <w:p w14:paraId="7234223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①对项目布展活动、维修维护、布展建设费用凭证进行核查，剔除不合理成本，与项目实际发生成本进行对比，偏差小于5%，得满分；</w:t>
            </w:r>
          </w:p>
          <w:p w14:paraId="6945D31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②若核定总活动成本与项目实际发生成本偏差大于等于5%、小于10%，且无正当理由的，扣2分；</w:t>
            </w:r>
          </w:p>
          <w:p w14:paraId="2FBCC7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③若核定总活动成本与项目实际发生成本偏差大于等于10%、小于20%，且无正当理由的，扣4分；</w:t>
            </w:r>
          </w:p>
          <w:p w14:paraId="60DC179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④若核定总活动合理成本与项目实际发生成本偏差在20%及以上，且无正当理由的，扣2分。</w:t>
            </w:r>
          </w:p>
          <w:p w14:paraId="169D9D0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⑤上述各项费用金额超出当年度预算目标对应金额的，每出现一次扣0.5分。</w:t>
            </w:r>
          </w:p>
        </w:tc>
        <w:tc>
          <w:tcPr>
            <w:tcW w:w="238" w:type="pct"/>
            <w:shd w:val="clear" w:color="auto" w:fill="FFFFFF"/>
            <w:noWrap w:val="0"/>
            <w:vAlign w:val="center"/>
          </w:tcPr>
          <w:p w14:paraId="67A787A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6</w:t>
            </w:r>
          </w:p>
        </w:tc>
        <w:tc>
          <w:tcPr>
            <w:tcW w:w="1561" w:type="pct"/>
            <w:shd w:val="clear" w:color="auto" w:fill="FFFFFF"/>
            <w:noWrap w:val="0"/>
            <w:vAlign w:val="center"/>
          </w:tcPr>
          <w:p w14:paraId="2608084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①对荣成博物馆2022—2024年度的活动举办、布展、维修维护相关费用进行梳理：</w:t>
            </w:r>
          </w:p>
          <w:p w14:paraId="7ACD981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2022年度基础设施维护费17.00万元、展馆建设费18.83万元、布展联系费6.78万元；</w:t>
            </w:r>
          </w:p>
          <w:p w14:paraId="0A2EA0E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2023年度基础设施维护费0.55万元、布展联系费4.97万元；</w:t>
            </w:r>
          </w:p>
          <w:p w14:paraId="3B33BD3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2024年度基础设施维护费12.31万元、展馆建设费4.95万元、布展联系费6.58万元；</w:t>
            </w:r>
          </w:p>
          <w:p w14:paraId="2AE753FA">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上述费用报销凭证齐全，具体支出用途与费用分类相符，未发现不合理成本。</w:t>
            </w:r>
          </w:p>
          <w:p w14:paraId="1E06F70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②对各项费用预算目标进行梳理：</w:t>
            </w:r>
          </w:p>
          <w:p w14:paraId="7C9406D3">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2022年度绩效目标未明确；</w:t>
            </w:r>
          </w:p>
          <w:p w14:paraId="526C6AC2">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2023年度绩效目标中基础设施维护费29.4万元、布展联系费15万元；</w:t>
            </w:r>
          </w:p>
          <w:p w14:paraId="1964B8A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2024年度绩效目标中基础设施维护费10万元</w:t>
            </w:r>
            <w:r>
              <w:rPr>
                <w:rFonts w:hint="eastAsia" w:ascii="Times New Roman" w:hAnsi="Times New Roman" w:eastAsia="仿宋_GB2312" w:cs="Times New Roman"/>
                <w:sz w:val="24"/>
                <w:szCs w:val="24"/>
                <w:lang w:val="en-US" w:eastAsia="zh-CN"/>
              </w:rPr>
              <w:t>/项</w:t>
            </w:r>
            <w:r>
              <w:rPr>
                <w:rFonts w:hint="default" w:ascii="Times New Roman" w:hAnsi="Times New Roman" w:eastAsia="仿宋_GB2312" w:cs="Times New Roman"/>
                <w:sz w:val="24"/>
                <w:szCs w:val="24"/>
                <w:lang w:val="en-US" w:eastAsia="zh-CN"/>
              </w:rPr>
              <w:t>、展馆建设费8万元、布展联系费5万元；</w:t>
            </w:r>
          </w:p>
          <w:p w14:paraId="509B827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对上述绩效目标与实际支出情况进行对比，</w:t>
            </w:r>
            <w:r>
              <w:rPr>
                <w:rFonts w:hint="eastAsia" w:ascii="Times New Roman" w:hAnsi="Times New Roman" w:eastAsia="仿宋_GB2312" w:cs="Times New Roman"/>
                <w:sz w:val="24"/>
                <w:szCs w:val="24"/>
                <w:lang w:val="en-US" w:eastAsia="zh-CN"/>
              </w:rPr>
              <w:t>未发现成本控制不到位、超支的情形</w:t>
            </w:r>
            <w:r>
              <w:rPr>
                <w:rFonts w:hint="default" w:ascii="Times New Roman" w:hAnsi="Times New Roman" w:eastAsia="仿宋_GB2312" w:cs="Times New Roman"/>
                <w:sz w:val="24"/>
                <w:szCs w:val="24"/>
                <w:lang w:val="en-US" w:eastAsia="zh-CN"/>
              </w:rPr>
              <w:t>。</w:t>
            </w:r>
          </w:p>
        </w:tc>
        <w:tc>
          <w:tcPr>
            <w:tcW w:w="712" w:type="pct"/>
            <w:shd w:val="clear" w:color="auto" w:fill="FFFFFF"/>
            <w:noWrap w:val="0"/>
            <w:vAlign w:val="center"/>
          </w:tcPr>
          <w:p w14:paraId="0246013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①《项目支出绩效目标表》；</w:t>
            </w:r>
          </w:p>
          <w:p w14:paraId="259D487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②《博物馆运转经费支出明细表》；</w:t>
            </w:r>
          </w:p>
          <w:p w14:paraId="3FD8DF5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③项目财务凭证资料。</w:t>
            </w:r>
          </w:p>
        </w:tc>
        <w:tc>
          <w:tcPr>
            <w:tcW w:w="263" w:type="pct"/>
            <w:shd w:val="clear" w:color="auto" w:fill="FFFFFF"/>
            <w:noWrap w:val="0"/>
            <w:vAlign w:val="center"/>
          </w:tcPr>
          <w:p w14:paraId="7CDFAAC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荣成博物馆提供资料、现场检查</w:t>
            </w:r>
          </w:p>
        </w:tc>
      </w:tr>
      <w:tr w14:paraId="7F06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restart"/>
            <w:shd w:val="clear" w:color="auto" w:fill="FFFFFF"/>
            <w:noWrap w:val="0"/>
            <w:vAlign w:val="center"/>
          </w:tcPr>
          <w:p w14:paraId="27E57E9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效益</w:t>
            </w:r>
          </w:p>
          <w:p w14:paraId="53B3089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w:t>
            </w:r>
            <w:r>
              <w:rPr>
                <w:rFonts w:hint="default" w:ascii="Times New Roman" w:hAnsi="Times New Roman" w:eastAsia="仿宋_GB2312" w:cs="Times New Roman"/>
                <w:sz w:val="24"/>
                <w:szCs w:val="24"/>
                <w:lang w:val="en-US" w:eastAsia="zh-CN"/>
              </w:rPr>
              <w:t>5)</w:t>
            </w:r>
          </w:p>
        </w:tc>
        <w:tc>
          <w:tcPr>
            <w:tcW w:w="235" w:type="pct"/>
            <w:shd w:val="clear" w:color="auto" w:fill="FFFFFF"/>
            <w:noWrap w:val="0"/>
            <w:vAlign w:val="center"/>
          </w:tcPr>
          <w:p w14:paraId="7EB3B7D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社会效益</w:t>
            </w:r>
          </w:p>
          <w:p w14:paraId="3434F5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219" w:type="pct"/>
            <w:shd w:val="clear" w:color="auto" w:fill="FFFFFF"/>
            <w:noWrap w:val="0"/>
            <w:vAlign w:val="center"/>
          </w:tcPr>
          <w:p w14:paraId="21D016B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活动承办情况</w:t>
            </w:r>
          </w:p>
          <w:p w14:paraId="3CF7F31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445" w:type="pct"/>
            <w:shd w:val="clear" w:color="auto" w:fill="FFFFFF"/>
            <w:noWrap w:val="0"/>
            <w:vAlign w:val="center"/>
          </w:tcPr>
          <w:p w14:paraId="0EFDF9D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评估荣成博物馆运转经费项目实施带来的社会效益。</w:t>
            </w:r>
          </w:p>
        </w:tc>
        <w:tc>
          <w:tcPr>
            <w:tcW w:w="1084" w:type="pct"/>
            <w:shd w:val="clear" w:color="auto" w:fill="FFFFFF"/>
            <w:noWrap w:val="0"/>
            <w:vAlign w:val="center"/>
          </w:tcPr>
          <w:p w14:paraId="39D653D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①文化传承与教育：博物馆通过宣讲等方式，传承和弘扬当地文化，年均宣讲场次大于40场的，得4分；每缺少1次扣0.1分。</w:t>
            </w:r>
          </w:p>
          <w:p w14:paraId="47E3F7A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②共建合作：博物馆与高校、企业或单位联合组织关于精神弘扬、思想政治培训等正面活动、展览的，年均活动场次大于10场的，得2分；每缺少一次扣0.2分。</w:t>
            </w:r>
          </w:p>
        </w:tc>
        <w:tc>
          <w:tcPr>
            <w:tcW w:w="238" w:type="pct"/>
            <w:shd w:val="clear" w:color="auto" w:fill="FFFFFF"/>
            <w:noWrap w:val="0"/>
            <w:vAlign w:val="center"/>
          </w:tcPr>
          <w:p w14:paraId="2066324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6</w:t>
            </w:r>
          </w:p>
        </w:tc>
        <w:tc>
          <w:tcPr>
            <w:tcW w:w="1561" w:type="pct"/>
            <w:shd w:val="clear" w:color="auto" w:fill="FFFFFF"/>
            <w:noWrap w:val="0"/>
            <w:vAlign w:val="center"/>
          </w:tcPr>
          <w:p w14:paraId="00BDCA4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据统计，荣成博物馆2022—2024年积极开展宣讲、展览、纪念等活动，本项指标得满分，具体如下：</w:t>
            </w:r>
          </w:p>
          <w:p w14:paraId="36C9870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①荣成博物馆2022—2024年度累计开展宣讲活动139场、年均宣讲场次约45场，大于指标要求的40场/年。</w:t>
            </w:r>
          </w:p>
          <w:p w14:paraId="0D72CDF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②荣成博物馆2022—2024年度累计开展展览、纪念及宣传活动50场，年均活动场次16场，大于指标要求的10场/年。</w:t>
            </w:r>
          </w:p>
        </w:tc>
        <w:tc>
          <w:tcPr>
            <w:tcW w:w="712" w:type="pct"/>
            <w:shd w:val="clear" w:color="auto" w:fill="FFFFFF"/>
            <w:noWrap w:val="0"/>
            <w:vAlign w:val="center"/>
          </w:tcPr>
          <w:p w14:paraId="276E360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①《年度工作总结》；</w:t>
            </w:r>
          </w:p>
          <w:p w14:paraId="5F9F3468">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②《年度市级预算项目绩效自评表》。</w:t>
            </w:r>
          </w:p>
        </w:tc>
        <w:tc>
          <w:tcPr>
            <w:tcW w:w="263" w:type="pct"/>
            <w:shd w:val="clear" w:color="auto" w:fill="FFFFFF"/>
            <w:noWrap w:val="0"/>
            <w:vAlign w:val="center"/>
          </w:tcPr>
          <w:p w14:paraId="4C13DFB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602A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797D87C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p>
        </w:tc>
        <w:tc>
          <w:tcPr>
            <w:tcW w:w="235" w:type="pct"/>
            <w:shd w:val="clear" w:color="auto" w:fill="FFFFFF"/>
            <w:noWrap w:val="0"/>
            <w:vAlign w:val="center"/>
          </w:tcPr>
          <w:p w14:paraId="4683E59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经济效益</w:t>
            </w:r>
          </w:p>
          <w:p w14:paraId="261967E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219" w:type="pct"/>
            <w:shd w:val="clear" w:color="auto" w:fill="FFFFFF"/>
            <w:noWrap w:val="0"/>
            <w:vAlign w:val="center"/>
          </w:tcPr>
          <w:p w14:paraId="101D860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陈列馆培训费收入情况</w:t>
            </w:r>
          </w:p>
          <w:p w14:paraId="5ADB718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445" w:type="pct"/>
            <w:shd w:val="clear" w:color="auto" w:fill="FFFFFF"/>
            <w:noWrap w:val="0"/>
            <w:vAlign w:val="center"/>
          </w:tcPr>
          <w:p w14:paraId="2F1A71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评估荣成博物馆陈列馆开展培训活动所获得的收入情况。</w:t>
            </w:r>
          </w:p>
        </w:tc>
        <w:tc>
          <w:tcPr>
            <w:tcW w:w="1084" w:type="pct"/>
            <w:shd w:val="clear" w:color="auto" w:fill="FFFFFF"/>
            <w:noWrap w:val="0"/>
            <w:vAlign w:val="center"/>
          </w:tcPr>
          <w:p w14:paraId="673F848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①对于2022—2024年度郭永怀事迹陈列馆各年度的培训费非税收入均能达到年度预算目标金额及以上的，得满分。</w:t>
            </w:r>
          </w:p>
          <w:p w14:paraId="254845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②在2022—2024年度中出现1次及以上培训费非税收入未达到年度预算目标金额，且偏差小于10%的，扣0.5分；</w:t>
            </w:r>
          </w:p>
          <w:p w14:paraId="41AC5C7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③在2022—2024年度中出现1次及以上培训费非税收入未达到年度预算目标金额，且若偏差大于等于10%、小于20%的，扣1分；</w:t>
            </w:r>
          </w:p>
          <w:p w14:paraId="59144A2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④在2022—2024年度中出现1次及以上培训费非税收入未达到年度预算目标金额，且偏差大于等于20%的，本项指标不得分。</w:t>
            </w:r>
          </w:p>
        </w:tc>
        <w:tc>
          <w:tcPr>
            <w:tcW w:w="238" w:type="pct"/>
            <w:shd w:val="clear" w:color="auto" w:fill="FFFFFF"/>
            <w:noWrap w:val="0"/>
            <w:vAlign w:val="center"/>
          </w:tcPr>
          <w:p w14:paraId="0FFCF2A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2</w:t>
            </w:r>
          </w:p>
        </w:tc>
        <w:tc>
          <w:tcPr>
            <w:tcW w:w="1561" w:type="pct"/>
            <w:shd w:val="clear" w:color="auto" w:fill="FFFFFF"/>
            <w:noWrap w:val="0"/>
            <w:vAlign w:val="center"/>
          </w:tcPr>
          <w:p w14:paraId="53DD104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据统计，荣成博物馆各年度实际非税收入均大于预算目标金额，本指标得满分。具体如下：</w:t>
            </w:r>
          </w:p>
          <w:p w14:paraId="56FBB17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①2022年度目标金额10万元、实际收入14.20万元；</w:t>
            </w:r>
          </w:p>
          <w:p w14:paraId="50BFBA5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②2023年度目标金额20万元、实际收入40.72万元；</w:t>
            </w:r>
          </w:p>
          <w:p w14:paraId="7929A2BC">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③2024年度目标金额22万元、实际收入27.80万元。</w:t>
            </w:r>
          </w:p>
        </w:tc>
        <w:tc>
          <w:tcPr>
            <w:tcW w:w="712" w:type="pct"/>
            <w:shd w:val="clear" w:color="auto" w:fill="FFFFFF"/>
            <w:noWrap w:val="0"/>
            <w:vAlign w:val="center"/>
          </w:tcPr>
          <w:p w14:paraId="59018B8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《2022—2024年非税收入收支情况表》</w:t>
            </w:r>
          </w:p>
        </w:tc>
        <w:tc>
          <w:tcPr>
            <w:tcW w:w="263" w:type="pct"/>
            <w:shd w:val="clear" w:color="auto" w:fill="FFFFFF"/>
            <w:noWrap w:val="0"/>
            <w:vAlign w:val="center"/>
          </w:tcPr>
          <w:p w14:paraId="2DC65321">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33F2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1DF756F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shd w:val="clear" w:color="auto" w:fill="FFFFFF"/>
            <w:noWrap w:val="0"/>
            <w:vAlign w:val="center"/>
          </w:tcPr>
          <w:p w14:paraId="39A4E47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可持续影响</w:t>
            </w:r>
          </w:p>
          <w:p w14:paraId="5B533E6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w:t>
            </w:r>
          </w:p>
        </w:tc>
        <w:tc>
          <w:tcPr>
            <w:tcW w:w="219" w:type="pct"/>
            <w:shd w:val="clear" w:color="auto" w:fill="FFFFFF"/>
            <w:noWrap w:val="0"/>
            <w:vAlign w:val="center"/>
          </w:tcPr>
          <w:p w14:paraId="291FD31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游客量变化情况</w:t>
            </w:r>
          </w:p>
          <w:p w14:paraId="2680AAD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w:t>
            </w:r>
          </w:p>
        </w:tc>
        <w:tc>
          <w:tcPr>
            <w:tcW w:w="445" w:type="pct"/>
            <w:shd w:val="clear" w:color="auto" w:fill="FFFFFF"/>
            <w:noWrap w:val="0"/>
            <w:vAlign w:val="center"/>
          </w:tcPr>
          <w:p w14:paraId="0C7AE47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评估荣成博物馆在项目实施后对地方文化发展产生的影响。</w:t>
            </w:r>
          </w:p>
        </w:tc>
        <w:tc>
          <w:tcPr>
            <w:tcW w:w="1084" w:type="pct"/>
            <w:shd w:val="clear" w:color="auto" w:fill="FFFFFF"/>
            <w:noWrap w:val="0"/>
            <w:vAlign w:val="center"/>
          </w:tcPr>
          <w:p w14:paraId="1269A06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①博物馆通过活动宣传等方式，2024年度游客数量大于等于2022年度游客数量的，得满分。</w:t>
            </w:r>
          </w:p>
          <w:p w14:paraId="6282B84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②2024年度游客数量低于2022年度游客数量、但减少幅度小于等于5%的，扣2分；</w:t>
            </w:r>
          </w:p>
          <w:p w14:paraId="73464E7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③2024年度游客数量低于2022年度游客数量、但减少幅度在5%—10%（含10%）的，扣4分；</w:t>
            </w:r>
          </w:p>
          <w:p w14:paraId="67002A3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④2024年度游客数量低于2022年度游客数量10%以上的，本项指标不得分。</w:t>
            </w:r>
          </w:p>
        </w:tc>
        <w:tc>
          <w:tcPr>
            <w:tcW w:w="238" w:type="pct"/>
            <w:shd w:val="clear" w:color="auto" w:fill="FFFFFF"/>
            <w:noWrap w:val="0"/>
            <w:vAlign w:val="center"/>
          </w:tcPr>
          <w:p w14:paraId="0B948E0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7</w:t>
            </w:r>
          </w:p>
        </w:tc>
        <w:tc>
          <w:tcPr>
            <w:tcW w:w="1561" w:type="pct"/>
            <w:shd w:val="clear" w:color="auto" w:fill="FFFFFF"/>
            <w:noWrap w:val="0"/>
            <w:vAlign w:val="center"/>
          </w:tcPr>
          <w:p w14:paraId="12637157">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2022—2024年参观人数统计表》，荣成博物馆2022年接待游客18万人、2023年接待游客35万人、2024年接待游客47.6万人，年度游客数量增长显著，反映博物馆活动宣传及承办成效显著，不存在2024年游客数量低于2022年游客数量情形，本指标得满分。</w:t>
            </w:r>
          </w:p>
        </w:tc>
        <w:tc>
          <w:tcPr>
            <w:tcW w:w="712" w:type="pct"/>
            <w:shd w:val="clear" w:color="auto" w:fill="FFFFFF"/>
            <w:noWrap w:val="0"/>
            <w:vAlign w:val="center"/>
          </w:tcPr>
          <w:p w14:paraId="241AA0EF">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《2022—2024年参观人数统计表》</w:t>
            </w:r>
          </w:p>
        </w:tc>
        <w:tc>
          <w:tcPr>
            <w:tcW w:w="263" w:type="pct"/>
            <w:shd w:val="clear" w:color="auto" w:fill="FFFFFF"/>
            <w:noWrap w:val="0"/>
            <w:vAlign w:val="center"/>
          </w:tcPr>
          <w:p w14:paraId="3AD0848E">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荣成博物馆提供资料</w:t>
            </w:r>
          </w:p>
        </w:tc>
      </w:tr>
      <w:tr w14:paraId="7263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237" w:type="pct"/>
            <w:vMerge w:val="continue"/>
            <w:shd w:val="clear" w:color="auto" w:fill="FFFFFF"/>
            <w:noWrap w:val="0"/>
            <w:vAlign w:val="center"/>
          </w:tcPr>
          <w:p w14:paraId="16801BB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235" w:type="pct"/>
            <w:shd w:val="clear" w:color="auto" w:fill="FFFFFF"/>
            <w:noWrap w:val="0"/>
            <w:vAlign w:val="center"/>
          </w:tcPr>
          <w:p w14:paraId="33F078E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满意度</w:t>
            </w:r>
          </w:p>
          <w:p w14:paraId="5B07EDE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219" w:type="pct"/>
            <w:shd w:val="clear" w:color="auto" w:fill="FFFFFF"/>
            <w:noWrap w:val="0"/>
            <w:vAlign w:val="center"/>
          </w:tcPr>
          <w:p w14:paraId="30A069D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服务对象满意度</w:t>
            </w:r>
          </w:p>
          <w:p w14:paraId="42189E0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w:t>
            </w:r>
          </w:p>
        </w:tc>
        <w:tc>
          <w:tcPr>
            <w:tcW w:w="445" w:type="pct"/>
            <w:shd w:val="clear" w:color="auto" w:fill="FFFFFF"/>
            <w:noWrap w:val="0"/>
            <w:vAlign w:val="center"/>
          </w:tcPr>
          <w:p w14:paraId="59DC0DB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反映服务对象对荣成博物馆各项服务的满意程度。</w:t>
            </w:r>
          </w:p>
        </w:tc>
        <w:tc>
          <w:tcPr>
            <w:tcW w:w="1084" w:type="pct"/>
            <w:shd w:val="clear" w:color="auto" w:fill="FFFFFF"/>
            <w:noWrap w:val="0"/>
            <w:vAlign w:val="center"/>
          </w:tcPr>
          <w:p w14:paraId="41553F9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根据博物馆游客对项目各方面情况反馈的满意程度进行打分：</w:t>
            </w:r>
          </w:p>
          <w:p w14:paraId="14C3FBE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①满意比例超过95%（含95%），得满分；</w:t>
            </w:r>
          </w:p>
          <w:p w14:paraId="4D43A20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②每降低1%（不足1%按1%计算），扣1分，本项指标扣完为止。</w:t>
            </w:r>
          </w:p>
        </w:tc>
        <w:tc>
          <w:tcPr>
            <w:tcW w:w="238" w:type="pct"/>
            <w:shd w:val="clear" w:color="auto" w:fill="FFFFFF"/>
            <w:noWrap w:val="0"/>
            <w:vAlign w:val="center"/>
          </w:tcPr>
          <w:p w14:paraId="60B5FAD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10</w:t>
            </w:r>
          </w:p>
        </w:tc>
        <w:tc>
          <w:tcPr>
            <w:tcW w:w="1561" w:type="pct"/>
            <w:shd w:val="clear" w:color="auto" w:fill="FFFFFF"/>
            <w:noWrap w:val="0"/>
            <w:vAlign w:val="center"/>
          </w:tcPr>
          <w:p w14:paraId="11D1D3D5">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本项目通过线上问卷调查方式，对来访学生团队、活动合作社团及其他来访游客就博物馆各项服务的满意度进行调查，收集满意度调查问卷90份，其中86份“非常满意”、2份“较为满意”，2份“满意”，无“不满意”情形，满意比例达100%，本指标得满分。</w:t>
            </w:r>
          </w:p>
        </w:tc>
        <w:tc>
          <w:tcPr>
            <w:tcW w:w="712" w:type="pct"/>
            <w:shd w:val="clear" w:color="auto" w:fill="FFFFFF"/>
            <w:noWrap w:val="0"/>
            <w:vAlign w:val="center"/>
          </w:tcPr>
          <w:p w14:paraId="49DDE2F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《满意度调查问卷》</w:t>
            </w:r>
          </w:p>
        </w:tc>
        <w:tc>
          <w:tcPr>
            <w:tcW w:w="263" w:type="pct"/>
            <w:shd w:val="clear" w:color="auto" w:fill="FFFFFF"/>
            <w:noWrap w:val="0"/>
            <w:vAlign w:val="center"/>
          </w:tcPr>
          <w:p w14:paraId="06A9A4B4">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线上调研</w:t>
            </w:r>
          </w:p>
        </w:tc>
      </w:tr>
      <w:tr w14:paraId="383A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rPr>
        <w:tc>
          <w:tcPr>
            <w:tcW w:w="692" w:type="pct"/>
            <w:gridSpan w:val="3"/>
            <w:shd w:val="clear" w:color="auto" w:fill="FFFFFF"/>
            <w:noWrap w:val="0"/>
            <w:vAlign w:val="center"/>
          </w:tcPr>
          <w:p w14:paraId="137DDED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合计</w:t>
            </w:r>
          </w:p>
        </w:tc>
        <w:tc>
          <w:tcPr>
            <w:tcW w:w="445" w:type="pct"/>
            <w:shd w:val="clear" w:color="auto" w:fill="FFFFFF"/>
            <w:noWrap w:val="0"/>
            <w:vAlign w:val="center"/>
          </w:tcPr>
          <w:p w14:paraId="574C652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p>
        </w:tc>
        <w:tc>
          <w:tcPr>
            <w:tcW w:w="1084" w:type="pct"/>
            <w:shd w:val="clear" w:color="auto" w:fill="FFFFFF"/>
            <w:noWrap w:val="0"/>
            <w:vAlign w:val="center"/>
          </w:tcPr>
          <w:p w14:paraId="07C417C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4"/>
                <w:szCs w:val="24"/>
                <w:lang w:val="en-US" w:eastAsia="zh-CN"/>
              </w:rPr>
            </w:pPr>
          </w:p>
        </w:tc>
        <w:tc>
          <w:tcPr>
            <w:tcW w:w="238" w:type="pct"/>
            <w:shd w:val="clear" w:color="auto" w:fill="FFFFFF"/>
            <w:noWrap w:val="0"/>
            <w:vAlign w:val="center"/>
          </w:tcPr>
          <w:p w14:paraId="25E21B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sz w:val="24"/>
                <w:szCs w:val="24"/>
                <w:highlight w:val="none"/>
                <w:lang w:val="en-US" w:eastAsia="zh-CN"/>
              </w:rPr>
              <w:t>91</w:t>
            </w:r>
            <w:r>
              <w:rPr>
                <w:rFonts w:hint="default" w:ascii="Times New Roman" w:hAnsi="Times New Roman" w:eastAsia="仿宋_GB2312" w:cs="Times New Roman"/>
                <w:sz w:val="24"/>
                <w:szCs w:val="24"/>
                <w:highlight w:val="none"/>
                <w:lang w:val="en-US" w:eastAsia="zh-CN"/>
              </w:rPr>
              <w:t>.5</w:t>
            </w:r>
          </w:p>
        </w:tc>
        <w:tc>
          <w:tcPr>
            <w:tcW w:w="1561" w:type="pct"/>
            <w:shd w:val="clear" w:color="auto" w:fill="FFFFFF"/>
            <w:noWrap w:val="0"/>
            <w:vAlign w:val="center"/>
          </w:tcPr>
          <w:p w14:paraId="26C7DD0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p>
        </w:tc>
        <w:tc>
          <w:tcPr>
            <w:tcW w:w="712" w:type="pct"/>
            <w:shd w:val="clear" w:color="auto" w:fill="FFFFFF"/>
            <w:noWrap w:val="0"/>
            <w:vAlign w:val="center"/>
          </w:tcPr>
          <w:p w14:paraId="24F2D03D">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p>
        </w:tc>
        <w:tc>
          <w:tcPr>
            <w:tcW w:w="263" w:type="pct"/>
            <w:shd w:val="clear" w:color="auto" w:fill="FFFFFF"/>
            <w:noWrap w:val="0"/>
            <w:vAlign w:val="center"/>
          </w:tcPr>
          <w:p w14:paraId="3FBFDEDB">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4"/>
                <w:szCs w:val="24"/>
                <w:lang w:val="en-US" w:eastAsia="zh-CN"/>
              </w:rPr>
            </w:pPr>
          </w:p>
        </w:tc>
      </w:tr>
    </w:tbl>
    <w:p w14:paraId="033A4BCD">
      <w:pPr>
        <w:rPr>
          <w:rFonts w:hint="default" w:ascii="Times New Roman Regular" w:hAnsi="Times New Roman Regular" w:cs="Times New Roman Regular"/>
          <w:color w:val="auto"/>
          <w:highlight w:val="none"/>
          <w:lang w:val="en-US" w:eastAsia="zh-CN"/>
        </w:rPr>
      </w:pPr>
    </w:p>
    <w:p w14:paraId="2372E4D9">
      <w:pPr>
        <w:rPr>
          <w:rFonts w:hint="default" w:ascii="Times New Roman Regular" w:hAnsi="Times New Roman Regular" w:cs="Times New Roman Regular"/>
          <w:color w:val="auto"/>
          <w:highlight w:val="none"/>
          <w:lang w:val="en-US" w:eastAsia="zh-CN"/>
        </w:rPr>
        <w:sectPr>
          <w:pgSz w:w="16838" w:h="11906" w:orient="landscape"/>
          <w:pgMar w:top="1814" w:right="1417" w:bottom="1814" w:left="1474" w:header="851" w:footer="1134" w:gutter="0"/>
          <w:pgNumType w:fmt="decimal"/>
          <w:cols w:space="0" w:num="1"/>
          <w:rtlGutter w:val="0"/>
          <w:docGrid w:linePitch="312" w:charSpace="0"/>
        </w:sectPr>
      </w:pPr>
    </w:p>
    <w:p w14:paraId="3E4AF5B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0"/>
        <w:rPr>
          <w:rFonts w:hint="default" w:ascii="Times New Roman Regular" w:hAnsi="Times New Roman Regular" w:eastAsia="黑体" w:cs="Times New Roman Regular"/>
          <w:color w:val="auto"/>
          <w:sz w:val="32"/>
          <w:szCs w:val="40"/>
          <w:highlight w:val="none"/>
          <w:lang w:val="en-US" w:eastAsia="zh-CN"/>
        </w:rPr>
      </w:pPr>
      <w:bookmarkStart w:id="66" w:name="_Toc10869"/>
      <w:r>
        <w:rPr>
          <w:rFonts w:hint="default" w:ascii="Times New Roman Regular" w:hAnsi="Times New Roman Regular" w:eastAsia="黑体" w:cs="Times New Roman Regular"/>
          <w:color w:val="auto"/>
          <w:sz w:val="32"/>
          <w:szCs w:val="40"/>
          <w:highlight w:val="none"/>
          <w:lang w:val="en-US" w:eastAsia="zh-CN"/>
        </w:rPr>
        <w:t>附件</w:t>
      </w:r>
      <w:r>
        <w:rPr>
          <w:rFonts w:hint="eastAsia" w:ascii="Times New Roman Regular" w:hAnsi="Times New Roman Regular" w:eastAsia="黑体" w:cs="Times New Roman Regular"/>
          <w:color w:val="auto"/>
          <w:sz w:val="32"/>
          <w:szCs w:val="40"/>
          <w:highlight w:val="none"/>
          <w:lang w:val="en-US" w:eastAsia="zh-CN"/>
        </w:rPr>
        <w:t>3</w:t>
      </w:r>
      <w:r>
        <w:rPr>
          <w:rFonts w:hint="default" w:ascii="Times New Roman Regular" w:hAnsi="Times New Roman Regular" w:eastAsia="黑体" w:cs="Times New Roman Regular"/>
          <w:color w:val="auto"/>
          <w:sz w:val="32"/>
          <w:szCs w:val="40"/>
          <w:highlight w:val="none"/>
          <w:lang w:val="en-US" w:eastAsia="zh-CN"/>
        </w:rPr>
        <w:t>：</w:t>
      </w:r>
      <w:bookmarkEnd w:id="65"/>
      <w:r>
        <w:rPr>
          <w:rFonts w:hint="default" w:ascii="Times New Roman Regular" w:hAnsi="Times New Roman Regular" w:eastAsia="黑体" w:cs="Times New Roman Regular"/>
          <w:color w:val="auto"/>
          <w:sz w:val="32"/>
          <w:szCs w:val="40"/>
          <w:highlight w:val="none"/>
          <w:lang w:val="en-US" w:eastAsia="zh-CN"/>
        </w:rPr>
        <w:t>调查问卷情况</w:t>
      </w:r>
      <w:bookmarkEnd w:id="66"/>
    </w:p>
    <w:p w14:paraId="6B99E50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Regular" w:hAnsi="Times New Roman Regular" w:eastAsia="方正小标宋简体" w:cs="Times New Roman Regular"/>
          <w:color w:val="auto"/>
          <w:sz w:val="44"/>
          <w:szCs w:val="52"/>
          <w:highlight w:val="none"/>
          <w:lang w:val="en-US" w:eastAsia="zh-CN"/>
        </w:rPr>
      </w:pPr>
      <w:bookmarkStart w:id="67" w:name="_Toc1669722920"/>
      <w:bookmarkStart w:id="68" w:name="_Toc796453614"/>
      <w:r>
        <w:rPr>
          <w:rFonts w:hint="default" w:ascii="Times New Roman Regular" w:hAnsi="Times New Roman Regular" w:eastAsia="方正小标宋简体" w:cs="Times New Roman Regular"/>
          <w:color w:val="auto"/>
          <w:sz w:val="44"/>
          <w:szCs w:val="52"/>
          <w:highlight w:val="none"/>
          <w:lang w:val="en-US" w:eastAsia="zh-CN"/>
        </w:rPr>
        <w:t>调查问卷</w:t>
      </w:r>
      <w:bookmarkEnd w:id="67"/>
      <w:bookmarkEnd w:id="68"/>
      <w:r>
        <w:rPr>
          <w:rFonts w:hint="eastAsia" w:ascii="Times New Roman Regular" w:hAnsi="Times New Roman Regular" w:eastAsia="方正小标宋简体" w:cs="Times New Roman Regular"/>
          <w:color w:val="auto"/>
          <w:sz w:val="44"/>
          <w:szCs w:val="52"/>
          <w:highlight w:val="none"/>
          <w:lang w:val="en-US" w:eastAsia="zh-CN"/>
        </w:rPr>
        <w:t>反馈情况汇总</w:t>
      </w:r>
    </w:p>
    <w:p w14:paraId="2E1AFC5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color w:val="auto"/>
          <w:kern w:val="0"/>
          <w:sz w:val="32"/>
          <w:szCs w:val="32"/>
          <w:highlight w:val="none"/>
          <w:lang w:val="en-US" w:eastAsia="zh-CN"/>
        </w:rPr>
      </w:pPr>
      <w:r>
        <w:rPr>
          <w:rFonts w:hint="eastAsia" w:ascii="黑体" w:hAnsi="黑体" w:eastAsia="黑体" w:cs="黑体"/>
          <w:b w:val="0"/>
          <w:color w:val="auto"/>
          <w:kern w:val="0"/>
          <w:sz w:val="32"/>
          <w:szCs w:val="32"/>
          <w:highlight w:val="none"/>
          <w:lang w:val="en-US" w:eastAsia="zh-CN"/>
        </w:rPr>
        <w:t>一、基本情况</w:t>
      </w:r>
    </w:p>
    <w:p w14:paraId="540A201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1．您的身份是</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2DEFC1E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7F97E3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5B15C47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6EF415E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1AACCF11">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3D40A4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A．学生</w:t>
            </w:r>
          </w:p>
        </w:tc>
        <w:tc>
          <w:tcPr>
            <w:tcW w:w="1000" w:type="dxa"/>
            <w:shd w:val="clear" w:color="auto" w:fill="FFFFFF"/>
            <w:vAlign w:val="center"/>
          </w:tcPr>
          <w:p w14:paraId="629CD28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w:t>
            </w:r>
          </w:p>
        </w:tc>
        <w:tc>
          <w:tcPr>
            <w:tcW w:w="3106" w:type="dxa"/>
            <w:shd w:val="clear" w:color="auto" w:fill="FFFFFF"/>
            <w:vAlign w:val="center"/>
          </w:tcPr>
          <w:p w14:paraId="07C759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8575" cy="114300"/>
                  <wp:effectExtent l="0" t="0" r="1905" b="762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1"/>
                          <a:stretch>
                            <a:fillRect/>
                          </a:stretch>
                        </pic:blipFill>
                        <pic:spPr>
                          <a:xfrm>
                            <a:off x="0" y="0"/>
                            <a:ext cx="2857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23975" cy="114300"/>
                  <wp:effectExtent l="0" t="0" r="1905" b="762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r:embed="rId12"/>
                          <a:stretch>
                            <a:fillRect/>
                          </a:stretch>
                        </pic:blipFill>
                        <pic:spPr>
                          <a:xfrm>
                            <a:off x="0" y="0"/>
                            <a:ext cx="132416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2.22%</w:t>
            </w:r>
          </w:p>
        </w:tc>
      </w:tr>
      <w:tr w14:paraId="64C18EF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87FB80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B．参观游客</w:t>
            </w:r>
          </w:p>
        </w:tc>
        <w:tc>
          <w:tcPr>
            <w:tcW w:w="1000" w:type="dxa"/>
            <w:shd w:val="clear" w:color="auto" w:fill="FAFAFA"/>
            <w:vAlign w:val="center"/>
          </w:tcPr>
          <w:p w14:paraId="1E1813A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34</w:t>
            </w:r>
          </w:p>
        </w:tc>
        <w:tc>
          <w:tcPr>
            <w:tcW w:w="3106" w:type="dxa"/>
            <w:shd w:val="clear" w:color="auto" w:fill="FAFAFA"/>
            <w:vAlign w:val="center"/>
          </w:tcPr>
          <w:p w14:paraId="579A41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504825" cy="114300"/>
                  <wp:effectExtent l="0" t="0" r="13335" b="762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3"/>
                          <a:stretch>
                            <a:fillRect/>
                          </a:stretch>
                        </pic:blipFill>
                        <pic:spPr>
                          <a:xfrm>
                            <a:off x="0" y="0"/>
                            <a:ext cx="50489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47725" cy="114300"/>
                  <wp:effectExtent l="0" t="0" r="5715" b="762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r:embed="rId14"/>
                          <a:stretch>
                            <a:fillRect/>
                          </a:stretch>
                        </pic:blipFill>
                        <pic:spPr>
                          <a:xfrm>
                            <a:off x="0" y="0"/>
                            <a:ext cx="84784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37.78%</w:t>
            </w:r>
          </w:p>
        </w:tc>
      </w:tr>
      <w:tr w14:paraId="6FC57E7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69D7ACF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C．社会团体成员</w:t>
            </w:r>
          </w:p>
        </w:tc>
        <w:tc>
          <w:tcPr>
            <w:tcW w:w="1000" w:type="dxa"/>
            <w:shd w:val="clear" w:color="auto" w:fill="FFFFFF"/>
            <w:vAlign w:val="center"/>
          </w:tcPr>
          <w:p w14:paraId="158946B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25</w:t>
            </w:r>
          </w:p>
        </w:tc>
        <w:tc>
          <w:tcPr>
            <w:tcW w:w="3106" w:type="dxa"/>
            <w:shd w:val="clear" w:color="auto" w:fill="FFFFFF"/>
            <w:vAlign w:val="center"/>
          </w:tcPr>
          <w:p w14:paraId="3634F07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71475" cy="114300"/>
                  <wp:effectExtent l="0" t="0" r="9525" b="762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15"/>
                          <a:stretch>
                            <a:fillRect/>
                          </a:stretch>
                        </pic:blipFill>
                        <pic:spPr>
                          <a:xfrm>
                            <a:off x="0" y="0"/>
                            <a:ext cx="37152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81075" cy="114300"/>
                  <wp:effectExtent l="0" t="0" r="9525" b="762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16"/>
                          <a:stretch>
                            <a:fillRect/>
                          </a:stretch>
                        </pic:blipFill>
                        <pic:spPr>
                          <a:xfrm>
                            <a:off x="0" y="0"/>
                            <a:ext cx="981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27.78%</w:t>
            </w:r>
          </w:p>
        </w:tc>
      </w:tr>
      <w:tr w14:paraId="74790289">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6C2AFE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D．其他</w:t>
            </w:r>
          </w:p>
        </w:tc>
        <w:tc>
          <w:tcPr>
            <w:tcW w:w="1000" w:type="dxa"/>
            <w:shd w:val="clear" w:color="auto" w:fill="FAFAFA"/>
            <w:vAlign w:val="center"/>
          </w:tcPr>
          <w:p w14:paraId="461233C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29</w:t>
            </w:r>
          </w:p>
        </w:tc>
        <w:tc>
          <w:tcPr>
            <w:tcW w:w="3106" w:type="dxa"/>
            <w:shd w:val="clear" w:color="auto" w:fill="FAFAFA"/>
            <w:vAlign w:val="center"/>
          </w:tcPr>
          <w:p w14:paraId="76B1FBA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428625" cy="114300"/>
                  <wp:effectExtent l="0" t="0" r="13335" b="762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7"/>
                          <a:stretch>
                            <a:fillRect/>
                          </a:stretch>
                        </pic:blipFill>
                        <pic:spPr>
                          <a:xfrm>
                            <a:off x="0" y="0"/>
                            <a:ext cx="42868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23925" cy="114300"/>
                  <wp:effectExtent l="0" t="0" r="5715" b="762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8"/>
                          <a:stretch>
                            <a:fillRect/>
                          </a:stretch>
                        </pic:blipFill>
                        <pic:spPr>
                          <a:xfrm>
                            <a:off x="0" y="0"/>
                            <a:ext cx="92405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32.22%</w:t>
            </w:r>
          </w:p>
        </w:tc>
      </w:tr>
      <w:tr w14:paraId="3F32106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EF02DA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399A279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FC037D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2784C1D3">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2．荣成博物馆带给您的整体感受是（包括卫生、安保、设施设备、展览内容等的综合感受）</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1E2C929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0FE848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736C66F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719D34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23D8A29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1DAC08A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A．非常满意</w:t>
            </w:r>
          </w:p>
        </w:tc>
        <w:tc>
          <w:tcPr>
            <w:tcW w:w="1000" w:type="dxa"/>
            <w:shd w:val="clear" w:color="auto" w:fill="FFFFFF"/>
            <w:vAlign w:val="center"/>
          </w:tcPr>
          <w:p w14:paraId="0537EC3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84</w:t>
            </w:r>
          </w:p>
        </w:tc>
        <w:tc>
          <w:tcPr>
            <w:tcW w:w="3106" w:type="dxa"/>
            <w:shd w:val="clear" w:color="auto" w:fill="FFFFFF"/>
            <w:vAlign w:val="center"/>
          </w:tcPr>
          <w:p w14:paraId="7E7B523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57300" cy="114300"/>
                  <wp:effectExtent l="0" t="0" r="7620" b="762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9"/>
                          <a:stretch>
                            <a:fillRect/>
                          </a:stretch>
                        </pic:blipFill>
                        <pic:spPr>
                          <a:xfrm>
                            <a:off x="0" y="0"/>
                            <a:ext cx="125747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0" cy="114300"/>
                  <wp:effectExtent l="0" t="0" r="11430" b="762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20"/>
                          <a:stretch>
                            <a:fillRect/>
                          </a:stretch>
                        </pic:blipFill>
                        <pic:spPr>
                          <a:xfrm>
                            <a:off x="0" y="0"/>
                            <a:ext cx="9526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93.33%</w:t>
            </w:r>
          </w:p>
        </w:tc>
      </w:tr>
      <w:tr w14:paraId="1EF96EA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4EBE8A2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B．满意</w:t>
            </w:r>
          </w:p>
        </w:tc>
        <w:tc>
          <w:tcPr>
            <w:tcW w:w="1000" w:type="dxa"/>
            <w:shd w:val="clear" w:color="auto" w:fill="FAFAFA"/>
            <w:vAlign w:val="center"/>
          </w:tcPr>
          <w:p w14:paraId="0D8987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w:t>
            </w:r>
          </w:p>
        </w:tc>
        <w:tc>
          <w:tcPr>
            <w:tcW w:w="3106" w:type="dxa"/>
            <w:shd w:val="clear" w:color="auto" w:fill="FAFAFA"/>
            <w:vAlign w:val="center"/>
          </w:tcPr>
          <w:p w14:paraId="0A44B13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5725" cy="114300"/>
                  <wp:effectExtent l="0" t="0" r="5715" b="762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21"/>
                          <a:stretch>
                            <a:fillRect/>
                          </a:stretch>
                        </pic:blipFill>
                        <pic:spPr>
                          <a:xfrm>
                            <a:off x="0" y="0"/>
                            <a:ext cx="8573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66825" cy="114300"/>
                  <wp:effectExtent l="0" t="0" r="13335" b="762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22"/>
                          <a:stretch>
                            <a:fillRect/>
                          </a:stretch>
                        </pic:blipFill>
                        <pic:spPr>
                          <a:xfrm>
                            <a:off x="0" y="0"/>
                            <a:ext cx="126700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6.67%</w:t>
            </w:r>
          </w:p>
        </w:tc>
      </w:tr>
      <w:tr w14:paraId="482DFA38">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6C044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C．一般</w:t>
            </w:r>
          </w:p>
        </w:tc>
        <w:tc>
          <w:tcPr>
            <w:tcW w:w="1000" w:type="dxa"/>
            <w:shd w:val="clear" w:color="auto" w:fill="FFFFFF"/>
            <w:vAlign w:val="center"/>
          </w:tcPr>
          <w:p w14:paraId="66F7213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7FC3ACE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7F3806AE">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7E97F4E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D．不满意</w:t>
            </w:r>
          </w:p>
        </w:tc>
        <w:tc>
          <w:tcPr>
            <w:tcW w:w="1000" w:type="dxa"/>
            <w:shd w:val="clear" w:color="auto" w:fill="FAFAFA"/>
            <w:vAlign w:val="center"/>
          </w:tcPr>
          <w:p w14:paraId="48EFAFF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58909B9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5C624B1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5F284C7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071230F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B8EDE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0AA14E5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default" w:ascii="黑体" w:hAnsi="黑体" w:eastAsia="黑体" w:cs="黑体"/>
          <w:b w:val="0"/>
          <w:color w:val="auto"/>
          <w:kern w:val="0"/>
          <w:sz w:val="32"/>
          <w:szCs w:val="32"/>
          <w:highlight w:val="none"/>
          <w:lang w:val="en-US" w:eastAsia="zh-CN"/>
        </w:rPr>
        <w:t>二、保洁服务评价​</w:t>
      </w:r>
    </w:p>
    <w:p w14:paraId="19D7955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1．您对博物馆内公共区域（展厅、走廊、休息区）的卫生质量是否满意</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3A9EFB17">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5CE796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68E4EE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761A150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728CCC6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51F988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A．非常满意</w:t>
            </w:r>
          </w:p>
        </w:tc>
        <w:tc>
          <w:tcPr>
            <w:tcW w:w="1000" w:type="dxa"/>
            <w:shd w:val="clear" w:color="auto" w:fill="FFFFFF"/>
            <w:vAlign w:val="center"/>
          </w:tcPr>
          <w:p w14:paraId="5BD317B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83</w:t>
            </w:r>
          </w:p>
        </w:tc>
        <w:tc>
          <w:tcPr>
            <w:tcW w:w="3106" w:type="dxa"/>
            <w:shd w:val="clear" w:color="auto" w:fill="FFFFFF"/>
            <w:vAlign w:val="center"/>
          </w:tcPr>
          <w:p w14:paraId="4E5FD74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38250" cy="114300"/>
                  <wp:effectExtent l="0" t="0" r="11430" b="762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24"/>
                          <a:stretch>
                            <a:fillRect/>
                          </a:stretch>
                        </pic:blipFill>
                        <pic:spPr>
                          <a:xfrm>
                            <a:off x="0" y="0"/>
                            <a:ext cx="123842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14300" cy="114300"/>
                  <wp:effectExtent l="0" t="0" r="7620" b="762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25"/>
                          <a:stretch>
                            <a:fillRect/>
                          </a:stretch>
                        </pic:blipFill>
                        <pic:spPr>
                          <a:xfrm>
                            <a:off x="0" y="0"/>
                            <a:ext cx="11431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92.22%</w:t>
            </w:r>
          </w:p>
        </w:tc>
      </w:tr>
      <w:tr w14:paraId="725DB87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7A58993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B．满意</w:t>
            </w:r>
          </w:p>
        </w:tc>
        <w:tc>
          <w:tcPr>
            <w:tcW w:w="1000" w:type="dxa"/>
            <w:shd w:val="clear" w:color="auto" w:fill="FAFAFA"/>
            <w:vAlign w:val="center"/>
          </w:tcPr>
          <w:p w14:paraId="78C5163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w:t>
            </w:r>
          </w:p>
        </w:tc>
        <w:tc>
          <w:tcPr>
            <w:tcW w:w="3106" w:type="dxa"/>
            <w:shd w:val="clear" w:color="auto" w:fill="FAFAFA"/>
            <w:vAlign w:val="center"/>
          </w:tcPr>
          <w:p w14:paraId="4CC6A73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5725" cy="114300"/>
                  <wp:effectExtent l="0" t="0" r="5715" b="762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21"/>
                          <a:stretch>
                            <a:fillRect/>
                          </a:stretch>
                        </pic:blipFill>
                        <pic:spPr>
                          <a:xfrm>
                            <a:off x="0" y="0"/>
                            <a:ext cx="8573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66825" cy="114300"/>
                  <wp:effectExtent l="0" t="0" r="13335" b="7620"/>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22"/>
                          <a:stretch>
                            <a:fillRect/>
                          </a:stretch>
                        </pic:blipFill>
                        <pic:spPr>
                          <a:xfrm>
                            <a:off x="0" y="0"/>
                            <a:ext cx="126700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6.67%</w:t>
            </w:r>
          </w:p>
        </w:tc>
      </w:tr>
      <w:tr w14:paraId="74353BF8">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67F8AF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C．一般</w:t>
            </w:r>
          </w:p>
        </w:tc>
        <w:tc>
          <w:tcPr>
            <w:tcW w:w="1000" w:type="dxa"/>
            <w:shd w:val="clear" w:color="auto" w:fill="FFFFFF"/>
            <w:vAlign w:val="center"/>
          </w:tcPr>
          <w:p w14:paraId="0B9E08C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FFFFF"/>
            <w:vAlign w:val="center"/>
          </w:tcPr>
          <w:p w14:paraId="4A9801F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159C1C2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47F9D2E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D．不满意</w:t>
            </w:r>
          </w:p>
        </w:tc>
        <w:tc>
          <w:tcPr>
            <w:tcW w:w="1000" w:type="dxa"/>
            <w:shd w:val="clear" w:color="auto" w:fill="FAFAFA"/>
            <w:vAlign w:val="center"/>
          </w:tcPr>
          <w:p w14:paraId="2F040DD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392B2C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57396881">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702DF09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E．非常不满意</w:t>
            </w:r>
          </w:p>
        </w:tc>
        <w:tc>
          <w:tcPr>
            <w:tcW w:w="1000" w:type="dxa"/>
            <w:shd w:val="clear" w:color="auto" w:fill="FFFFFF"/>
            <w:vAlign w:val="center"/>
          </w:tcPr>
          <w:p w14:paraId="366B50E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24853AD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4C1BA432">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00CCE5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11977F8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C57DB9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02DEF50E">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2．您认为博物馆卫生间的清洁状况如何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707A35D1">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55ECB48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067FCBF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5B6396B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2D4C202E">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7092871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A．干净无异味，设施完好</w:t>
            </w:r>
          </w:p>
        </w:tc>
        <w:tc>
          <w:tcPr>
            <w:tcW w:w="1000" w:type="dxa"/>
            <w:shd w:val="clear" w:color="auto" w:fill="FFFFFF"/>
            <w:vAlign w:val="center"/>
          </w:tcPr>
          <w:p w14:paraId="57F7BB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86</w:t>
            </w:r>
          </w:p>
        </w:tc>
        <w:tc>
          <w:tcPr>
            <w:tcW w:w="3106" w:type="dxa"/>
            <w:shd w:val="clear" w:color="auto" w:fill="FFFFFF"/>
            <w:vAlign w:val="center"/>
          </w:tcPr>
          <w:p w14:paraId="43A37A0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85875" cy="114300"/>
                  <wp:effectExtent l="0" t="0" r="9525" b="762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28"/>
                          <a:stretch>
                            <a:fillRect/>
                          </a:stretch>
                        </pic:blipFill>
                        <pic:spPr>
                          <a:xfrm>
                            <a:off x="0" y="0"/>
                            <a:ext cx="128605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66675" cy="114300"/>
                  <wp:effectExtent l="0" t="0" r="9525" b="7620"/>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29"/>
                          <a:stretch>
                            <a:fillRect/>
                          </a:stretch>
                        </pic:blipFill>
                        <pic:spPr>
                          <a:xfrm>
                            <a:off x="0" y="0"/>
                            <a:ext cx="6668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95.56%</w:t>
            </w:r>
          </w:p>
        </w:tc>
      </w:tr>
      <w:tr w14:paraId="460F9C4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197EDFF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B．较为干净，偶尔有小污渍</w:t>
            </w:r>
          </w:p>
        </w:tc>
        <w:tc>
          <w:tcPr>
            <w:tcW w:w="1000" w:type="dxa"/>
            <w:shd w:val="clear" w:color="auto" w:fill="FAFAFA"/>
            <w:vAlign w:val="center"/>
          </w:tcPr>
          <w:p w14:paraId="4708D95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w:t>
            </w:r>
          </w:p>
        </w:tc>
        <w:tc>
          <w:tcPr>
            <w:tcW w:w="3106" w:type="dxa"/>
            <w:shd w:val="clear" w:color="auto" w:fill="FAFAFA"/>
            <w:vAlign w:val="center"/>
          </w:tcPr>
          <w:p w14:paraId="67DD3DE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30"/>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pic:cNvPicPr>
                            <a:picLocks noChangeAspect="1"/>
                          </pic:cNvPicPr>
                        </pic:nvPicPr>
                        <pic:blipFill>
                          <a:blip r:embed="rId31"/>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3.33%</w:t>
            </w:r>
          </w:p>
        </w:tc>
      </w:tr>
      <w:tr w14:paraId="0A32557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5331FD8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C．一般，存在异味或污渍</w:t>
            </w:r>
          </w:p>
        </w:tc>
        <w:tc>
          <w:tcPr>
            <w:tcW w:w="1000" w:type="dxa"/>
            <w:shd w:val="clear" w:color="auto" w:fill="FFFFFF"/>
            <w:vAlign w:val="center"/>
          </w:tcPr>
          <w:p w14:paraId="372CF0B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FFFFF"/>
            <w:vAlign w:val="center"/>
          </w:tcPr>
          <w:p w14:paraId="11FC5EB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11D37E59">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158BE52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D．不太干净，卫生状况较差</w:t>
            </w:r>
          </w:p>
        </w:tc>
        <w:tc>
          <w:tcPr>
            <w:tcW w:w="1000" w:type="dxa"/>
            <w:shd w:val="clear" w:color="auto" w:fill="FAFAFA"/>
            <w:vAlign w:val="center"/>
          </w:tcPr>
          <w:p w14:paraId="50154C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524D90F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5853897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0878734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E．非常差，严重影响使用</w:t>
            </w:r>
          </w:p>
        </w:tc>
        <w:tc>
          <w:tcPr>
            <w:tcW w:w="1000" w:type="dxa"/>
            <w:shd w:val="clear" w:color="auto" w:fill="FFFFFF"/>
            <w:vAlign w:val="center"/>
          </w:tcPr>
          <w:p w14:paraId="0858C24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14D32F7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009A967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398DCA8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56333CE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37B46DF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7954EF6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w:t>
      </w:r>
      <w:r>
        <w:rPr>
          <w:rFonts w:hint="eastAsia" w:ascii="Times New Roman Regular" w:hAnsi="Times New Roman Regular" w:eastAsia="仿宋_GB2312" w:cs="Times New Roman Regular"/>
          <w:color w:val="auto"/>
          <w:sz w:val="32"/>
          <w:szCs w:val="40"/>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当您发现馆内存在垃圾未及时清理、地面有水渍等情况时，保洁人员的响应速度如何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298B250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AA83E5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0A3C0E6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06BE0A2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172FFAA7">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61A4B4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A．立即处理</w:t>
            </w:r>
          </w:p>
        </w:tc>
        <w:tc>
          <w:tcPr>
            <w:tcW w:w="1000" w:type="dxa"/>
            <w:shd w:val="clear" w:color="auto" w:fill="FFFFFF"/>
            <w:vAlign w:val="center"/>
          </w:tcPr>
          <w:p w14:paraId="1EDD563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84</w:t>
            </w:r>
          </w:p>
        </w:tc>
        <w:tc>
          <w:tcPr>
            <w:tcW w:w="3106" w:type="dxa"/>
            <w:shd w:val="clear" w:color="auto" w:fill="FFFFFF"/>
            <w:vAlign w:val="center"/>
          </w:tcPr>
          <w:p w14:paraId="68109DB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57300" cy="114300"/>
                  <wp:effectExtent l="0" t="0" r="7620" b="762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9"/>
                          <a:stretch>
                            <a:fillRect/>
                          </a:stretch>
                        </pic:blipFill>
                        <pic:spPr>
                          <a:xfrm>
                            <a:off x="0" y="0"/>
                            <a:ext cx="125747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0" cy="114300"/>
                  <wp:effectExtent l="0" t="0" r="11430" b="7620"/>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pic:cNvPicPr>
                            <a:picLocks noChangeAspect="1"/>
                          </pic:cNvPicPr>
                        </pic:nvPicPr>
                        <pic:blipFill>
                          <a:blip r:embed="rId20"/>
                          <a:stretch>
                            <a:fillRect/>
                          </a:stretch>
                        </pic:blipFill>
                        <pic:spPr>
                          <a:xfrm>
                            <a:off x="0" y="0"/>
                            <a:ext cx="9526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93.33%</w:t>
            </w:r>
          </w:p>
        </w:tc>
      </w:tr>
      <w:tr w14:paraId="263E0CA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63B58DC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B．短时间内处理</w:t>
            </w:r>
          </w:p>
        </w:tc>
        <w:tc>
          <w:tcPr>
            <w:tcW w:w="1000" w:type="dxa"/>
            <w:shd w:val="clear" w:color="auto" w:fill="FAFAFA"/>
            <w:vAlign w:val="center"/>
          </w:tcPr>
          <w:p w14:paraId="0B83BBC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w:t>
            </w:r>
          </w:p>
        </w:tc>
        <w:tc>
          <w:tcPr>
            <w:tcW w:w="3106" w:type="dxa"/>
            <w:shd w:val="clear" w:color="auto" w:fill="FAFAFA"/>
            <w:vAlign w:val="center"/>
          </w:tcPr>
          <w:p w14:paraId="2CFC1BE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5725" cy="114300"/>
                  <wp:effectExtent l="0" t="0" r="5715" b="762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21"/>
                          <a:stretch>
                            <a:fillRect/>
                          </a:stretch>
                        </pic:blipFill>
                        <pic:spPr>
                          <a:xfrm>
                            <a:off x="0" y="0"/>
                            <a:ext cx="8573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66825" cy="114300"/>
                  <wp:effectExtent l="0" t="0" r="13335" b="7620"/>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r:embed="rId22"/>
                          <a:stretch>
                            <a:fillRect/>
                          </a:stretch>
                        </pic:blipFill>
                        <pic:spPr>
                          <a:xfrm>
                            <a:off x="0" y="0"/>
                            <a:ext cx="126700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6.67%</w:t>
            </w:r>
          </w:p>
        </w:tc>
      </w:tr>
      <w:tr w14:paraId="39DC79F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DE0804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C．较长时间才处理</w:t>
            </w:r>
          </w:p>
        </w:tc>
        <w:tc>
          <w:tcPr>
            <w:tcW w:w="1000" w:type="dxa"/>
            <w:shd w:val="clear" w:color="auto" w:fill="FFFFFF"/>
            <w:vAlign w:val="center"/>
          </w:tcPr>
          <w:p w14:paraId="0381B90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43C435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0FDFA871">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2126DB4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D．未处理</w:t>
            </w:r>
          </w:p>
        </w:tc>
        <w:tc>
          <w:tcPr>
            <w:tcW w:w="1000" w:type="dxa"/>
            <w:shd w:val="clear" w:color="auto" w:fill="FAFAFA"/>
            <w:vAlign w:val="center"/>
          </w:tcPr>
          <w:p w14:paraId="77EA94D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68DBC0D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4BD4C9FF">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00A7E2B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3157143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08B8B11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4CFB84F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4．您对工作人员的服务态度评价如何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6D8316E7">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3B032CE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645A8B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624B02C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412F44F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45CEEA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A．热情礼貌，主动服务</w:t>
            </w:r>
          </w:p>
        </w:tc>
        <w:tc>
          <w:tcPr>
            <w:tcW w:w="1000" w:type="dxa"/>
            <w:shd w:val="clear" w:color="auto" w:fill="FFFFFF"/>
            <w:vAlign w:val="center"/>
          </w:tcPr>
          <w:p w14:paraId="76E03FD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88</w:t>
            </w:r>
          </w:p>
        </w:tc>
        <w:tc>
          <w:tcPr>
            <w:tcW w:w="3106" w:type="dxa"/>
            <w:shd w:val="clear" w:color="auto" w:fill="FFFFFF"/>
            <w:vAlign w:val="center"/>
          </w:tcPr>
          <w:p w14:paraId="224D762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32"/>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pic:cNvPicPr>
                            <a:picLocks noChangeAspect="1"/>
                          </pic:cNvPicPr>
                        </pic:nvPicPr>
                        <pic:blipFill>
                          <a:blip r:embed="rId33"/>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97.78%</w:t>
            </w:r>
          </w:p>
        </w:tc>
      </w:tr>
      <w:tr w14:paraId="02A12ABE">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18D51E2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B．态度良好，有求必应</w:t>
            </w:r>
          </w:p>
        </w:tc>
        <w:tc>
          <w:tcPr>
            <w:tcW w:w="1000" w:type="dxa"/>
            <w:shd w:val="clear" w:color="auto" w:fill="FAFAFA"/>
            <w:vAlign w:val="center"/>
          </w:tcPr>
          <w:p w14:paraId="4F416FF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w:t>
            </w:r>
          </w:p>
        </w:tc>
        <w:tc>
          <w:tcPr>
            <w:tcW w:w="3106" w:type="dxa"/>
            <w:shd w:val="clear" w:color="auto" w:fill="FAFAFA"/>
            <w:vAlign w:val="center"/>
          </w:tcPr>
          <w:p w14:paraId="76EE74E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8575" cy="114300"/>
                  <wp:effectExtent l="0" t="0" r="1905" b="762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1"/>
                          <a:stretch>
                            <a:fillRect/>
                          </a:stretch>
                        </pic:blipFill>
                        <pic:spPr>
                          <a:xfrm>
                            <a:off x="0" y="0"/>
                            <a:ext cx="2857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23975" cy="114300"/>
                  <wp:effectExtent l="0" t="0" r="1905" b="7620"/>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pic:cNvPicPr>
                            <a:picLocks noChangeAspect="1"/>
                          </pic:cNvPicPr>
                        </pic:nvPicPr>
                        <pic:blipFill>
                          <a:blip r:embed="rId12"/>
                          <a:stretch>
                            <a:fillRect/>
                          </a:stretch>
                        </pic:blipFill>
                        <pic:spPr>
                          <a:xfrm>
                            <a:off x="0" y="0"/>
                            <a:ext cx="132416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2.22%</w:t>
            </w:r>
          </w:p>
        </w:tc>
      </w:tr>
      <w:tr w14:paraId="008E7282">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3BDD0C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C．一般，无明显服务意识</w:t>
            </w:r>
          </w:p>
        </w:tc>
        <w:tc>
          <w:tcPr>
            <w:tcW w:w="1000" w:type="dxa"/>
            <w:shd w:val="clear" w:color="auto" w:fill="FFFFFF"/>
            <w:vAlign w:val="center"/>
          </w:tcPr>
          <w:p w14:paraId="680D940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047CF52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06E5FBD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3C548BC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D．态度冷漠，沟通困难</w:t>
            </w:r>
          </w:p>
        </w:tc>
        <w:tc>
          <w:tcPr>
            <w:tcW w:w="1000" w:type="dxa"/>
            <w:shd w:val="clear" w:color="auto" w:fill="FAFAFA"/>
            <w:vAlign w:val="center"/>
          </w:tcPr>
          <w:p w14:paraId="4FC126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280CA8B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42" name="图片 1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0FBD4DC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052B34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7E0887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623CDC3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61E2C75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default" w:ascii="黑体" w:hAnsi="黑体" w:eastAsia="黑体" w:cs="黑体"/>
          <w:b w:val="0"/>
          <w:color w:val="auto"/>
          <w:kern w:val="0"/>
          <w:sz w:val="32"/>
          <w:szCs w:val="32"/>
          <w:highlight w:val="none"/>
          <w:lang w:val="en-US" w:eastAsia="zh-CN"/>
        </w:rPr>
        <w:t>三、保安服务评价​</w:t>
      </w:r>
    </w:p>
    <w:p w14:paraId="0E3BD03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1．您在参观过程中，是否感受到保安人员的巡逻保障</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54D2532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DE4D34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198EDB9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503B419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05594BE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6831E1F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A．经常看到，安全感强​</w:t>
            </w:r>
          </w:p>
        </w:tc>
        <w:tc>
          <w:tcPr>
            <w:tcW w:w="1000" w:type="dxa"/>
            <w:shd w:val="clear" w:color="auto" w:fill="FFFFFF"/>
            <w:vAlign w:val="center"/>
          </w:tcPr>
          <w:p w14:paraId="07AED0A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84</w:t>
            </w:r>
          </w:p>
        </w:tc>
        <w:tc>
          <w:tcPr>
            <w:tcW w:w="3106" w:type="dxa"/>
            <w:shd w:val="clear" w:color="auto" w:fill="FFFFFF"/>
            <w:vAlign w:val="center"/>
          </w:tcPr>
          <w:p w14:paraId="47BB0D8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57300" cy="114300"/>
                  <wp:effectExtent l="0" t="0" r="7620" b="762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9"/>
                          <a:stretch>
                            <a:fillRect/>
                          </a:stretch>
                        </pic:blipFill>
                        <pic:spPr>
                          <a:xfrm>
                            <a:off x="0" y="0"/>
                            <a:ext cx="125747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0" cy="114300"/>
                  <wp:effectExtent l="0" t="0" r="11430" b="7620"/>
                  <wp:docPr id="100044" name="图片 1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pic:cNvPicPr>
                            <a:picLocks noChangeAspect="1"/>
                          </pic:cNvPicPr>
                        </pic:nvPicPr>
                        <pic:blipFill>
                          <a:blip r:embed="rId20"/>
                          <a:stretch>
                            <a:fillRect/>
                          </a:stretch>
                        </pic:blipFill>
                        <pic:spPr>
                          <a:xfrm>
                            <a:off x="0" y="0"/>
                            <a:ext cx="9526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93.33%</w:t>
            </w:r>
          </w:p>
        </w:tc>
      </w:tr>
      <w:tr w14:paraId="1D0B3E2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24F8EA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B．偶尔看到，有一定保障​</w:t>
            </w:r>
          </w:p>
        </w:tc>
        <w:tc>
          <w:tcPr>
            <w:tcW w:w="1000" w:type="dxa"/>
            <w:shd w:val="clear" w:color="auto" w:fill="FAFAFA"/>
            <w:vAlign w:val="center"/>
          </w:tcPr>
          <w:p w14:paraId="4E674AE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5</w:t>
            </w:r>
          </w:p>
        </w:tc>
        <w:tc>
          <w:tcPr>
            <w:tcW w:w="3106" w:type="dxa"/>
            <w:shd w:val="clear" w:color="auto" w:fill="FAFAFA"/>
            <w:vAlign w:val="center"/>
          </w:tcPr>
          <w:p w14:paraId="16E3AFE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66675" cy="114300"/>
                  <wp:effectExtent l="0" t="0" r="9525" b="762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34"/>
                          <a:stretch>
                            <a:fillRect/>
                          </a:stretch>
                        </pic:blipFill>
                        <pic:spPr>
                          <a:xfrm>
                            <a:off x="0" y="0"/>
                            <a:ext cx="6668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85875" cy="114300"/>
                  <wp:effectExtent l="0" t="0" r="9525" b="7620"/>
                  <wp:docPr id="100046" name="图片 1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pic:cNvPicPr>
                            <a:picLocks noChangeAspect="1"/>
                          </pic:cNvPicPr>
                        </pic:nvPicPr>
                        <pic:blipFill>
                          <a:blip r:embed="rId35"/>
                          <a:stretch>
                            <a:fillRect/>
                          </a:stretch>
                        </pic:blipFill>
                        <pic:spPr>
                          <a:xfrm>
                            <a:off x="0" y="0"/>
                            <a:ext cx="128605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5.56%</w:t>
            </w:r>
          </w:p>
        </w:tc>
      </w:tr>
      <w:tr w14:paraId="25FA4C36">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65276D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C．很少看到，缺乏安全感​</w:t>
            </w:r>
          </w:p>
        </w:tc>
        <w:tc>
          <w:tcPr>
            <w:tcW w:w="1000" w:type="dxa"/>
            <w:shd w:val="clear" w:color="auto" w:fill="FFFFFF"/>
            <w:vAlign w:val="center"/>
          </w:tcPr>
          <w:p w14:paraId="48DAE3A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594D3A2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4F19A08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6DB90A7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D．从未看到​</w:t>
            </w:r>
          </w:p>
        </w:tc>
        <w:tc>
          <w:tcPr>
            <w:tcW w:w="1000" w:type="dxa"/>
            <w:shd w:val="clear" w:color="auto" w:fill="FAFAFA"/>
            <w:vAlign w:val="center"/>
          </w:tcPr>
          <w:p w14:paraId="0AA435F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AFAFA"/>
            <w:vAlign w:val="center"/>
          </w:tcPr>
          <w:p w14:paraId="3D6B70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48" name="图片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218FB43F">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47EBF4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426DAD1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445DA62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4602BE4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2．当遇到突发事件（如人员冲突、设备故障等）时，您认为保安人员的应急处理能力如何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319164C1">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00BB521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09CB420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7572C38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11BD23B6">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1BF3341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A．反应迅速，处理得当​</w:t>
            </w:r>
          </w:p>
        </w:tc>
        <w:tc>
          <w:tcPr>
            <w:tcW w:w="1000" w:type="dxa"/>
            <w:shd w:val="clear" w:color="auto" w:fill="FFFFFF"/>
            <w:vAlign w:val="center"/>
          </w:tcPr>
          <w:p w14:paraId="168919E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81</w:t>
            </w:r>
          </w:p>
        </w:tc>
        <w:tc>
          <w:tcPr>
            <w:tcW w:w="3106" w:type="dxa"/>
            <w:shd w:val="clear" w:color="auto" w:fill="FFFFFF"/>
            <w:vAlign w:val="center"/>
          </w:tcPr>
          <w:p w14:paraId="37207B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09675" cy="114300"/>
                  <wp:effectExtent l="0" t="0" r="9525" b="7620"/>
                  <wp:docPr id="100050" name="图片 1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pic:cNvPicPr>
                            <a:picLocks noChangeAspect="1"/>
                          </pic:cNvPicPr>
                        </pic:nvPicPr>
                        <pic:blipFill>
                          <a:blip r:embed="rId36"/>
                          <a:stretch>
                            <a:fillRect/>
                          </a:stretch>
                        </pic:blipFill>
                        <pic:spPr>
                          <a:xfrm>
                            <a:off x="0" y="0"/>
                            <a:ext cx="120984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42875" cy="114300"/>
                  <wp:effectExtent l="0" t="0" r="9525" b="7620"/>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pic:cNvPicPr>
                            <a:picLocks noChangeAspect="1"/>
                          </pic:cNvPicPr>
                        </pic:nvPicPr>
                        <pic:blipFill>
                          <a:blip r:embed="rId37"/>
                          <a:stretch>
                            <a:fillRect/>
                          </a:stretch>
                        </pic:blipFill>
                        <pic:spPr>
                          <a:xfrm>
                            <a:off x="0" y="0"/>
                            <a:ext cx="14289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90%</w:t>
            </w:r>
          </w:p>
        </w:tc>
      </w:tr>
      <w:tr w14:paraId="7191C9E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6DA173A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B．能及时应对，但处理不够完善​</w:t>
            </w:r>
          </w:p>
        </w:tc>
        <w:tc>
          <w:tcPr>
            <w:tcW w:w="1000" w:type="dxa"/>
            <w:shd w:val="clear" w:color="auto" w:fill="FAFAFA"/>
            <w:vAlign w:val="center"/>
          </w:tcPr>
          <w:p w14:paraId="08AD0EA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w:t>
            </w:r>
          </w:p>
        </w:tc>
        <w:tc>
          <w:tcPr>
            <w:tcW w:w="3106" w:type="dxa"/>
            <w:shd w:val="clear" w:color="auto" w:fill="FAFAFA"/>
            <w:vAlign w:val="center"/>
          </w:tcPr>
          <w:p w14:paraId="605BD2B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52" name="图片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图片 100052"/>
                          <pic:cNvPicPr>
                            <a:picLocks noChangeAspect="1"/>
                          </pic:cNvPicPr>
                        </pic:nvPicPr>
                        <pic:blipFill>
                          <a:blip r:embed="rId30"/>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31"/>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3.33%</w:t>
            </w:r>
          </w:p>
        </w:tc>
      </w:tr>
      <w:tr w14:paraId="260C4BB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748EBFF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C．反应较慢，处理效果不佳​</w:t>
            </w:r>
          </w:p>
        </w:tc>
        <w:tc>
          <w:tcPr>
            <w:tcW w:w="1000" w:type="dxa"/>
            <w:shd w:val="clear" w:color="auto" w:fill="FFFFFF"/>
            <w:vAlign w:val="center"/>
          </w:tcPr>
          <w:p w14:paraId="09EE480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217CE7E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54" name="图片 10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4" name="图片 100054"/>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2F4FC54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7593CE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D．未采取有效措施</w:t>
            </w:r>
          </w:p>
        </w:tc>
        <w:tc>
          <w:tcPr>
            <w:tcW w:w="1000" w:type="dxa"/>
            <w:shd w:val="clear" w:color="auto" w:fill="FAFAFA"/>
            <w:vAlign w:val="center"/>
          </w:tcPr>
          <w:p w14:paraId="1512EBE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0DF041D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7E254CF6">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30F5F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E．未遇到突发事件</w:t>
            </w:r>
          </w:p>
        </w:tc>
        <w:tc>
          <w:tcPr>
            <w:tcW w:w="1000" w:type="dxa"/>
            <w:shd w:val="clear" w:color="auto" w:fill="FFFFFF"/>
            <w:vAlign w:val="center"/>
          </w:tcPr>
          <w:p w14:paraId="6F846A6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w:t>
            </w:r>
          </w:p>
        </w:tc>
        <w:tc>
          <w:tcPr>
            <w:tcW w:w="3106" w:type="dxa"/>
            <w:shd w:val="clear" w:color="auto" w:fill="FFFFFF"/>
            <w:vAlign w:val="center"/>
          </w:tcPr>
          <w:p w14:paraId="1EC6373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5725" cy="114300"/>
                  <wp:effectExtent l="0" t="0" r="5715" b="7620"/>
                  <wp:docPr id="100056" name="图片 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 name="图片 100056"/>
                          <pic:cNvPicPr>
                            <a:picLocks noChangeAspect="1"/>
                          </pic:cNvPicPr>
                        </pic:nvPicPr>
                        <pic:blipFill>
                          <a:blip r:embed="rId21"/>
                          <a:stretch>
                            <a:fillRect/>
                          </a:stretch>
                        </pic:blipFill>
                        <pic:spPr>
                          <a:xfrm>
                            <a:off x="0" y="0"/>
                            <a:ext cx="8573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66825" cy="114300"/>
                  <wp:effectExtent l="0" t="0" r="13335" b="7620"/>
                  <wp:docPr id="100057" name="图片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pic:cNvPicPr>
                            <a:picLocks noChangeAspect="1"/>
                          </pic:cNvPicPr>
                        </pic:nvPicPr>
                        <pic:blipFill>
                          <a:blip r:embed="rId22"/>
                          <a:stretch>
                            <a:fillRect/>
                          </a:stretch>
                        </pic:blipFill>
                        <pic:spPr>
                          <a:xfrm>
                            <a:off x="0" y="0"/>
                            <a:ext cx="126700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6.67%</w:t>
            </w:r>
          </w:p>
        </w:tc>
      </w:tr>
      <w:tr w14:paraId="2FD5773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5599020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1362E74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3FCC2D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31D57A5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3．保安人员在出入口安检、秩序维护等工作中的表现是否规范</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0E78288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1D84C6B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5D29CFD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35B0B6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0E8AE12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18DC9B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A．非常规范，严谨细致​</w:t>
            </w:r>
          </w:p>
        </w:tc>
        <w:tc>
          <w:tcPr>
            <w:tcW w:w="1000" w:type="dxa"/>
            <w:shd w:val="clear" w:color="auto" w:fill="FFFFFF"/>
            <w:vAlign w:val="center"/>
          </w:tcPr>
          <w:p w14:paraId="5993E87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88</w:t>
            </w:r>
          </w:p>
        </w:tc>
        <w:tc>
          <w:tcPr>
            <w:tcW w:w="3106" w:type="dxa"/>
            <w:shd w:val="clear" w:color="auto" w:fill="FFFFFF"/>
            <w:vAlign w:val="center"/>
          </w:tcPr>
          <w:p w14:paraId="593AAA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58" name="图片 1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 name="图片 100058"/>
                          <pic:cNvPicPr>
                            <a:picLocks noChangeAspect="1"/>
                          </pic:cNvPicPr>
                        </pic:nvPicPr>
                        <pic:blipFill>
                          <a:blip r:embed="rId32"/>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33"/>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97.78%</w:t>
            </w:r>
          </w:p>
        </w:tc>
      </w:tr>
      <w:tr w14:paraId="2A3E5A78">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6358189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B．比较规范，符合要求​</w:t>
            </w:r>
          </w:p>
        </w:tc>
        <w:tc>
          <w:tcPr>
            <w:tcW w:w="1000" w:type="dxa"/>
            <w:shd w:val="clear" w:color="auto" w:fill="FAFAFA"/>
            <w:vAlign w:val="center"/>
          </w:tcPr>
          <w:p w14:paraId="6D572EA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AFAFA"/>
            <w:vAlign w:val="center"/>
          </w:tcPr>
          <w:p w14:paraId="05020A7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图片 100060"/>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61" name="图片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7FDF136F">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5FF52CC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C．一般，存在疏漏​</w:t>
            </w:r>
          </w:p>
        </w:tc>
        <w:tc>
          <w:tcPr>
            <w:tcW w:w="1000" w:type="dxa"/>
            <w:shd w:val="clear" w:color="auto" w:fill="FFFFFF"/>
            <w:vAlign w:val="center"/>
          </w:tcPr>
          <w:p w14:paraId="22626D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FFFFF"/>
            <w:vAlign w:val="center"/>
          </w:tcPr>
          <w:p w14:paraId="0AA1EB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图片 100062"/>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346696C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543A3EF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D．不规范，问题较多​</w:t>
            </w:r>
          </w:p>
        </w:tc>
        <w:tc>
          <w:tcPr>
            <w:tcW w:w="1000" w:type="dxa"/>
            <w:shd w:val="clear" w:color="auto" w:fill="FAFAFA"/>
            <w:vAlign w:val="center"/>
          </w:tcPr>
          <w:p w14:paraId="2E9521D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523257F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64" name="图片 1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 name="图片 100064"/>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2188A05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1282F5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01652E1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85170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14768CE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4．您与保安人员沟通时，对方的态度如何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28AB46F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7A9B93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7CA365B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2A28F9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2A5AE78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0702410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A．耐心友好，积极协助​</w:t>
            </w:r>
          </w:p>
        </w:tc>
        <w:tc>
          <w:tcPr>
            <w:tcW w:w="1000" w:type="dxa"/>
            <w:shd w:val="clear" w:color="auto" w:fill="FFFFFF"/>
            <w:vAlign w:val="center"/>
          </w:tcPr>
          <w:p w14:paraId="3BB9898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87</w:t>
            </w:r>
          </w:p>
        </w:tc>
        <w:tc>
          <w:tcPr>
            <w:tcW w:w="3106" w:type="dxa"/>
            <w:shd w:val="clear" w:color="auto" w:fill="FFFFFF"/>
            <w:vAlign w:val="center"/>
          </w:tcPr>
          <w:p w14:paraId="258CE7C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04925" cy="114300"/>
                  <wp:effectExtent l="0" t="0" r="5715" b="7620"/>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r:embed="rId38"/>
                          <a:stretch>
                            <a:fillRect/>
                          </a:stretch>
                        </pic:blipFill>
                        <pic:spPr>
                          <a:xfrm>
                            <a:off x="0" y="0"/>
                            <a:ext cx="130510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47625" cy="114300"/>
                  <wp:effectExtent l="0" t="0" r="13335" b="7620"/>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图片 100066"/>
                          <pic:cNvPicPr>
                            <a:picLocks noChangeAspect="1"/>
                          </pic:cNvPicPr>
                        </pic:nvPicPr>
                        <pic:blipFill>
                          <a:blip r:embed="rId39"/>
                          <a:stretch>
                            <a:fillRect/>
                          </a:stretch>
                        </pic:blipFill>
                        <pic:spPr>
                          <a:xfrm>
                            <a:off x="0" y="0"/>
                            <a:ext cx="4763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96.67%</w:t>
            </w:r>
          </w:p>
        </w:tc>
      </w:tr>
      <w:tr w14:paraId="477858D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14299D6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B．态度正常，完成本职工作​</w:t>
            </w:r>
          </w:p>
        </w:tc>
        <w:tc>
          <w:tcPr>
            <w:tcW w:w="1000" w:type="dxa"/>
            <w:shd w:val="clear" w:color="auto" w:fill="FAFAFA"/>
            <w:vAlign w:val="center"/>
          </w:tcPr>
          <w:p w14:paraId="4D0708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w:t>
            </w:r>
          </w:p>
        </w:tc>
        <w:tc>
          <w:tcPr>
            <w:tcW w:w="3106" w:type="dxa"/>
            <w:shd w:val="clear" w:color="auto" w:fill="FAFAFA"/>
            <w:vAlign w:val="center"/>
          </w:tcPr>
          <w:p w14:paraId="03CD5B6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pic:cNvPicPr>
                            <a:picLocks noChangeAspect="1"/>
                          </pic:cNvPicPr>
                        </pic:nvPicPr>
                        <pic:blipFill>
                          <a:blip r:embed="rId30"/>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68" name="图片 1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8" name="图片 100068"/>
                          <pic:cNvPicPr>
                            <a:picLocks noChangeAspect="1"/>
                          </pic:cNvPicPr>
                        </pic:nvPicPr>
                        <pic:blipFill>
                          <a:blip r:embed="rId31"/>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3.33%</w:t>
            </w:r>
          </w:p>
        </w:tc>
      </w:tr>
      <w:tr w14:paraId="70F6425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39C4AD7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C．缺乏耐心，敷衍了事​</w:t>
            </w:r>
          </w:p>
        </w:tc>
        <w:tc>
          <w:tcPr>
            <w:tcW w:w="1000" w:type="dxa"/>
            <w:shd w:val="clear" w:color="auto" w:fill="FFFFFF"/>
            <w:vAlign w:val="center"/>
          </w:tcPr>
          <w:p w14:paraId="6985CE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FFFFF"/>
            <w:vAlign w:val="center"/>
          </w:tcPr>
          <w:p w14:paraId="2E551D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63D59698">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CB873A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D．态度恶劣，难以沟通​</w:t>
            </w:r>
          </w:p>
        </w:tc>
        <w:tc>
          <w:tcPr>
            <w:tcW w:w="1000" w:type="dxa"/>
            <w:shd w:val="clear" w:color="auto" w:fill="FAFAFA"/>
            <w:vAlign w:val="center"/>
          </w:tcPr>
          <w:p w14:paraId="796112B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79F4C3F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70" name="图片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0" name="图片 100070"/>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33B61C6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157888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4E4E7B1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D0F651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229B4CA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default" w:ascii="黑体" w:hAnsi="黑体" w:eastAsia="黑体" w:cs="黑体"/>
          <w:b w:val="0"/>
          <w:color w:val="auto"/>
          <w:kern w:val="0"/>
          <w:sz w:val="32"/>
          <w:szCs w:val="32"/>
          <w:highlight w:val="none"/>
          <w:lang w:val="en-US" w:eastAsia="zh-CN"/>
        </w:rPr>
        <w:t>四、维修维护服务评价​</w:t>
      </w:r>
    </w:p>
    <w:p w14:paraId="18084AE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1．您在参观时，是否遇到过馆内设施（如灯光、展柜、休息座椅、电梯等）损坏的情况</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3ED49B8F">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57BB4CA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17FDC41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0DBEE95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6B426DA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260F3C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A．经常遇到</w:t>
            </w:r>
          </w:p>
        </w:tc>
        <w:tc>
          <w:tcPr>
            <w:tcW w:w="1000" w:type="dxa"/>
            <w:shd w:val="clear" w:color="auto" w:fill="FFFFFF"/>
            <w:vAlign w:val="center"/>
          </w:tcPr>
          <w:p w14:paraId="27974F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19</w:t>
            </w:r>
          </w:p>
        </w:tc>
        <w:tc>
          <w:tcPr>
            <w:tcW w:w="3106" w:type="dxa"/>
            <w:shd w:val="clear" w:color="auto" w:fill="FFFFFF"/>
            <w:vAlign w:val="center"/>
          </w:tcPr>
          <w:p w14:paraId="5CB9C8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76225" cy="114300"/>
                  <wp:effectExtent l="0" t="0" r="13335" b="7620"/>
                  <wp:docPr id="100071" name="图片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pic:cNvPicPr>
                            <a:picLocks noChangeAspect="1"/>
                          </pic:cNvPicPr>
                        </pic:nvPicPr>
                        <pic:blipFill>
                          <a:blip r:embed="rId40"/>
                          <a:stretch>
                            <a:fillRect/>
                          </a:stretch>
                        </pic:blipFill>
                        <pic:spPr>
                          <a:xfrm>
                            <a:off x="0" y="0"/>
                            <a:ext cx="27626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076325" cy="114300"/>
                  <wp:effectExtent l="0" t="0" r="5715" b="7620"/>
                  <wp:docPr id="100072" name="图片 1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2" name="图片 100072"/>
                          <pic:cNvPicPr>
                            <a:picLocks noChangeAspect="1"/>
                          </pic:cNvPicPr>
                        </pic:nvPicPr>
                        <pic:blipFill>
                          <a:blip r:embed="rId41"/>
                          <a:stretch>
                            <a:fillRect/>
                          </a:stretch>
                        </pic:blipFill>
                        <pic:spPr>
                          <a:xfrm>
                            <a:off x="0" y="0"/>
                            <a:ext cx="107647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21.11%</w:t>
            </w:r>
          </w:p>
        </w:tc>
      </w:tr>
      <w:tr w14:paraId="1726097E">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4B77B6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B．偶尔遇到</w:t>
            </w:r>
          </w:p>
        </w:tc>
        <w:tc>
          <w:tcPr>
            <w:tcW w:w="1000" w:type="dxa"/>
            <w:shd w:val="clear" w:color="auto" w:fill="FAFAFA"/>
            <w:vAlign w:val="center"/>
          </w:tcPr>
          <w:p w14:paraId="0AF8E30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AFAFA"/>
            <w:vAlign w:val="center"/>
          </w:tcPr>
          <w:p w14:paraId="1E800F2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9525" cy="114300"/>
                  <wp:effectExtent l="0" t="0" r="5715" b="6985"/>
                  <wp:docPr id="100073" name="图片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pic:cNvPicPr>
                            <a:picLocks noChangeAspect="1"/>
                          </pic:cNvPicPr>
                        </pic:nvPicPr>
                        <pic:blipFill>
                          <a:blip r:embed="rId26"/>
                          <a:stretch>
                            <a:fillRect/>
                          </a:stretch>
                        </pic:blipFill>
                        <pic:spPr>
                          <a:xfrm>
                            <a:off x="0" y="0"/>
                            <a:ext cx="952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43025" cy="114300"/>
                  <wp:effectExtent l="0" t="0" r="13335" b="7620"/>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图片 100074"/>
                          <pic:cNvPicPr>
                            <a:picLocks noChangeAspect="1"/>
                          </pic:cNvPicPr>
                        </pic:nvPicPr>
                        <pic:blipFill>
                          <a:blip r:embed="rId27"/>
                          <a:stretch>
                            <a:fillRect/>
                          </a:stretch>
                        </pic:blipFill>
                        <pic:spPr>
                          <a:xfrm>
                            <a:off x="0" y="0"/>
                            <a:ext cx="134321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1.11%</w:t>
            </w:r>
          </w:p>
        </w:tc>
      </w:tr>
      <w:tr w14:paraId="6C1DEB5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2D0650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C．很少遇到</w:t>
            </w:r>
          </w:p>
        </w:tc>
        <w:tc>
          <w:tcPr>
            <w:tcW w:w="1000" w:type="dxa"/>
            <w:shd w:val="clear" w:color="auto" w:fill="FFFFFF"/>
            <w:vAlign w:val="center"/>
          </w:tcPr>
          <w:p w14:paraId="783503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14</w:t>
            </w:r>
          </w:p>
        </w:tc>
        <w:tc>
          <w:tcPr>
            <w:tcW w:w="3106" w:type="dxa"/>
            <w:shd w:val="clear" w:color="auto" w:fill="FFFFFF"/>
            <w:vAlign w:val="center"/>
          </w:tcPr>
          <w:p w14:paraId="628DF09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09550" cy="114300"/>
                  <wp:effectExtent l="0" t="0" r="3810" b="7620"/>
                  <wp:docPr id="100075" name="图片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pic:cNvPicPr>
                            <a:picLocks noChangeAspect="1"/>
                          </pic:cNvPicPr>
                        </pic:nvPicPr>
                        <pic:blipFill>
                          <a:blip r:embed="rId42"/>
                          <a:stretch>
                            <a:fillRect/>
                          </a:stretch>
                        </pic:blipFill>
                        <pic:spPr>
                          <a:xfrm>
                            <a:off x="0" y="0"/>
                            <a:ext cx="20957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143000" cy="114300"/>
                  <wp:effectExtent l="0" t="0" r="0" b="7620"/>
                  <wp:docPr id="100076" name="图片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图片 100076"/>
                          <pic:cNvPicPr>
                            <a:picLocks noChangeAspect="1"/>
                          </pic:cNvPicPr>
                        </pic:nvPicPr>
                        <pic:blipFill>
                          <a:blip r:embed="rId43"/>
                          <a:stretch>
                            <a:fillRect/>
                          </a:stretch>
                        </pic:blipFill>
                        <pic:spPr>
                          <a:xfrm>
                            <a:off x="0" y="0"/>
                            <a:ext cx="114316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15.56%</w:t>
            </w:r>
          </w:p>
        </w:tc>
      </w:tr>
      <w:tr w14:paraId="281BDA2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5115F49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D．从未遇到</w:t>
            </w:r>
          </w:p>
        </w:tc>
        <w:tc>
          <w:tcPr>
            <w:tcW w:w="1000" w:type="dxa"/>
            <w:shd w:val="clear" w:color="auto" w:fill="FAFAFA"/>
            <w:vAlign w:val="center"/>
          </w:tcPr>
          <w:p w14:paraId="3B0647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56</w:t>
            </w:r>
          </w:p>
        </w:tc>
        <w:tc>
          <w:tcPr>
            <w:tcW w:w="3106" w:type="dxa"/>
            <w:shd w:val="clear" w:color="auto" w:fill="FAFAFA"/>
            <w:vAlign w:val="center"/>
          </w:tcPr>
          <w:p w14:paraId="7DD64DC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38200" cy="114300"/>
                  <wp:effectExtent l="0" t="0" r="0" b="7620"/>
                  <wp:docPr id="100077" name="图片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pic:cNvPicPr>
                            <a:picLocks noChangeAspect="1"/>
                          </pic:cNvPicPr>
                        </pic:nvPicPr>
                        <pic:blipFill>
                          <a:blip r:embed="rId44"/>
                          <a:stretch>
                            <a:fillRect/>
                          </a:stretch>
                        </pic:blipFill>
                        <pic:spPr>
                          <a:xfrm>
                            <a:off x="0" y="0"/>
                            <a:ext cx="83831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514350" cy="114300"/>
                  <wp:effectExtent l="0" t="0" r="3810" b="7620"/>
                  <wp:docPr id="100078"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图片 100078"/>
                          <pic:cNvPicPr>
                            <a:picLocks noChangeAspect="1"/>
                          </pic:cNvPicPr>
                        </pic:nvPicPr>
                        <pic:blipFill>
                          <a:blip r:embed="rId45"/>
                          <a:stretch>
                            <a:fillRect/>
                          </a:stretch>
                        </pic:blipFill>
                        <pic:spPr>
                          <a:xfrm>
                            <a:off x="0" y="0"/>
                            <a:ext cx="51442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62.22%</w:t>
            </w:r>
          </w:p>
        </w:tc>
      </w:tr>
      <w:tr w14:paraId="4D462C3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6324FF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2D3825F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B61484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2BB249C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2．如果遇到设施损坏，您是否向工作人员反馈</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2CC4034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3302432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63C15C8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266DC52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13D787D6">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3EC3C2C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A．是</w:t>
            </w:r>
          </w:p>
        </w:tc>
        <w:tc>
          <w:tcPr>
            <w:tcW w:w="1000" w:type="dxa"/>
            <w:shd w:val="clear" w:color="auto" w:fill="FFFFFF"/>
            <w:vAlign w:val="center"/>
          </w:tcPr>
          <w:p w14:paraId="1A851D0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71</w:t>
            </w:r>
          </w:p>
        </w:tc>
        <w:tc>
          <w:tcPr>
            <w:tcW w:w="3106" w:type="dxa"/>
            <w:shd w:val="clear" w:color="auto" w:fill="FFFFFF"/>
            <w:vAlign w:val="center"/>
          </w:tcPr>
          <w:p w14:paraId="6E74D7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066800" cy="114300"/>
                  <wp:effectExtent l="0" t="0" r="0" b="7620"/>
                  <wp:docPr id="100079"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pic:cNvPicPr>
                            <a:picLocks noChangeAspect="1"/>
                          </pic:cNvPicPr>
                        </pic:nvPicPr>
                        <pic:blipFill>
                          <a:blip r:embed="rId46"/>
                          <a:stretch>
                            <a:fillRect/>
                          </a:stretch>
                        </pic:blipFill>
                        <pic:spPr>
                          <a:xfrm>
                            <a:off x="0" y="0"/>
                            <a:ext cx="106694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85750" cy="114300"/>
                  <wp:effectExtent l="0" t="0" r="3810" b="7620"/>
                  <wp:docPr id="100080" name="图片 1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0" name="图片 100080"/>
                          <pic:cNvPicPr>
                            <a:picLocks noChangeAspect="1"/>
                          </pic:cNvPicPr>
                        </pic:nvPicPr>
                        <pic:blipFill>
                          <a:blip r:embed="rId47"/>
                          <a:stretch>
                            <a:fillRect/>
                          </a:stretch>
                        </pic:blipFill>
                        <pic:spPr>
                          <a:xfrm>
                            <a:off x="0" y="0"/>
                            <a:ext cx="28579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78.89%</w:t>
            </w:r>
          </w:p>
        </w:tc>
      </w:tr>
      <w:tr w14:paraId="4C519DED">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3BEDAF6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B．否（若选 “否”，请直接跳至第4题）</w:t>
            </w:r>
          </w:p>
        </w:tc>
        <w:tc>
          <w:tcPr>
            <w:tcW w:w="1000" w:type="dxa"/>
            <w:shd w:val="clear" w:color="auto" w:fill="FAFAFA"/>
            <w:vAlign w:val="center"/>
          </w:tcPr>
          <w:p w14:paraId="658D517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19</w:t>
            </w:r>
          </w:p>
        </w:tc>
        <w:tc>
          <w:tcPr>
            <w:tcW w:w="3106" w:type="dxa"/>
            <w:shd w:val="clear" w:color="auto" w:fill="FAFAFA"/>
            <w:vAlign w:val="center"/>
          </w:tcPr>
          <w:p w14:paraId="5D6EF54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76225" cy="114300"/>
                  <wp:effectExtent l="0" t="0" r="13335" b="7620"/>
                  <wp:docPr id="100081" name="图片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pic:cNvPicPr>
                            <a:picLocks noChangeAspect="1"/>
                          </pic:cNvPicPr>
                        </pic:nvPicPr>
                        <pic:blipFill>
                          <a:blip r:embed="rId40"/>
                          <a:stretch>
                            <a:fillRect/>
                          </a:stretch>
                        </pic:blipFill>
                        <pic:spPr>
                          <a:xfrm>
                            <a:off x="0" y="0"/>
                            <a:ext cx="27626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076325" cy="114300"/>
                  <wp:effectExtent l="0" t="0" r="5715" b="7620"/>
                  <wp:docPr id="100082" name="图片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2" name="图片 100082"/>
                          <pic:cNvPicPr>
                            <a:picLocks noChangeAspect="1"/>
                          </pic:cNvPicPr>
                        </pic:nvPicPr>
                        <pic:blipFill>
                          <a:blip r:embed="rId41"/>
                          <a:stretch>
                            <a:fillRect/>
                          </a:stretch>
                        </pic:blipFill>
                        <pic:spPr>
                          <a:xfrm>
                            <a:off x="0" y="0"/>
                            <a:ext cx="107647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21.11%</w:t>
            </w:r>
          </w:p>
        </w:tc>
      </w:tr>
      <w:tr w14:paraId="6334D792">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370146A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7D01D5F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1F3F4DD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6EF2161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3．反馈后，维修维护人员的响应时间和维修效果如何</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59D9437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6759E93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60A9D4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61EC0A3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0466F29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0FEE8F6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A．迅速响应，维修彻底</w:t>
            </w:r>
          </w:p>
        </w:tc>
        <w:tc>
          <w:tcPr>
            <w:tcW w:w="1000" w:type="dxa"/>
            <w:shd w:val="clear" w:color="auto" w:fill="FFFFFF"/>
            <w:vAlign w:val="center"/>
          </w:tcPr>
          <w:p w14:paraId="31167D7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68</w:t>
            </w:r>
          </w:p>
        </w:tc>
        <w:tc>
          <w:tcPr>
            <w:tcW w:w="3106" w:type="dxa"/>
            <w:shd w:val="clear" w:color="auto" w:fill="FFFFFF"/>
            <w:vAlign w:val="center"/>
          </w:tcPr>
          <w:p w14:paraId="3AFDC3D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85875" cy="114300"/>
                  <wp:effectExtent l="0" t="0" r="9525" b="7620"/>
                  <wp:docPr id="100083" name="图片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pic:cNvPicPr>
                            <a:picLocks noChangeAspect="1"/>
                          </pic:cNvPicPr>
                        </pic:nvPicPr>
                        <pic:blipFill>
                          <a:blip r:embed="rId28"/>
                          <a:stretch>
                            <a:fillRect/>
                          </a:stretch>
                        </pic:blipFill>
                        <pic:spPr>
                          <a:xfrm>
                            <a:off x="0" y="0"/>
                            <a:ext cx="128605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66675" cy="114300"/>
                  <wp:effectExtent l="0" t="0" r="9525" b="7620"/>
                  <wp:docPr id="100084" name="图片 10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4" name="图片 100084"/>
                          <pic:cNvPicPr>
                            <a:picLocks noChangeAspect="1"/>
                          </pic:cNvPicPr>
                        </pic:nvPicPr>
                        <pic:blipFill>
                          <a:blip r:embed="rId29"/>
                          <a:stretch>
                            <a:fillRect/>
                          </a:stretch>
                        </pic:blipFill>
                        <pic:spPr>
                          <a:xfrm>
                            <a:off x="0" y="0"/>
                            <a:ext cx="6668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95.77%</w:t>
            </w:r>
          </w:p>
        </w:tc>
      </w:tr>
      <w:tr w14:paraId="35FED4F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7612EC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B．较快响应，基本修复</w:t>
            </w:r>
          </w:p>
        </w:tc>
        <w:tc>
          <w:tcPr>
            <w:tcW w:w="1000" w:type="dxa"/>
            <w:shd w:val="clear" w:color="auto" w:fill="FAFAFA"/>
            <w:vAlign w:val="center"/>
          </w:tcPr>
          <w:p w14:paraId="71FC0B6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w:t>
            </w:r>
          </w:p>
        </w:tc>
        <w:tc>
          <w:tcPr>
            <w:tcW w:w="3106" w:type="dxa"/>
            <w:shd w:val="clear" w:color="auto" w:fill="FAFAFA"/>
            <w:vAlign w:val="center"/>
          </w:tcPr>
          <w:p w14:paraId="7E007BB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38100" cy="114300"/>
                  <wp:effectExtent l="0" t="0" r="7620" b="7620"/>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pic:cNvPicPr>
                            <a:picLocks noChangeAspect="1"/>
                          </pic:cNvPicPr>
                        </pic:nvPicPr>
                        <pic:blipFill>
                          <a:blip r:embed="rId30"/>
                          <a:stretch>
                            <a:fillRect/>
                          </a:stretch>
                        </pic:blipFill>
                        <pic:spPr>
                          <a:xfrm>
                            <a:off x="0" y="0"/>
                            <a:ext cx="3810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14450" cy="114300"/>
                  <wp:effectExtent l="0" t="0" r="11430" b="7620"/>
                  <wp:docPr id="100086" name="图片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 name="图片 100086"/>
                          <pic:cNvPicPr>
                            <a:picLocks noChangeAspect="1"/>
                          </pic:cNvPicPr>
                        </pic:nvPicPr>
                        <pic:blipFill>
                          <a:blip r:embed="rId31"/>
                          <a:stretch>
                            <a:fillRect/>
                          </a:stretch>
                        </pic:blipFill>
                        <pic:spPr>
                          <a:xfrm>
                            <a:off x="0" y="0"/>
                            <a:ext cx="131463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2.82%</w:t>
            </w:r>
          </w:p>
        </w:tc>
      </w:tr>
      <w:tr w14:paraId="792D9285">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91E92E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C．响应较慢，维修效果一般</w:t>
            </w:r>
          </w:p>
        </w:tc>
        <w:tc>
          <w:tcPr>
            <w:tcW w:w="1000" w:type="dxa"/>
            <w:shd w:val="clear" w:color="auto" w:fill="FFFFFF"/>
            <w:vAlign w:val="center"/>
          </w:tcPr>
          <w:p w14:paraId="5B9663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w:t>
            </w:r>
          </w:p>
        </w:tc>
        <w:tc>
          <w:tcPr>
            <w:tcW w:w="3106" w:type="dxa"/>
            <w:shd w:val="clear" w:color="auto" w:fill="FFFFFF"/>
            <w:vAlign w:val="center"/>
          </w:tcPr>
          <w:p w14:paraId="10293F2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9050" cy="114300"/>
                  <wp:effectExtent l="0" t="0" r="11430" b="7620"/>
                  <wp:docPr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pic:cNvPicPr>
                            <a:picLocks noChangeAspect="1"/>
                          </pic:cNvPicPr>
                        </pic:nvPicPr>
                        <pic:blipFill>
                          <a:blip r:embed="rId48"/>
                          <a:stretch>
                            <a:fillRect/>
                          </a:stretch>
                        </pic:blipFill>
                        <pic:spPr>
                          <a:xfrm>
                            <a:off x="0" y="0"/>
                            <a:ext cx="19053"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33500" cy="114300"/>
                  <wp:effectExtent l="0" t="0" r="7620" b="7620"/>
                  <wp:docPr id="100088" name="图片 10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 name="图片 100088"/>
                          <pic:cNvPicPr>
                            <a:picLocks noChangeAspect="1"/>
                          </pic:cNvPicPr>
                        </pic:nvPicPr>
                        <pic:blipFill>
                          <a:blip r:embed="rId49"/>
                          <a:stretch>
                            <a:fillRect/>
                          </a:stretch>
                        </pic:blipFill>
                        <pic:spPr>
                          <a:xfrm>
                            <a:off x="0" y="0"/>
                            <a:ext cx="1333686"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1.41%</w:t>
            </w:r>
          </w:p>
        </w:tc>
      </w:tr>
      <w:tr w14:paraId="48C433FB">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03E3FD0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D．未响应或未修好</w:t>
            </w:r>
          </w:p>
        </w:tc>
        <w:tc>
          <w:tcPr>
            <w:tcW w:w="1000" w:type="dxa"/>
            <w:shd w:val="clear" w:color="auto" w:fill="FAFAFA"/>
            <w:vAlign w:val="center"/>
          </w:tcPr>
          <w:p w14:paraId="3F9BCCB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0393D75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2A7E2C4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16CA864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5B7ABD8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71</w:t>
            </w:r>
          </w:p>
        </w:tc>
        <w:tc>
          <w:tcPr>
            <w:tcW w:w="3106" w:type="dxa"/>
            <w:shd w:val="clear" w:color="auto" w:fill="F5F5F5"/>
            <w:vAlign w:val="center"/>
          </w:tcPr>
          <w:p w14:paraId="5273D2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76FBC58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4．您认为博物馆目前的设施维修维护工作存在哪些问题</w:t>
      </w:r>
      <w:r>
        <w:rPr>
          <w:rFonts w:hint="eastAsia" w:ascii="Times New Roman" w:hAnsi="Times New Roman" w:eastAsia="仿宋_GB2312" w:cs="Times New Roman"/>
          <w:b w:val="0"/>
          <w:color w:val="auto"/>
          <w:kern w:val="0"/>
          <w:sz w:val="32"/>
          <w:szCs w:val="32"/>
          <w:highlight w:val="none"/>
          <w:lang w:val="en-US" w:eastAsia="zh-CN"/>
        </w:rPr>
        <w:t>？</w:t>
      </w:r>
      <w:r>
        <w:rPr>
          <w:rFonts w:hint="default" w:ascii="Times New Roman" w:hAnsi="Times New Roman" w:eastAsia="仿宋_GB2312" w:cs="Times New Roman"/>
          <w:b w:val="0"/>
          <w:color w:val="auto"/>
          <w:kern w:val="0"/>
          <w:sz w:val="32"/>
          <w:szCs w:val="32"/>
          <w:highlight w:val="none"/>
          <w:lang w:val="en-US" w:eastAsia="zh-CN"/>
        </w:rPr>
        <w:t>（可多选）[多选题]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1C97A4E0">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2F56C79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1974A57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4B428C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371E777F">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1365FB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A．维修不及时</w:t>
            </w:r>
          </w:p>
        </w:tc>
        <w:tc>
          <w:tcPr>
            <w:tcW w:w="1000" w:type="dxa"/>
            <w:shd w:val="clear" w:color="auto" w:fill="FFFFFF"/>
            <w:vAlign w:val="center"/>
          </w:tcPr>
          <w:p w14:paraId="256B30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17</w:t>
            </w:r>
          </w:p>
        </w:tc>
        <w:tc>
          <w:tcPr>
            <w:tcW w:w="3106" w:type="dxa"/>
            <w:shd w:val="clear" w:color="auto" w:fill="FFFFFF"/>
            <w:vAlign w:val="center"/>
          </w:tcPr>
          <w:p w14:paraId="2E498DD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47650" cy="114300"/>
                  <wp:effectExtent l="0" t="0" r="11430" b="7620"/>
                  <wp:docPr id="100090" name="图片 10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0" name="图片 100090"/>
                          <pic:cNvPicPr>
                            <a:picLocks noChangeAspect="1"/>
                          </pic:cNvPicPr>
                        </pic:nvPicPr>
                        <pic:blipFill>
                          <a:blip r:embed="rId50"/>
                          <a:stretch>
                            <a:fillRect/>
                          </a:stretch>
                        </pic:blipFill>
                        <pic:spPr>
                          <a:xfrm>
                            <a:off x="0" y="0"/>
                            <a:ext cx="24768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104900" cy="114300"/>
                  <wp:effectExtent l="0" t="0" r="7620" b="7620"/>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pic:cNvPicPr>
                            <a:picLocks noChangeAspect="1"/>
                          </pic:cNvPicPr>
                        </pic:nvPicPr>
                        <pic:blipFill>
                          <a:blip r:embed="rId51"/>
                          <a:stretch>
                            <a:fillRect/>
                          </a:stretch>
                        </pic:blipFill>
                        <pic:spPr>
                          <a:xfrm>
                            <a:off x="0" y="0"/>
                            <a:ext cx="110505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18.89%</w:t>
            </w:r>
          </w:p>
        </w:tc>
      </w:tr>
      <w:tr w14:paraId="20D22FA7">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761ECBC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B．维修后质量不佳，易再次损坏​</w:t>
            </w:r>
          </w:p>
        </w:tc>
        <w:tc>
          <w:tcPr>
            <w:tcW w:w="1000" w:type="dxa"/>
            <w:shd w:val="clear" w:color="auto" w:fill="FAFAFA"/>
            <w:vAlign w:val="center"/>
          </w:tcPr>
          <w:p w14:paraId="22A89F4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16</w:t>
            </w:r>
          </w:p>
        </w:tc>
        <w:tc>
          <w:tcPr>
            <w:tcW w:w="3106" w:type="dxa"/>
            <w:shd w:val="clear" w:color="auto" w:fill="FAFAFA"/>
            <w:vAlign w:val="center"/>
          </w:tcPr>
          <w:p w14:paraId="6EA89FB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38125" cy="114300"/>
                  <wp:effectExtent l="0" t="0" r="5715" b="7620"/>
                  <wp:docPr id="100092" name="图片 10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2" name="图片 100092"/>
                          <pic:cNvPicPr>
                            <a:picLocks noChangeAspect="1"/>
                          </pic:cNvPicPr>
                        </pic:nvPicPr>
                        <pic:blipFill>
                          <a:blip r:embed="rId52"/>
                          <a:stretch>
                            <a:fillRect/>
                          </a:stretch>
                        </pic:blipFill>
                        <pic:spPr>
                          <a:xfrm>
                            <a:off x="0" y="0"/>
                            <a:ext cx="238158"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114425" cy="114300"/>
                  <wp:effectExtent l="0" t="0" r="13335" b="7620"/>
                  <wp:docPr id="100093" name="图片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pic:cNvPicPr>
                            <a:picLocks noChangeAspect="1"/>
                          </pic:cNvPicPr>
                        </pic:nvPicPr>
                        <pic:blipFill>
                          <a:blip r:embed="rId53"/>
                          <a:stretch>
                            <a:fillRect/>
                          </a:stretch>
                        </pic:blipFill>
                        <pic:spPr>
                          <a:xfrm>
                            <a:off x="0" y="0"/>
                            <a:ext cx="1114581"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17.78%</w:t>
            </w:r>
          </w:p>
        </w:tc>
      </w:tr>
      <w:tr w14:paraId="5F6A200E">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5FAD561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C．缺乏日常巡检，设施故障频发​</w:t>
            </w:r>
          </w:p>
        </w:tc>
        <w:tc>
          <w:tcPr>
            <w:tcW w:w="1000" w:type="dxa"/>
            <w:shd w:val="clear" w:color="auto" w:fill="FFFFFF"/>
            <w:vAlign w:val="center"/>
          </w:tcPr>
          <w:p w14:paraId="50429C5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6</w:t>
            </w:r>
          </w:p>
        </w:tc>
        <w:tc>
          <w:tcPr>
            <w:tcW w:w="3106" w:type="dxa"/>
            <w:shd w:val="clear" w:color="auto" w:fill="FFFFFF"/>
            <w:vAlign w:val="center"/>
          </w:tcPr>
          <w:p w14:paraId="0485A0D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5725" cy="114300"/>
                  <wp:effectExtent l="0" t="0" r="5715" b="7620"/>
                  <wp:docPr id="100094" name="图片 10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4" name="图片 100094"/>
                          <pic:cNvPicPr>
                            <a:picLocks noChangeAspect="1"/>
                          </pic:cNvPicPr>
                        </pic:nvPicPr>
                        <pic:blipFill>
                          <a:blip r:embed="rId21"/>
                          <a:stretch>
                            <a:fillRect/>
                          </a:stretch>
                        </pic:blipFill>
                        <pic:spPr>
                          <a:xfrm>
                            <a:off x="0" y="0"/>
                            <a:ext cx="85737"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66825" cy="114300"/>
                  <wp:effectExtent l="0" t="0" r="13335" b="7620"/>
                  <wp:docPr id="100095" name="图片 10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pic:cNvPicPr>
                            <a:picLocks noChangeAspect="1"/>
                          </pic:cNvPicPr>
                        </pic:nvPicPr>
                        <pic:blipFill>
                          <a:blip r:embed="rId22"/>
                          <a:stretch>
                            <a:fillRect/>
                          </a:stretch>
                        </pic:blipFill>
                        <pic:spPr>
                          <a:xfrm>
                            <a:off x="0" y="0"/>
                            <a:ext cx="1267002"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6.67%</w:t>
            </w:r>
          </w:p>
        </w:tc>
      </w:tr>
      <w:tr w14:paraId="1FCBA2AA">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32A11E8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D．其他（请注明）​</w:t>
            </w:r>
          </w:p>
        </w:tc>
        <w:tc>
          <w:tcPr>
            <w:tcW w:w="1000" w:type="dxa"/>
            <w:shd w:val="clear" w:color="auto" w:fill="FAFAFA"/>
            <w:vAlign w:val="center"/>
          </w:tcPr>
          <w:p w14:paraId="1BB6AE2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54</w:t>
            </w:r>
          </w:p>
        </w:tc>
        <w:tc>
          <w:tcPr>
            <w:tcW w:w="3106" w:type="dxa"/>
            <w:shd w:val="clear" w:color="auto" w:fill="FAFAFA"/>
            <w:vAlign w:val="center"/>
          </w:tcPr>
          <w:p w14:paraId="7CB425F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809625" cy="114300"/>
                  <wp:effectExtent l="0" t="0" r="13335" b="7620"/>
                  <wp:docPr id="100096" name="图片 1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6" name="图片 100096"/>
                          <pic:cNvPicPr>
                            <a:picLocks noChangeAspect="1"/>
                          </pic:cNvPicPr>
                        </pic:nvPicPr>
                        <pic:blipFill>
                          <a:blip r:embed="rId54"/>
                          <a:stretch>
                            <a:fillRect/>
                          </a:stretch>
                        </pic:blipFill>
                        <pic:spPr>
                          <a:xfrm>
                            <a:off x="0" y="0"/>
                            <a:ext cx="809738"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542925" cy="114300"/>
                  <wp:effectExtent l="0" t="0" r="5715" b="7620"/>
                  <wp:docPr id="100097" name="图片 10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pic:cNvPicPr>
                            <a:picLocks noChangeAspect="1"/>
                          </pic:cNvPicPr>
                        </pic:nvPicPr>
                        <pic:blipFill>
                          <a:blip r:embed="rId55"/>
                          <a:stretch>
                            <a:fillRect/>
                          </a:stretch>
                        </pic:blipFill>
                        <pic:spPr>
                          <a:xfrm>
                            <a:off x="0" y="0"/>
                            <a:ext cx="543001"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60%</w:t>
            </w:r>
          </w:p>
        </w:tc>
      </w:tr>
      <w:tr w14:paraId="17D32507">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660AA1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1F534A1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77B0831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6E2590F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default" w:ascii="黑体" w:hAnsi="黑体" w:eastAsia="黑体" w:cs="黑体"/>
          <w:b w:val="0"/>
          <w:color w:val="auto"/>
          <w:kern w:val="0"/>
          <w:sz w:val="32"/>
          <w:szCs w:val="32"/>
          <w:highlight w:val="none"/>
          <w:lang w:val="en-US" w:eastAsia="zh-CN"/>
        </w:rPr>
        <w:t>五、非常感谢您抽出宝贵时间参与本次调查，您的反馈对我们至关重要。综合前面所涉及的博物馆服务及运营相关内容</w:t>
      </w:r>
      <w:r>
        <w:rPr>
          <w:rFonts w:hint="eastAsia" w:ascii="黑体" w:hAnsi="黑体" w:eastAsia="黑体" w:cs="黑体"/>
          <w:b w:val="0"/>
          <w:color w:val="auto"/>
          <w:kern w:val="0"/>
          <w:sz w:val="32"/>
          <w:szCs w:val="32"/>
          <w:highlight w:val="none"/>
          <w:lang w:val="en-US" w:eastAsia="zh-CN"/>
        </w:rPr>
        <w:t>，</w:t>
      </w:r>
      <w:r>
        <w:rPr>
          <w:rFonts w:hint="default" w:ascii="黑体" w:hAnsi="黑体" w:eastAsia="黑体" w:cs="黑体"/>
          <w:b w:val="0"/>
          <w:color w:val="auto"/>
          <w:kern w:val="0"/>
          <w:sz w:val="32"/>
          <w:szCs w:val="32"/>
          <w:highlight w:val="none"/>
          <w:lang w:val="en-US" w:eastAsia="zh-CN"/>
        </w:rPr>
        <w:t>请您对博物馆的服务质量与运营水平给出整体评价：[单选题]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4668"/>
        <w:gridCol w:w="1111"/>
        <w:gridCol w:w="3452"/>
      </w:tblGrid>
      <w:tr w14:paraId="5296F88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1A2A6AD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选项</w:t>
            </w:r>
          </w:p>
        </w:tc>
        <w:tc>
          <w:tcPr>
            <w:tcW w:w="1000" w:type="dxa"/>
            <w:shd w:val="clear" w:color="auto" w:fill="F5F5F5"/>
            <w:vAlign w:val="center"/>
          </w:tcPr>
          <w:p w14:paraId="7E63B70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小计</w:t>
            </w:r>
          </w:p>
        </w:tc>
        <w:tc>
          <w:tcPr>
            <w:tcW w:w="3106" w:type="dxa"/>
            <w:shd w:val="clear" w:color="auto" w:fill="F5F5F5"/>
            <w:vAlign w:val="center"/>
          </w:tcPr>
          <w:p w14:paraId="71FE33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比例</w:t>
            </w:r>
          </w:p>
        </w:tc>
      </w:tr>
      <w:tr w14:paraId="58B29F13">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49983EE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非常满意</w:t>
            </w:r>
          </w:p>
        </w:tc>
        <w:tc>
          <w:tcPr>
            <w:tcW w:w="1000" w:type="dxa"/>
            <w:shd w:val="clear" w:color="auto" w:fill="FFFFFF"/>
            <w:vAlign w:val="center"/>
          </w:tcPr>
          <w:p w14:paraId="6171267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86</w:t>
            </w:r>
          </w:p>
        </w:tc>
        <w:tc>
          <w:tcPr>
            <w:tcW w:w="3106" w:type="dxa"/>
            <w:shd w:val="clear" w:color="auto" w:fill="FFFFFF"/>
            <w:vAlign w:val="center"/>
          </w:tcPr>
          <w:p w14:paraId="417E99A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285875" cy="114300"/>
                  <wp:effectExtent l="0" t="0" r="9525" b="7620"/>
                  <wp:docPr id="100098" name="图片 1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8" name="图片 100098"/>
                          <pic:cNvPicPr>
                            <a:picLocks noChangeAspect="1"/>
                          </pic:cNvPicPr>
                        </pic:nvPicPr>
                        <pic:blipFill>
                          <a:blip r:embed="rId28"/>
                          <a:stretch>
                            <a:fillRect/>
                          </a:stretch>
                        </pic:blipFill>
                        <pic:spPr>
                          <a:xfrm>
                            <a:off x="0" y="0"/>
                            <a:ext cx="1286055"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66675" cy="114300"/>
                  <wp:effectExtent l="0" t="0" r="9525" b="7620"/>
                  <wp:docPr id="100099" name="图片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pic:cNvPicPr>
                            <a:picLocks noChangeAspect="1"/>
                          </pic:cNvPicPr>
                        </pic:nvPicPr>
                        <pic:blipFill>
                          <a:blip r:embed="rId29"/>
                          <a:stretch>
                            <a:fillRect/>
                          </a:stretch>
                        </pic:blipFill>
                        <pic:spPr>
                          <a:xfrm>
                            <a:off x="0" y="0"/>
                            <a:ext cx="66684"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95.56%</w:t>
            </w:r>
          </w:p>
        </w:tc>
      </w:tr>
      <w:tr w14:paraId="6689E466">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4E08BB0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较为满意</w:t>
            </w:r>
          </w:p>
        </w:tc>
        <w:tc>
          <w:tcPr>
            <w:tcW w:w="1000" w:type="dxa"/>
            <w:shd w:val="clear" w:color="auto" w:fill="FAFAFA"/>
            <w:vAlign w:val="center"/>
          </w:tcPr>
          <w:p w14:paraId="3CC79A1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w:t>
            </w:r>
          </w:p>
        </w:tc>
        <w:tc>
          <w:tcPr>
            <w:tcW w:w="3106" w:type="dxa"/>
            <w:shd w:val="clear" w:color="auto" w:fill="FAFAFA"/>
            <w:vAlign w:val="center"/>
          </w:tcPr>
          <w:p w14:paraId="7BCA672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8575" cy="114300"/>
                  <wp:effectExtent l="0" t="0" r="1905" b="7620"/>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0" name="图片 100100"/>
                          <pic:cNvPicPr>
                            <a:picLocks noChangeAspect="1"/>
                          </pic:cNvPicPr>
                        </pic:nvPicPr>
                        <pic:blipFill>
                          <a:blip r:embed="rId11"/>
                          <a:stretch>
                            <a:fillRect/>
                          </a:stretch>
                        </pic:blipFill>
                        <pic:spPr>
                          <a:xfrm>
                            <a:off x="0" y="0"/>
                            <a:ext cx="2857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23975" cy="114300"/>
                  <wp:effectExtent l="0" t="0" r="1905" b="7620"/>
                  <wp:docPr id="100101" name="图片 1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图片 100101"/>
                          <pic:cNvPicPr>
                            <a:picLocks noChangeAspect="1"/>
                          </pic:cNvPicPr>
                        </pic:nvPicPr>
                        <pic:blipFill>
                          <a:blip r:embed="rId12"/>
                          <a:stretch>
                            <a:fillRect/>
                          </a:stretch>
                        </pic:blipFill>
                        <pic:spPr>
                          <a:xfrm>
                            <a:off x="0" y="0"/>
                            <a:ext cx="132416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2.22%</w:t>
            </w:r>
          </w:p>
        </w:tc>
      </w:tr>
      <w:tr w14:paraId="322101D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14:paraId="60A8127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满意</w:t>
            </w:r>
          </w:p>
        </w:tc>
        <w:tc>
          <w:tcPr>
            <w:tcW w:w="1000" w:type="dxa"/>
            <w:shd w:val="clear" w:color="auto" w:fill="FFFFFF"/>
            <w:vAlign w:val="center"/>
          </w:tcPr>
          <w:p w14:paraId="3426C9E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2</w:t>
            </w:r>
          </w:p>
        </w:tc>
        <w:tc>
          <w:tcPr>
            <w:tcW w:w="3106" w:type="dxa"/>
            <w:shd w:val="clear" w:color="auto" w:fill="FFFFFF"/>
            <w:vAlign w:val="center"/>
          </w:tcPr>
          <w:p w14:paraId="7FE3C7C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28575" cy="114300"/>
                  <wp:effectExtent l="0" t="0" r="1905" b="7620"/>
                  <wp:docPr id="100102" name="图片 10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2" name="图片 100102"/>
                          <pic:cNvPicPr>
                            <a:picLocks noChangeAspect="1"/>
                          </pic:cNvPicPr>
                        </pic:nvPicPr>
                        <pic:blipFill>
                          <a:blip r:embed="rId11"/>
                          <a:stretch>
                            <a:fillRect/>
                          </a:stretch>
                        </pic:blipFill>
                        <pic:spPr>
                          <a:xfrm>
                            <a:off x="0" y="0"/>
                            <a:ext cx="2857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23975" cy="114300"/>
                  <wp:effectExtent l="0" t="0" r="1905" b="7620"/>
                  <wp:docPr id="100103" name="图片 10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图片 100103"/>
                          <pic:cNvPicPr>
                            <a:picLocks noChangeAspect="1"/>
                          </pic:cNvPicPr>
                        </pic:nvPicPr>
                        <pic:blipFill>
                          <a:blip r:embed="rId12"/>
                          <a:stretch>
                            <a:fillRect/>
                          </a:stretch>
                        </pic:blipFill>
                        <pic:spPr>
                          <a:xfrm>
                            <a:off x="0" y="0"/>
                            <a:ext cx="1324160"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2.22%</w:t>
            </w:r>
          </w:p>
        </w:tc>
      </w:tr>
      <w:tr w14:paraId="4490E694">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14:paraId="3D4BAF7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不满意</w:t>
            </w:r>
          </w:p>
        </w:tc>
        <w:tc>
          <w:tcPr>
            <w:tcW w:w="1000" w:type="dxa"/>
            <w:shd w:val="clear" w:color="auto" w:fill="FAFAFA"/>
            <w:vAlign w:val="center"/>
          </w:tcPr>
          <w:p w14:paraId="2B1BA3E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0</w:t>
            </w:r>
          </w:p>
        </w:tc>
        <w:tc>
          <w:tcPr>
            <w:tcW w:w="3106" w:type="dxa"/>
            <w:shd w:val="clear" w:color="auto" w:fill="FAFAFA"/>
            <w:vAlign w:val="center"/>
          </w:tcPr>
          <w:p w14:paraId="7092337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drawing>
                <wp:inline distT="0" distB="0" distL="114300" distR="114300">
                  <wp:extent cx="1352550" cy="114300"/>
                  <wp:effectExtent l="0" t="0" r="3810" b="7620"/>
                  <wp:docPr id="100104" name="图片 10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4" name="图片 100104"/>
                          <pic:cNvPicPr>
                            <a:picLocks noChangeAspect="1"/>
                          </pic:cNvPicPr>
                        </pic:nvPicPr>
                        <pic:blipFill>
                          <a:blip r:embed="rId23"/>
                          <a:stretch>
                            <a:fillRect/>
                          </a:stretch>
                        </pic:blipFill>
                        <pic:spPr>
                          <a:xfrm>
                            <a:off x="0" y="0"/>
                            <a:ext cx="1352739" cy="114316"/>
                          </a:xfrm>
                          <a:prstGeom prst="rect">
                            <a:avLst/>
                          </a:prstGeom>
                        </pic:spPr>
                      </pic:pic>
                    </a:graphicData>
                  </a:graphic>
                </wp:inline>
              </w:drawing>
            </w:r>
            <w:r>
              <w:rPr>
                <w:rFonts w:hint="default" w:ascii="Times New Roman" w:hAnsi="Times New Roman" w:eastAsia="仿宋_GB2312" w:cs="Times New Roman"/>
                <w:b w:val="0"/>
                <w:color w:val="auto"/>
                <w:kern w:val="0"/>
                <w:sz w:val="32"/>
                <w:szCs w:val="32"/>
                <w:highlight w:val="none"/>
                <w:lang w:val="en-US" w:eastAsia="zh-CN"/>
              </w:rPr>
              <w:t>0%</w:t>
            </w:r>
          </w:p>
        </w:tc>
      </w:tr>
      <w:tr w14:paraId="4BE9F44C">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14:paraId="718ED4B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本题有效填写人次</w:t>
            </w:r>
          </w:p>
        </w:tc>
        <w:tc>
          <w:tcPr>
            <w:tcW w:w="1000" w:type="dxa"/>
            <w:shd w:val="clear" w:color="auto" w:fill="F5F5F5"/>
            <w:vAlign w:val="center"/>
          </w:tcPr>
          <w:p w14:paraId="09823F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90</w:t>
            </w:r>
          </w:p>
        </w:tc>
        <w:tc>
          <w:tcPr>
            <w:tcW w:w="3106" w:type="dxa"/>
            <w:shd w:val="clear" w:color="auto" w:fill="F5F5F5"/>
            <w:vAlign w:val="center"/>
          </w:tcPr>
          <w:p w14:paraId="3FCBF99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color w:val="auto"/>
                <w:kern w:val="0"/>
                <w:sz w:val="32"/>
                <w:szCs w:val="32"/>
                <w:highlight w:val="none"/>
                <w:lang w:val="en-US" w:eastAsia="zh-CN"/>
              </w:rPr>
            </w:pPr>
          </w:p>
        </w:tc>
      </w:tr>
    </w:tbl>
    <w:p w14:paraId="1C6956B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default" w:ascii="黑体" w:hAnsi="黑体" w:eastAsia="黑体" w:cs="黑体"/>
          <w:b w:val="0"/>
          <w:color w:val="auto"/>
          <w:kern w:val="0"/>
          <w:sz w:val="32"/>
          <w:szCs w:val="32"/>
          <w:highlight w:val="none"/>
          <w:lang w:val="en-US" w:eastAsia="zh-CN"/>
        </w:rPr>
        <w:t>六、改进建议对于提升博物馆服务质量，您有哪些具体建议</w:t>
      </w:r>
      <w:r>
        <w:rPr>
          <w:rFonts w:hint="eastAsia" w:ascii="黑体" w:hAnsi="黑体" w:eastAsia="黑体" w:cs="黑体"/>
          <w:b w:val="0"/>
          <w:color w:val="auto"/>
          <w:kern w:val="0"/>
          <w:sz w:val="32"/>
          <w:szCs w:val="32"/>
          <w:highlight w:val="none"/>
          <w:lang w:val="en-US" w:eastAsia="zh-CN"/>
        </w:rPr>
        <w:t>？</w:t>
      </w:r>
    </w:p>
    <w:p w14:paraId="6D9A69B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color w:val="auto"/>
          <w:kern w:val="0"/>
          <w:sz w:val="32"/>
          <w:szCs w:val="32"/>
          <w:highlight w:val="none"/>
          <w:lang w:val="en-US" w:eastAsia="zh-CN"/>
        </w:rPr>
      </w:pPr>
      <w:r>
        <w:rPr>
          <w:rFonts w:hint="eastAsia" w:ascii="Times New Roman" w:hAnsi="Times New Roman" w:eastAsia="仿宋_GB2312" w:cs="Times New Roman"/>
          <w:b w:val="0"/>
          <w:color w:val="auto"/>
          <w:kern w:val="0"/>
          <w:sz w:val="32"/>
          <w:szCs w:val="32"/>
          <w:highlight w:val="none"/>
          <w:lang w:val="en-US" w:eastAsia="zh-CN"/>
        </w:rPr>
        <w:t>无反馈。</w:t>
      </w:r>
    </w:p>
    <w:p w14:paraId="219A63F0">
      <w:pPr>
        <w:rPr>
          <w:rFonts w:hint="eastAsia" w:ascii="Times New Roman" w:hAnsi="Times New Roman" w:eastAsia="仿宋_GB2312" w:cs="Times New Roman"/>
          <w:b w:val="0"/>
          <w:color w:val="auto"/>
          <w:kern w:val="0"/>
          <w:sz w:val="32"/>
          <w:szCs w:val="32"/>
          <w:highlight w:val="none"/>
          <w:lang w:val="en-US" w:eastAsia="zh-CN"/>
        </w:rPr>
      </w:pPr>
      <w:r>
        <w:rPr>
          <w:rFonts w:hint="eastAsia" w:ascii="Times New Roman" w:hAnsi="Times New Roman" w:eastAsia="仿宋_GB2312" w:cs="Times New Roman"/>
          <w:b w:val="0"/>
          <w:color w:val="auto"/>
          <w:kern w:val="0"/>
          <w:sz w:val="32"/>
          <w:szCs w:val="32"/>
          <w:highlight w:val="none"/>
          <w:lang w:val="en-US" w:eastAsia="zh-CN"/>
        </w:rPr>
        <w:br w:type="page"/>
      </w:r>
    </w:p>
    <w:p w14:paraId="11314EC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0"/>
        <w:rPr>
          <w:rFonts w:hint="default" w:ascii="Times New Roman Regular" w:hAnsi="Times New Roman Regular" w:eastAsia="黑体" w:cs="Times New Roman Regular"/>
          <w:color w:val="auto"/>
          <w:sz w:val="32"/>
          <w:szCs w:val="40"/>
          <w:highlight w:val="none"/>
          <w:lang w:val="en-US" w:eastAsia="zh-CN"/>
        </w:rPr>
      </w:pPr>
      <w:bookmarkStart w:id="69" w:name="_Toc730318747"/>
      <w:bookmarkStart w:id="70" w:name="_Toc2337"/>
      <w:r>
        <w:rPr>
          <w:rFonts w:hint="default" w:ascii="Times New Roman Regular" w:hAnsi="Times New Roman Regular" w:eastAsia="黑体" w:cs="Times New Roman Regular"/>
          <w:color w:val="auto"/>
          <w:sz w:val="32"/>
          <w:szCs w:val="40"/>
          <w:highlight w:val="none"/>
          <w:lang w:val="en-US" w:eastAsia="zh-CN"/>
        </w:rPr>
        <w:t>附件</w:t>
      </w:r>
      <w:r>
        <w:rPr>
          <w:rFonts w:hint="eastAsia" w:ascii="Times New Roman Regular" w:hAnsi="Times New Roman Regular" w:eastAsia="黑体" w:cs="Times New Roman Regular"/>
          <w:color w:val="auto"/>
          <w:sz w:val="32"/>
          <w:szCs w:val="40"/>
          <w:highlight w:val="none"/>
          <w:lang w:val="en-US" w:eastAsia="zh-CN"/>
        </w:rPr>
        <w:t>4</w:t>
      </w:r>
      <w:r>
        <w:rPr>
          <w:rFonts w:hint="default" w:ascii="Times New Roman Regular" w:hAnsi="Times New Roman Regular" w:eastAsia="黑体" w:cs="Times New Roman Regular"/>
          <w:color w:val="auto"/>
          <w:sz w:val="32"/>
          <w:szCs w:val="40"/>
          <w:highlight w:val="none"/>
          <w:lang w:val="en-US" w:eastAsia="zh-CN"/>
        </w:rPr>
        <w:t>：</w:t>
      </w:r>
      <w:bookmarkEnd w:id="69"/>
      <w:r>
        <w:rPr>
          <w:rFonts w:hint="default" w:ascii="Times New Roman Regular" w:hAnsi="Times New Roman Regular" w:eastAsia="黑体" w:cs="Times New Roman Regular"/>
          <w:color w:val="auto"/>
          <w:sz w:val="32"/>
          <w:szCs w:val="40"/>
          <w:highlight w:val="none"/>
          <w:lang w:val="en-US" w:eastAsia="zh-CN"/>
        </w:rPr>
        <w:t>调研情况</w:t>
      </w:r>
      <w:bookmarkEnd w:id="70"/>
    </w:p>
    <w:p w14:paraId="4365F3E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Regular" w:hAnsi="Times New Roman Regular" w:eastAsia="方正小标宋简体" w:cs="Times New Roman Regular"/>
          <w:color w:val="auto"/>
          <w:sz w:val="44"/>
          <w:szCs w:val="52"/>
          <w:highlight w:val="none"/>
          <w:lang w:val="en-US" w:eastAsia="zh-CN"/>
        </w:rPr>
      </w:pPr>
      <w:bookmarkStart w:id="71" w:name="_Toc1598138224"/>
      <w:r>
        <w:rPr>
          <w:rFonts w:hint="eastAsia" w:ascii="Times New Roman Regular" w:hAnsi="Times New Roman Regular" w:eastAsia="方正小标宋简体" w:cs="Times New Roman Regular"/>
          <w:color w:val="auto"/>
          <w:sz w:val="44"/>
          <w:szCs w:val="52"/>
          <w:highlight w:val="none"/>
          <w:lang w:val="en-US" w:eastAsia="zh-CN"/>
        </w:rPr>
        <w:t>荣成博物馆运转经费项目价格调研</w:t>
      </w:r>
      <w:bookmarkEnd w:id="71"/>
    </w:p>
    <w:p w14:paraId="586F2E93">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eastAsia" w:ascii="黑体" w:hAnsi="黑体" w:eastAsia="黑体" w:cs="黑体"/>
          <w:b w:val="0"/>
          <w:color w:val="auto"/>
          <w:kern w:val="0"/>
          <w:sz w:val="32"/>
          <w:szCs w:val="32"/>
          <w:highlight w:val="none"/>
          <w:lang w:val="en-US" w:eastAsia="zh-CN"/>
        </w:rPr>
        <w:t>一、周边地区博物馆运转经费调研</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25"/>
        <w:gridCol w:w="1033"/>
        <w:gridCol w:w="2244"/>
        <w:gridCol w:w="4898"/>
      </w:tblGrid>
      <w:tr w14:paraId="2295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51DB208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lang w:val="en-US" w:eastAsia="zh-CN" w:bidi="ar"/>
              </w:rPr>
              <w:t>地区</w:t>
            </w:r>
          </w:p>
        </w:tc>
        <w:tc>
          <w:tcPr>
            <w:tcW w:w="561" w:type="pct"/>
            <w:shd w:val="clear" w:color="auto" w:fill="auto"/>
            <w:tcMar>
              <w:top w:w="108" w:type="dxa"/>
              <w:left w:w="96" w:type="dxa"/>
              <w:bottom w:w="108" w:type="dxa"/>
              <w:right w:w="96" w:type="dxa"/>
            </w:tcMar>
            <w:vAlign w:val="center"/>
          </w:tcPr>
          <w:p w14:paraId="52F4DB5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lang w:val="en-US" w:eastAsia="zh-CN" w:bidi="ar"/>
              </w:rPr>
              <w:t>名称</w:t>
            </w:r>
          </w:p>
        </w:tc>
        <w:tc>
          <w:tcPr>
            <w:tcW w:w="1219" w:type="pct"/>
            <w:shd w:val="clear" w:color="auto" w:fill="auto"/>
            <w:tcMar>
              <w:top w:w="108" w:type="dxa"/>
              <w:left w:w="96" w:type="dxa"/>
              <w:bottom w:w="108" w:type="dxa"/>
              <w:right w:w="96" w:type="dxa"/>
            </w:tcMar>
            <w:vAlign w:val="center"/>
          </w:tcPr>
          <w:p w14:paraId="24BFCFC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lang w:val="en-US" w:eastAsia="zh-CN" w:bidi="ar"/>
              </w:rPr>
              <w:t>基本情况</w:t>
            </w:r>
          </w:p>
        </w:tc>
        <w:tc>
          <w:tcPr>
            <w:tcW w:w="2661" w:type="pct"/>
            <w:shd w:val="clear" w:color="auto" w:fill="auto"/>
            <w:tcMar>
              <w:top w:w="108" w:type="dxa"/>
              <w:left w:w="96" w:type="dxa"/>
              <w:bottom w:w="108" w:type="dxa"/>
              <w:right w:w="96" w:type="dxa"/>
            </w:tcMar>
            <w:vAlign w:val="center"/>
          </w:tcPr>
          <w:p w14:paraId="3A8D4ECD">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lang w:val="en-US" w:eastAsia="zh-CN" w:bidi="ar"/>
              </w:rPr>
              <w:t>运转经费支出标准及金额详情</w:t>
            </w:r>
          </w:p>
        </w:tc>
      </w:tr>
      <w:tr w14:paraId="776A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08B6D6C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滨州市</w:t>
            </w:r>
          </w:p>
        </w:tc>
        <w:tc>
          <w:tcPr>
            <w:tcW w:w="561" w:type="pct"/>
            <w:shd w:val="clear" w:color="auto" w:fill="auto"/>
            <w:tcMar>
              <w:top w:w="108" w:type="dxa"/>
              <w:left w:w="96" w:type="dxa"/>
              <w:bottom w:w="108" w:type="dxa"/>
              <w:right w:w="96" w:type="dxa"/>
            </w:tcMar>
            <w:vAlign w:val="center"/>
          </w:tcPr>
          <w:p w14:paraId="1F045E8B">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滨州市博物馆</w:t>
            </w:r>
          </w:p>
        </w:tc>
        <w:tc>
          <w:tcPr>
            <w:tcW w:w="1219" w:type="pct"/>
            <w:shd w:val="clear" w:color="auto" w:fill="auto"/>
            <w:tcMar>
              <w:top w:w="108" w:type="dxa"/>
              <w:left w:w="96" w:type="dxa"/>
              <w:bottom w:w="108" w:type="dxa"/>
              <w:right w:w="96" w:type="dxa"/>
            </w:tcMar>
            <w:vAlign w:val="center"/>
          </w:tcPr>
          <w:p w14:paraId="3A738C3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管理及作业人员、日常经营</w:t>
            </w:r>
          </w:p>
        </w:tc>
        <w:tc>
          <w:tcPr>
            <w:tcW w:w="2661" w:type="pct"/>
            <w:shd w:val="clear" w:color="auto" w:fill="auto"/>
            <w:tcMar>
              <w:top w:w="108" w:type="dxa"/>
              <w:left w:w="96" w:type="dxa"/>
              <w:bottom w:w="108" w:type="dxa"/>
              <w:right w:w="96" w:type="dxa"/>
            </w:tcMar>
            <w:vAlign w:val="center"/>
          </w:tcPr>
          <w:p w14:paraId="77072BD1">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2024年支出预算430.42万元，其中基本支出279.92万元，涵盖人员工资福利（如新进、转正定级、岗位变动及薪级调整带来人员支出增加）、日常商品和服务支出等；项目支出150.50万元。事业运行经费财政拨款预算为22.50万元，较2023年减少0.15万元，下降0.66%。</w:t>
            </w:r>
          </w:p>
        </w:tc>
      </w:tr>
      <w:tr w14:paraId="7488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21DA3D13">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潍坊市寿光市</w:t>
            </w:r>
          </w:p>
        </w:tc>
        <w:tc>
          <w:tcPr>
            <w:tcW w:w="561" w:type="pct"/>
            <w:shd w:val="clear" w:color="auto" w:fill="auto"/>
            <w:tcMar>
              <w:top w:w="108" w:type="dxa"/>
              <w:left w:w="96" w:type="dxa"/>
              <w:bottom w:w="108" w:type="dxa"/>
              <w:right w:w="96" w:type="dxa"/>
            </w:tcMar>
            <w:vAlign w:val="center"/>
          </w:tcPr>
          <w:p w14:paraId="6E2FF13C">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寿光市博物馆</w:t>
            </w:r>
          </w:p>
        </w:tc>
        <w:tc>
          <w:tcPr>
            <w:tcW w:w="1219" w:type="pct"/>
            <w:shd w:val="clear" w:color="auto" w:fill="auto"/>
            <w:tcMar>
              <w:top w:w="108" w:type="dxa"/>
              <w:left w:w="96" w:type="dxa"/>
              <w:bottom w:w="108" w:type="dxa"/>
              <w:right w:w="96" w:type="dxa"/>
            </w:tcMar>
            <w:vAlign w:val="center"/>
          </w:tcPr>
          <w:p w14:paraId="317B76E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承担文物收藏、展示及免费开放职能</w:t>
            </w:r>
          </w:p>
        </w:tc>
        <w:tc>
          <w:tcPr>
            <w:tcW w:w="2661" w:type="pct"/>
            <w:shd w:val="clear" w:color="auto" w:fill="auto"/>
            <w:tcMar>
              <w:top w:w="108" w:type="dxa"/>
              <w:left w:w="96" w:type="dxa"/>
              <w:bottom w:w="108" w:type="dxa"/>
              <w:right w:w="96" w:type="dxa"/>
            </w:tcMar>
            <w:vAlign w:val="center"/>
          </w:tcPr>
          <w:p w14:paraId="6CC08BA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1.资金来源：市级财政专项拨款；</w:t>
            </w:r>
          </w:p>
          <w:p w14:paraId="360D062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2.核心运转经费：公共文化服务工作经费300.5万元，专项用于博物馆免费开放、社会教育活动等日常运营保障。</w:t>
            </w:r>
          </w:p>
        </w:tc>
      </w:tr>
      <w:tr w14:paraId="6BBA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6D2FE69B">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潍坊市昌乐县</w:t>
            </w:r>
          </w:p>
        </w:tc>
        <w:tc>
          <w:tcPr>
            <w:tcW w:w="561" w:type="pct"/>
            <w:shd w:val="clear" w:color="auto" w:fill="auto"/>
            <w:tcMar>
              <w:top w:w="108" w:type="dxa"/>
              <w:left w:w="96" w:type="dxa"/>
              <w:bottom w:w="108" w:type="dxa"/>
              <w:right w:w="96" w:type="dxa"/>
            </w:tcMar>
            <w:vAlign w:val="center"/>
          </w:tcPr>
          <w:p w14:paraId="0550B2ED">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昌乐县博物馆</w:t>
            </w:r>
          </w:p>
        </w:tc>
        <w:tc>
          <w:tcPr>
            <w:tcW w:w="1219" w:type="pct"/>
            <w:shd w:val="clear" w:color="auto" w:fill="auto"/>
            <w:tcMar>
              <w:top w:w="108" w:type="dxa"/>
              <w:left w:w="96" w:type="dxa"/>
              <w:bottom w:w="108" w:type="dxa"/>
              <w:right w:w="96" w:type="dxa"/>
            </w:tcMar>
            <w:vAlign w:val="center"/>
          </w:tcPr>
          <w:p w14:paraId="0B1505DC">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以蓝宝石文化、远古文化为展示特色，承担文物普查与文化传播职能</w:t>
            </w:r>
          </w:p>
        </w:tc>
        <w:tc>
          <w:tcPr>
            <w:tcW w:w="2661" w:type="pct"/>
            <w:shd w:val="clear" w:color="auto" w:fill="auto"/>
            <w:tcMar>
              <w:top w:w="108" w:type="dxa"/>
              <w:left w:w="96" w:type="dxa"/>
              <w:bottom w:w="108" w:type="dxa"/>
              <w:right w:w="96" w:type="dxa"/>
            </w:tcMar>
            <w:vAlign w:val="top"/>
          </w:tcPr>
          <w:p w14:paraId="6737E4EF">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1.资金来源：一般公共预算拨款，2024年预算总额298.6万元；</w:t>
            </w:r>
          </w:p>
          <w:p w14:paraId="6CC01FAD">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2.功能分类支出：文化旅游体育与传媒支出245.3万元、社会保障和就业支出32.7万元、卫生健康支出10.2万元、住房保障支出10.4万元。</w:t>
            </w:r>
          </w:p>
        </w:tc>
      </w:tr>
      <w:tr w14:paraId="3D78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5F354C25">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淄博市桓台县</w:t>
            </w:r>
          </w:p>
        </w:tc>
        <w:tc>
          <w:tcPr>
            <w:tcW w:w="561" w:type="pct"/>
            <w:shd w:val="clear" w:color="auto" w:fill="auto"/>
            <w:tcMar>
              <w:top w:w="108" w:type="dxa"/>
              <w:left w:w="96" w:type="dxa"/>
              <w:bottom w:w="108" w:type="dxa"/>
              <w:right w:w="96" w:type="dxa"/>
            </w:tcMar>
            <w:vAlign w:val="center"/>
          </w:tcPr>
          <w:p w14:paraId="58BDC33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桓台县博物馆</w:t>
            </w:r>
          </w:p>
        </w:tc>
        <w:tc>
          <w:tcPr>
            <w:tcW w:w="1219" w:type="pct"/>
            <w:shd w:val="clear" w:color="auto" w:fill="auto"/>
            <w:tcMar>
              <w:top w:w="108" w:type="dxa"/>
              <w:left w:w="96" w:type="dxa"/>
              <w:bottom w:w="108" w:type="dxa"/>
              <w:right w:w="96" w:type="dxa"/>
            </w:tcMar>
            <w:vAlign w:val="center"/>
          </w:tcPr>
          <w:p w14:paraId="1281187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以地方历史文物收藏保护为核心职能</w:t>
            </w:r>
          </w:p>
        </w:tc>
        <w:tc>
          <w:tcPr>
            <w:tcW w:w="2661" w:type="pct"/>
            <w:shd w:val="clear" w:color="auto" w:fill="auto"/>
            <w:tcMar>
              <w:top w:w="108" w:type="dxa"/>
              <w:left w:w="96" w:type="dxa"/>
              <w:bottom w:w="108" w:type="dxa"/>
              <w:right w:w="96" w:type="dxa"/>
            </w:tcMar>
            <w:vAlign w:val="center"/>
          </w:tcPr>
          <w:p w14:paraId="65A55B6C">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年度日常运转经费</w:t>
            </w:r>
            <w:r>
              <w:rPr>
                <w:rFonts w:hint="eastAsia" w:ascii="Times New Roman" w:hAnsi="Times New Roman" w:eastAsia="仿宋_GB2312" w:cs="Times New Roman"/>
                <w:kern w:val="0"/>
                <w:sz w:val="24"/>
                <w:szCs w:val="24"/>
                <w:lang w:val="en-US" w:eastAsia="zh-CN" w:bidi="ar"/>
              </w:rPr>
              <w:t>287.5万元，</w:t>
            </w:r>
            <w:r>
              <w:rPr>
                <w:rFonts w:hint="default" w:ascii="Times New Roman" w:hAnsi="Times New Roman" w:eastAsia="仿宋_GB2312" w:cs="Times New Roman"/>
                <w:kern w:val="0"/>
                <w:sz w:val="24"/>
                <w:szCs w:val="24"/>
                <w:lang w:val="en-US" w:eastAsia="zh-CN" w:bidi="ar"/>
              </w:rPr>
              <w:t>历史投入含安防系统129.5万元、展厅装修158万元。</w:t>
            </w:r>
          </w:p>
        </w:tc>
      </w:tr>
      <w:tr w14:paraId="7D95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38670E7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青岛市</w:t>
            </w:r>
          </w:p>
          <w:p w14:paraId="75C5A0C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即墨区</w:t>
            </w:r>
          </w:p>
        </w:tc>
        <w:tc>
          <w:tcPr>
            <w:tcW w:w="561" w:type="pct"/>
            <w:shd w:val="clear" w:color="auto" w:fill="auto"/>
            <w:tcMar>
              <w:top w:w="108" w:type="dxa"/>
              <w:left w:w="96" w:type="dxa"/>
              <w:bottom w:w="108" w:type="dxa"/>
              <w:right w:w="96" w:type="dxa"/>
            </w:tcMar>
            <w:vAlign w:val="center"/>
          </w:tcPr>
          <w:p w14:paraId="3AB322B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青岛市即墨区博物馆</w:t>
            </w:r>
          </w:p>
        </w:tc>
        <w:tc>
          <w:tcPr>
            <w:tcW w:w="1219" w:type="pct"/>
            <w:shd w:val="clear" w:color="auto" w:fill="auto"/>
            <w:tcMar>
              <w:top w:w="108" w:type="dxa"/>
              <w:left w:w="96" w:type="dxa"/>
              <w:bottom w:w="108" w:type="dxa"/>
              <w:right w:w="96" w:type="dxa"/>
            </w:tcMar>
            <w:vAlign w:val="center"/>
          </w:tcPr>
          <w:p w14:paraId="0A678E7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保障博物馆正常运行，发挥文物管理、文物保护、宣传教育、免费开放服务</w:t>
            </w:r>
          </w:p>
        </w:tc>
        <w:tc>
          <w:tcPr>
            <w:tcW w:w="2661" w:type="pct"/>
            <w:shd w:val="clear" w:color="auto" w:fill="auto"/>
            <w:tcMar>
              <w:top w:w="108" w:type="dxa"/>
              <w:left w:w="96" w:type="dxa"/>
              <w:bottom w:w="108" w:type="dxa"/>
              <w:right w:w="96" w:type="dxa"/>
            </w:tcMar>
            <w:vAlign w:val="center"/>
          </w:tcPr>
          <w:p w14:paraId="349FDB92">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2023年预算中，博物馆运行及文物保护管理工作总成本预算为260万元</w:t>
            </w:r>
          </w:p>
        </w:tc>
      </w:tr>
      <w:tr w14:paraId="557D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7004914E">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临沂市沂水县</w:t>
            </w:r>
          </w:p>
        </w:tc>
        <w:tc>
          <w:tcPr>
            <w:tcW w:w="561" w:type="pct"/>
            <w:shd w:val="clear" w:color="auto" w:fill="auto"/>
            <w:tcMar>
              <w:top w:w="108" w:type="dxa"/>
              <w:left w:w="96" w:type="dxa"/>
              <w:bottom w:w="108" w:type="dxa"/>
              <w:right w:w="96" w:type="dxa"/>
            </w:tcMar>
            <w:vAlign w:val="center"/>
          </w:tcPr>
          <w:p w14:paraId="76815A3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沂水县博物馆</w:t>
            </w:r>
          </w:p>
        </w:tc>
        <w:tc>
          <w:tcPr>
            <w:tcW w:w="1219" w:type="pct"/>
            <w:shd w:val="clear" w:color="auto" w:fill="auto"/>
            <w:tcMar>
              <w:top w:w="108" w:type="dxa"/>
              <w:left w:w="96" w:type="dxa"/>
              <w:bottom w:w="108" w:type="dxa"/>
              <w:right w:w="96" w:type="dxa"/>
            </w:tcMar>
            <w:vAlign w:val="center"/>
          </w:tcPr>
          <w:p w14:paraId="6D7C9A53">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承担文物数字化保护及展览展示职能</w:t>
            </w:r>
          </w:p>
        </w:tc>
        <w:tc>
          <w:tcPr>
            <w:tcW w:w="2661" w:type="pct"/>
            <w:shd w:val="clear" w:color="auto" w:fill="auto"/>
            <w:tcMar>
              <w:top w:w="108" w:type="dxa"/>
              <w:left w:w="96" w:type="dxa"/>
              <w:bottom w:w="108" w:type="dxa"/>
              <w:right w:w="96" w:type="dxa"/>
            </w:tcMar>
            <w:vAlign w:val="center"/>
          </w:tcPr>
          <w:p w14:paraId="313D1D2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2024年重点运转项目经费170万元，用于展厅改造升级及新展馆场地建设。</w:t>
            </w:r>
          </w:p>
        </w:tc>
      </w:tr>
      <w:tr w14:paraId="4B92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557" w:type="pct"/>
            <w:shd w:val="clear" w:color="auto" w:fill="auto"/>
            <w:tcMar>
              <w:top w:w="108" w:type="dxa"/>
              <w:left w:w="96" w:type="dxa"/>
              <w:bottom w:w="108" w:type="dxa"/>
              <w:right w:w="96" w:type="dxa"/>
            </w:tcMar>
            <w:vAlign w:val="center"/>
          </w:tcPr>
          <w:p w14:paraId="0FD76FA3">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江西省</w:t>
            </w:r>
          </w:p>
        </w:tc>
        <w:tc>
          <w:tcPr>
            <w:tcW w:w="561" w:type="pct"/>
            <w:shd w:val="clear" w:color="auto" w:fill="auto"/>
            <w:tcMar>
              <w:top w:w="108" w:type="dxa"/>
              <w:left w:w="96" w:type="dxa"/>
              <w:bottom w:w="108" w:type="dxa"/>
              <w:right w:w="96" w:type="dxa"/>
            </w:tcMar>
            <w:vAlign w:val="center"/>
          </w:tcPr>
          <w:p w14:paraId="7FE43888">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上高县博物馆</w:t>
            </w:r>
          </w:p>
        </w:tc>
        <w:tc>
          <w:tcPr>
            <w:tcW w:w="1219" w:type="pct"/>
            <w:shd w:val="clear" w:color="auto" w:fill="auto"/>
            <w:tcMar>
              <w:top w:w="108" w:type="dxa"/>
              <w:left w:w="96" w:type="dxa"/>
              <w:bottom w:w="108" w:type="dxa"/>
              <w:right w:w="96" w:type="dxa"/>
            </w:tcMar>
            <w:vAlign w:val="center"/>
          </w:tcPr>
          <w:p w14:paraId="6C611D0D">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承担文物收藏、保护、研究和展示职能</w:t>
            </w:r>
          </w:p>
        </w:tc>
        <w:tc>
          <w:tcPr>
            <w:tcW w:w="2661" w:type="pct"/>
            <w:shd w:val="clear" w:color="auto" w:fill="auto"/>
            <w:tcMar>
              <w:top w:w="108" w:type="dxa"/>
              <w:left w:w="96" w:type="dxa"/>
              <w:bottom w:w="108" w:type="dxa"/>
              <w:right w:w="96" w:type="dxa"/>
            </w:tcMar>
            <w:vAlign w:val="center"/>
          </w:tcPr>
          <w:p w14:paraId="1D678D91">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both"/>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2023年支出预算168.71万元，其中基本支出94.11万元，项目支出74.60万元。涉及博物馆运行经费70万元、免费开放补助资金50.5万元等</w:t>
            </w:r>
          </w:p>
        </w:tc>
      </w:tr>
    </w:tbl>
    <w:p w14:paraId="14057EF3">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eastAsia" w:ascii="黑体" w:hAnsi="黑体" w:eastAsia="黑体" w:cs="黑体"/>
          <w:b w:val="0"/>
          <w:color w:val="auto"/>
          <w:kern w:val="0"/>
          <w:sz w:val="32"/>
          <w:szCs w:val="32"/>
          <w:highlight w:val="none"/>
          <w:lang w:val="en-US" w:eastAsia="zh-CN"/>
        </w:rPr>
        <w:t>二、人工成本调研</w:t>
      </w:r>
    </w:p>
    <w:p w14:paraId="665067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color w:val="auto"/>
          <w:kern w:val="0"/>
          <w:sz w:val="32"/>
          <w:szCs w:val="32"/>
          <w:highlight w:val="none"/>
          <w:lang w:val="en-US" w:eastAsia="zh-CN"/>
        </w:rPr>
      </w:pPr>
      <w:r>
        <w:rPr>
          <w:rFonts w:hint="default" w:ascii="Times New Roman" w:hAnsi="Times New Roman" w:eastAsia="仿宋_GB2312" w:cs="Times New Roman"/>
          <w:b w:val="0"/>
          <w:color w:val="auto"/>
          <w:kern w:val="0"/>
          <w:sz w:val="32"/>
          <w:szCs w:val="32"/>
          <w:highlight w:val="none"/>
          <w:lang w:val="en-US" w:eastAsia="zh-CN"/>
        </w:rPr>
        <w:t>《威海市人力资源和社会保障局关于发布威海市2023年人力资源市场工资价位的通知》（威人社字〔2024〕26号）</w:t>
      </w:r>
      <w:r>
        <w:rPr>
          <w:rFonts w:hint="eastAsia" w:ascii="Times New Roman" w:hAnsi="Times New Roman" w:eastAsia="仿宋_GB2312" w:cs="Times New Roman"/>
          <w:b w:val="0"/>
          <w:color w:val="auto"/>
          <w:kern w:val="0"/>
          <w:sz w:val="32"/>
          <w:szCs w:val="32"/>
          <w:highlight w:val="none"/>
          <w:lang w:val="en-US" w:eastAsia="zh-CN"/>
        </w:rPr>
        <w:t>明确</w:t>
      </w:r>
      <w:r>
        <w:rPr>
          <w:rFonts w:hint="default" w:ascii="Times New Roman" w:hAnsi="Times New Roman" w:eastAsia="仿宋_GB2312" w:cs="Times New Roman"/>
          <w:b w:val="0"/>
          <w:color w:val="auto"/>
          <w:kern w:val="0"/>
          <w:sz w:val="32"/>
          <w:szCs w:val="32"/>
          <w:highlight w:val="none"/>
          <w:lang w:val="en-US" w:eastAsia="zh-CN"/>
        </w:rPr>
        <w:t>，保卫及辅助警务人员薪酬中位数40611元/年（折合3384.25元/月）、环境卫生服务人员薪酬中位数35273元/年（折合2937.41元/月）</w:t>
      </w:r>
      <w:r>
        <w:rPr>
          <w:rFonts w:hint="eastAsia" w:ascii="Times New Roman" w:hAnsi="Times New Roman" w:eastAsia="仿宋_GB2312" w:cs="Times New Roman"/>
          <w:b w:val="0"/>
          <w:color w:val="auto"/>
          <w:kern w:val="0"/>
          <w:sz w:val="32"/>
          <w:szCs w:val="32"/>
          <w:highlight w:val="none"/>
          <w:lang w:val="en-US" w:eastAsia="zh-CN"/>
        </w:rPr>
        <w:t>。</w:t>
      </w:r>
    </w:p>
    <w:p w14:paraId="53861CA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黑体" w:hAnsi="黑体" w:eastAsia="黑体" w:cs="黑体"/>
          <w:b w:val="0"/>
          <w:color w:val="auto"/>
          <w:kern w:val="0"/>
          <w:sz w:val="32"/>
          <w:szCs w:val="32"/>
          <w:highlight w:val="none"/>
          <w:lang w:val="en-US" w:eastAsia="zh-CN"/>
        </w:rPr>
      </w:pPr>
      <w:r>
        <w:rPr>
          <w:rFonts w:hint="eastAsia" w:ascii="黑体" w:hAnsi="黑体" w:eastAsia="黑体" w:cs="黑体"/>
          <w:b w:val="0"/>
          <w:color w:val="auto"/>
          <w:kern w:val="0"/>
          <w:sz w:val="32"/>
          <w:szCs w:val="32"/>
          <w:highlight w:val="none"/>
          <w:lang w:val="en-US" w:eastAsia="zh-CN"/>
        </w:rPr>
        <w:t>三、电梯维保调研</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66"/>
        <w:gridCol w:w="2487"/>
        <w:gridCol w:w="4939"/>
      </w:tblGrid>
      <w:tr w14:paraId="1D5C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45AAB411">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地区</w:t>
            </w:r>
          </w:p>
        </w:tc>
        <w:tc>
          <w:tcPr>
            <w:tcW w:w="2487" w:type="dxa"/>
            <w:shd w:val="clear" w:color="auto" w:fill="auto"/>
            <w:tcMar>
              <w:top w:w="108" w:type="dxa"/>
              <w:left w:w="96" w:type="dxa"/>
              <w:bottom w:w="108" w:type="dxa"/>
              <w:right w:w="96" w:type="dxa"/>
            </w:tcMar>
            <w:vAlign w:val="center"/>
          </w:tcPr>
          <w:p w14:paraId="1A7FC17B">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项目名称</w:t>
            </w:r>
          </w:p>
        </w:tc>
        <w:tc>
          <w:tcPr>
            <w:tcW w:w="4939" w:type="dxa"/>
            <w:shd w:val="clear" w:color="auto" w:fill="auto"/>
            <w:tcMar>
              <w:top w:w="108" w:type="dxa"/>
              <w:left w:w="96" w:type="dxa"/>
              <w:bottom w:w="108" w:type="dxa"/>
              <w:right w:w="96" w:type="dxa"/>
            </w:tcMar>
            <w:vAlign w:val="center"/>
          </w:tcPr>
          <w:p w14:paraId="6678FDF1">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电梯维保单价</w:t>
            </w:r>
          </w:p>
        </w:tc>
      </w:tr>
      <w:tr w14:paraId="405C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3ADB2C5F">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淄博市</w:t>
            </w:r>
          </w:p>
        </w:tc>
        <w:tc>
          <w:tcPr>
            <w:tcW w:w="2487" w:type="dxa"/>
            <w:shd w:val="clear" w:color="auto" w:fill="auto"/>
            <w:tcMar>
              <w:top w:w="108" w:type="dxa"/>
              <w:left w:w="96" w:type="dxa"/>
              <w:bottom w:w="108" w:type="dxa"/>
              <w:right w:w="96" w:type="dxa"/>
            </w:tcMar>
            <w:vAlign w:val="center"/>
          </w:tcPr>
          <w:p w14:paraId="27B5693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高青县人民检察院</w:t>
            </w:r>
          </w:p>
        </w:tc>
        <w:tc>
          <w:tcPr>
            <w:tcW w:w="4939" w:type="dxa"/>
            <w:shd w:val="clear" w:color="auto" w:fill="auto"/>
            <w:tcMar>
              <w:top w:w="108" w:type="dxa"/>
              <w:left w:w="96" w:type="dxa"/>
              <w:bottom w:w="108" w:type="dxa"/>
              <w:right w:w="96" w:type="dxa"/>
            </w:tcMar>
            <w:vAlign w:val="center"/>
          </w:tcPr>
          <w:p w14:paraId="4E1F1BC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7000元/部</w:t>
            </w:r>
          </w:p>
        </w:tc>
      </w:tr>
      <w:tr w14:paraId="4185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7540E73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济南市</w:t>
            </w:r>
          </w:p>
        </w:tc>
        <w:tc>
          <w:tcPr>
            <w:tcW w:w="2487" w:type="dxa"/>
            <w:shd w:val="clear" w:color="auto" w:fill="auto"/>
            <w:tcMar>
              <w:top w:w="108" w:type="dxa"/>
              <w:left w:w="96" w:type="dxa"/>
              <w:bottom w:w="108" w:type="dxa"/>
              <w:right w:w="96" w:type="dxa"/>
            </w:tcMar>
            <w:vAlign w:val="center"/>
          </w:tcPr>
          <w:p w14:paraId="391A9B8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山东省应急管理厅机关</w:t>
            </w:r>
          </w:p>
        </w:tc>
        <w:tc>
          <w:tcPr>
            <w:tcW w:w="4939" w:type="dxa"/>
            <w:shd w:val="clear" w:color="auto" w:fill="auto"/>
            <w:tcMar>
              <w:top w:w="108" w:type="dxa"/>
              <w:left w:w="96" w:type="dxa"/>
              <w:bottom w:w="108" w:type="dxa"/>
              <w:right w:w="96" w:type="dxa"/>
            </w:tcMar>
            <w:vAlign w:val="center"/>
          </w:tcPr>
          <w:p w14:paraId="4933C294">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6960元/部</w:t>
            </w:r>
          </w:p>
        </w:tc>
      </w:tr>
      <w:tr w14:paraId="5F11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4A67F34D">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济南市</w:t>
            </w:r>
          </w:p>
        </w:tc>
        <w:tc>
          <w:tcPr>
            <w:tcW w:w="2487" w:type="dxa"/>
            <w:shd w:val="clear" w:color="auto" w:fill="auto"/>
            <w:tcMar>
              <w:top w:w="108" w:type="dxa"/>
              <w:left w:w="96" w:type="dxa"/>
              <w:bottom w:w="108" w:type="dxa"/>
              <w:right w:w="96" w:type="dxa"/>
            </w:tcMar>
            <w:vAlign w:val="center"/>
          </w:tcPr>
          <w:p w14:paraId="6A10B40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济南市槐荫区人民法院</w:t>
            </w:r>
          </w:p>
        </w:tc>
        <w:tc>
          <w:tcPr>
            <w:tcW w:w="4939" w:type="dxa"/>
            <w:shd w:val="clear" w:color="auto" w:fill="auto"/>
            <w:tcMar>
              <w:top w:w="108" w:type="dxa"/>
              <w:left w:w="96" w:type="dxa"/>
              <w:bottom w:w="108" w:type="dxa"/>
              <w:right w:w="96" w:type="dxa"/>
            </w:tcMar>
            <w:vAlign w:val="center"/>
          </w:tcPr>
          <w:p w14:paraId="067D11C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6800元/部</w:t>
            </w:r>
          </w:p>
        </w:tc>
      </w:tr>
      <w:tr w14:paraId="3203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0922B3D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济南市</w:t>
            </w:r>
          </w:p>
        </w:tc>
        <w:tc>
          <w:tcPr>
            <w:tcW w:w="2487" w:type="dxa"/>
            <w:shd w:val="clear" w:color="auto" w:fill="auto"/>
            <w:tcMar>
              <w:top w:w="108" w:type="dxa"/>
              <w:left w:w="96" w:type="dxa"/>
              <w:bottom w:w="108" w:type="dxa"/>
              <w:right w:w="96" w:type="dxa"/>
            </w:tcMar>
            <w:vAlign w:val="center"/>
          </w:tcPr>
          <w:p w14:paraId="6F42F355">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千佛山社区卫生服务中心</w:t>
            </w:r>
          </w:p>
        </w:tc>
        <w:tc>
          <w:tcPr>
            <w:tcW w:w="4939" w:type="dxa"/>
            <w:shd w:val="clear" w:color="auto" w:fill="auto"/>
            <w:tcMar>
              <w:top w:w="108" w:type="dxa"/>
              <w:left w:w="96" w:type="dxa"/>
              <w:bottom w:w="108" w:type="dxa"/>
              <w:right w:w="96" w:type="dxa"/>
            </w:tcMar>
            <w:vAlign w:val="center"/>
          </w:tcPr>
          <w:p w14:paraId="60DB81B5">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6500元/部</w:t>
            </w:r>
          </w:p>
        </w:tc>
      </w:tr>
      <w:tr w14:paraId="2147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1EBA6C8B">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临沂市</w:t>
            </w:r>
          </w:p>
        </w:tc>
        <w:tc>
          <w:tcPr>
            <w:tcW w:w="2487" w:type="dxa"/>
            <w:shd w:val="clear" w:color="auto" w:fill="auto"/>
            <w:tcMar>
              <w:top w:w="108" w:type="dxa"/>
              <w:left w:w="96" w:type="dxa"/>
              <w:bottom w:w="108" w:type="dxa"/>
              <w:right w:w="96" w:type="dxa"/>
            </w:tcMar>
            <w:vAlign w:val="center"/>
          </w:tcPr>
          <w:p w14:paraId="1E047439">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沂水县全民健身中心</w:t>
            </w:r>
          </w:p>
        </w:tc>
        <w:tc>
          <w:tcPr>
            <w:tcW w:w="4939" w:type="dxa"/>
            <w:shd w:val="clear" w:color="auto" w:fill="auto"/>
            <w:tcMar>
              <w:top w:w="108" w:type="dxa"/>
              <w:left w:w="96" w:type="dxa"/>
              <w:bottom w:w="108" w:type="dxa"/>
              <w:right w:w="96" w:type="dxa"/>
            </w:tcMar>
            <w:vAlign w:val="center"/>
          </w:tcPr>
          <w:p w14:paraId="7A18001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年度日常保养费用</w:t>
            </w:r>
            <w:r>
              <w:rPr>
                <w:rFonts w:hint="eastAsia" w:ascii="Times New Roman" w:hAnsi="Times New Roman" w:eastAsia="仿宋_GB2312" w:cs="Times New Roman"/>
                <w:kern w:val="0"/>
                <w:sz w:val="24"/>
                <w:szCs w:val="24"/>
                <w:lang w:val="en-US" w:eastAsia="zh-CN" w:bidi="ar"/>
              </w:rPr>
              <w:t>5000</w:t>
            </w:r>
            <w:r>
              <w:rPr>
                <w:rFonts w:hint="default" w:ascii="Times New Roman" w:hAnsi="Times New Roman" w:eastAsia="仿宋_GB2312" w:cs="Times New Roman"/>
                <w:kern w:val="0"/>
                <w:sz w:val="24"/>
                <w:szCs w:val="24"/>
                <w:lang w:val="en-US" w:eastAsia="zh-CN" w:bidi="ar"/>
              </w:rPr>
              <w:t>元、年检</w:t>
            </w:r>
            <w:r>
              <w:rPr>
                <w:rFonts w:hint="eastAsia" w:ascii="Times New Roman" w:hAnsi="Times New Roman" w:eastAsia="仿宋_GB2312" w:cs="Times New Roman"/>
                <w:kern w:val="0"/>
                <w:sz w:val="24"/>
                <w:szCs w:val="24"/>
                <w:lang w:val="en-US" w:eastAsia="zh-CN" w:bidi="ar"/>
              </w:rPr>
              <w:t>及</w:t>
            </w:r>
            <w:r>
              <w:rPr>
                <w:rFonts w:hint="default" w:ascii="Times New Roman" w:hAnsi="Times New Roman" w:eastAsia="仿宋_GB2312" w:cs="Times New Roman"/>
                <w:kern w:val="0"/>
                <w:sz w:val="24"/>
                <w:szCs w:val="24"/>
                <w:lang w:val="en-US" w:eastAsia="zh-CN" w:bidi="ar"/>
              </w:rPr>
              <w:t>保险费用</w:t>
            </w:r>
            <w:r>
              <w:rPr>
                <w:rFonts w:hint="eastAsia" w:ascii="Times New Roman" w:hAnsi="Times New Roman" w:eastAsia="仿宋_GB2312" w:cs="Times New Roman"/>
                <w:kern w:val="0"/>
                <w:sz w:val="24"/>
                <w:szCs w:val="24"/>
                <w:lang w:val="en-US" w:eastAsia="zh-CN" w:bidi="ar"/>
              </w:rPr>
              <w:t>7</w:t>
            </w:r>
            <w:r>
              <w:rPr>
                <w:rFonts w:hint="default" w:ascii="Times New Roman" w:hAnsi="Times New Roman" w:eastAsia="仿宋_GB2312" w:cs="Times New Roman"/>
                <w:kern w:val="0"/>
                <w:sz w:val="24"/>
                <w:szCs w:val="24"/>
                <w:lang w:val="en-US" w:eastAsia="zh-CN" w:bidi="ar"/>
              </w:rPr>
              <w:t>00元/部/年</w:t>
            </w:r>
            <w:r>
              <w:rPr>
                <w:rFonts w:hint="eastAsia" w:ascii="Times New Roman" w:hAnsi="Times New Roman" w:eastAsia="仿宋_GB2312" w:cs="Times New Roman"/>
                <w:kern w:val="0"/>
                <w:sz w:val="24"/>
                <w:szCs w:val="24"/>
                <w:lang w:val="en-US" w:eastAsia="zh-CN" w:bidi="ar"/>
              </w:rPr>
              <w:t>，合计5700元/部</w:t>
            </w:r>
          </w:p>
        </w:tc>
      </w:tr>
      <w:tr w14:paraId="3CF5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5B692B51">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枣庄市</w:t>
            </w:r>
          </w:p>
        </w:tc>
        <w:tc>
          <w:tcPr>
            <w:tcW w:w="2487" w:type="dxa"/>
            <w:shd w:val="clear" w:color="auto" w:fill="auto"/>
            <w:tcMar>
              <w:top w:w="108" w:type="dxa"/>
              <w:left w:w="96" w:type="dxa"/>
              <w:bottom w:w="108" w:type="dxa"/>
              <w:right w:w="96" w:type="dxa"/>
            </w:tcMar>
            <w:vAlign w:val="center"/>
          </w:tcPr>
          <w:p w14:paraId="7D9F5DE0">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枣庄市第一中学</w:t>
            </w:r>
          </w:p>
        </w:tc>
        <w:tc>
          <w:tcPr>
            <w:tcW w:w="4939" w:type="dxa"/>
            <w:shd w:val="clear" w:color="auto" w:fill="auto"/>
            <w:tcMar>
              <w:top w:w="108" w:type="dxa"/>
              <w:left w:w="96" w:type="dxa"/>
              <w:bottom w:w="108" w:type="dxa"/>
              <w:right w:w="96" w:type="dxa"/>
            </w:tcMar>
            <w:vAlign w:val="center"/>
          </w:tcPr>
          <w:p w14:paraId="7F18421B">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5600元/部</w:t>
            </w:r>
          </w:p>
        </w:tc>
      </w:tr>
      <w:tr w14:paraId="7C25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1AD6E562">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青岛市</w:t>
            </w:r>
          </w:p>
        </w:tc>
        <w:tc>
          <w:tcPr>
            <w:tcW w:w="2487" w:type="dxa"/>
            <w:shd w:val="clear" w:color="auto" w:fill="auto"/>
            <w:tcMar>
              <w:top w:w="108" w:type="dxa"/>
              <w:left w:w="96" w:type="dxa"/>
              <w:bottom w:w="108" w:type="dxa"/>
              <w:right w:w="96" w:type="dxa"/>
            </w:tcMar>
            <w:vAlign w:val="center"/>
          </w:tcPr>
          <w:p w14:paraId="767CCF42">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青岛市民建设中心项目</w:t>
            </w:r>
          </w:p>
        </w:tc>
        <w:tc>
          <w:tcPr>
            <w:tcW w:w="4939" w:type="dxa"/>
            <w:shd w:val="clear" w:color="auto" w:fill="auto"/>
            <w:tcMar>
              <w:top w:w="108" w:type="dxa"/>
              <w:left w:w="96" w:type="dxa"/>
              <w:bottom w:w="108" w:type="dxa"/>
              <w:right w:w="96" w:type="dxa"/>
            </w:tcMar>
            <w:vAlign w:val="center"/>
          </w:tcPr>
          <w:p w14:paraId="6339AE38">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年度</w:t>
            </w:r>
            <w:r>
              <w:rPr>
                <w:rFonts w:hint="eastAsia" w:ascii="Times New Roman" w:hAnsi="Times New Roman" w:eastAsia="仿宋_GB2312" w:cs="Times New Roman"/>
                <w:kern w:val="0"/>
                <w:sz w:val="24"/>
                <w:szCs w:val="24"/>
                <w:lang w:val="en-US" w:eastAsia="zh-CN" w:bidi="ar"/>
              </w:rPr>
              <w:t>维修检修、保险合计5500元/部</w:t>
            </w:r>
          </w:p>
        </w:tc>
      </w:tr>
      <w:tr w14:paraId="760D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36261A82">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日照市</w:t>
            </w:r>
          </w:p>
        </w:tc>
        <w:tc>
          <w:tcPr>
            <w:tcW w:w="2487" w:type="dxa"/>
            <w:shd w:val="clear" w:color="auto" w:fill="auto"/>
            <w:tcMar>
              <w:top w:w="108" w:type="dxa"/>
              <w:left w:w="96" w:type="dxa"/>
              <w:bottom w:w="108" w:type="dxa"/>
              <w:right w:w="96" w:type="dxa"/>
            </w:tcMar>
            <w:vAlign w:val="center"/>
          </w:tcPr>
          <w:p w14:paraId="1D3D6072">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岚山航贸综合服务中心</w:t>
            </w:r>
          </w:p>
        </w:tc>
        <w:tc>
          <w:tcPr>
            <w:tcW w:w="4939" w:type="dxa"/>
            <w:shd w:val="clear" w:color="auto" w:fill="auto"/>
            <w:tcMar>
              <w:top w:w="108" w:type="dxa"/>
              <w:left w:w="96" w:type="dxa"/>
              <w:bottom w:w="108" w:type="dxa"/>
              <w:right w:w="96" w:type="dxa"/>
            </w:tcMar>
            <w:vAlign w:val="center"/>
          </w:tcPr>
          <w:p w14:paraId="7A4407D6">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年度日常保养费用约为</w:t>
            </w:r>
            <w:r>
              <w:rPr>
                <w:rFonts w:hint="eastAsia" w:ascii="Times New Roman" w:hAnsi="Times New Roman" w:eastAsia="仿宋_GB2312" w:cs="Times New Roman"/>
                <w:kern w:val="0"/>
                <w:sz w:val="24"/>
                <w:szCs w:val="24"/>
                <w:lang w:val="en-US" w:eastAsia="zh-CN" w:bidi="ar"/>
              </w:rPr>
              <w:t>4800</w:t>
            </w:r>
            <w:r>
              <w:rPr>
                <w:rFonts w:hint="default" w:ascii="Times New Roman" w:hAnsi="Times New Roman" w:eastAsia="仿宋_GB2312" w:cs="Times New Roman"/>
                <w:kern w:val="0"/>
                <w:sz w:val="24"/>
                <w:szCs w:val="24"/>
                <w:lang w:val="en-US" w:eastAsia="zh-CN" w:bidi="ar"/>
              </w:rPr>
              <w:t>元、年检费用</w:t>
            </w:r>
            <w:r>
              <w:rPr>
                <w:rFonts w:hint="eastAsia" w:ascii="Times New Roman" w:hAnsi="Times New Roman" w:eastAsia="仿宋_GB2312" w:cs="Times New Roman"/>
                <w:kern w:val="0"/>
                <w:sz w:val="24"/>
                <w:szCs w:val="24"/>
                <w:lang w:val="en-US" w:eastAsia="zh-CN" w:bidi="ar"/>
              </w:rPr>
              <w:t>40</w:t>
            </w:r>
            <w:r>
              <w:rPr>
                <w:rFonts w:hint="default" w:ascii="Times New Roman" w:hAnsi="Times New Roman" w:eastAsia="仿宋_GB2312" w:cs="Times New Roman"/>
                <w:kern w:val="0"/>
                <w:sz w:val="24"/>
                <w:szCs w:val="24"/>
                <w:lang w:val="en-US" w:eastAsia="zh-CN" w:bidi="ar"/>
              </w:rPr>
              <w:t>0元/部/年</w:t>
            </w:r>
            <w:r>
              <w:rPr>
                <w:rFonts w:hint="eastAsia" w:ascii="Times New Roman" w:hAnsi="Times New Roman" w:eastAsia="仿宋_GB2312" w:cs="Times New Roman"/>
                <w:kern w:val="0"/>
                <w:sz w:val="24"/>
                <w:szCs w:val="24"/>
                <w:lang w:val="en-US" w:eastAsia="zh-CN" w:bidi="ar"/>
              </w:rPr>
              <w:t>，合计5200元/部</w:t>
            </w:r>
          </w:p>
        </w:tc>
      </w:tr>
      <w:tr w14:paraId="323E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1073EC2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威海市</w:t>
            </w:r>
          </w:p>
        </w:tc>
        <w:tc>
          <w:tcPr>
            <w:tcW w:w="2487" w:type="dxa"/>
            <w:shd w:val="clear" w:color="auto" w:fill="auto"/>
            <w:tcMar>
              <w:top w:w="108" w:type="dxa"/>
              <w:left w:w="96" w:type="dxa"/>
              <w:bottom w:w="108" w:type="dxa"/>
              <w:right w:w="96" w:type="dxa"/>
            </w:tcMar>
            <w:vAlign w:val="center"/>
          </w:tcPr>
          <w:p w14:paraId="28031A9C">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威海华新物业文兴嘉苑项目</w:t>
            </w:r>
          </w:p>
        </w:tc>
        <w:tc>
          <w:tcPr>
            <w:tcW w:w="4939" w:type="dxa"/>
            <w:shd w:val="clear" w:color="auto" w:fill="auto"/>
            <w:tcMar>
              <w:top w:w="108" w:type="dxa"/>
              <w:left w:w="96" w:type="dxa"/>
              <w:bottom w:w="108" w:type="dxa"/>
              <w:right w:w="96" w:type="dxa"/>
            </w:tcMar>
            <w:vAlign w:val="center"/>
          </w:tcPr>
          <w:p w14:paraId="32279E79">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2</w:t>
            </w:r>
            <w:r>
              <w:rPr>
                <w:rFonts w:hint="eastAsia" w:ascii="Times New Roman" w:hAnsi="Times New Roman" w:eastAsia="仿宋_GB2312" w:cs="Times New Roman"/>
                <w:kern w:val="0"/>
                <w:sz w:val="24"/>
                <w:szCs w:val="24"/>
                <w:lang w:val="en-US" w:eastAsia="zh-CN" w:bidi="ar"/>
              </w:rPr>
              <w:t>800</w:t>
            </w:r>
            <w:r>
              <w:rPr>
                <w:rFonts w:hint="default" w:ascii="Times New Roman" w:hAnsi="Times New Roman" w:eastAsia="仿宋_GB2312" w:cs="Times New Roman"/>
                <w:kern w:val="0"/>
                <w:sz w:val="24"/>
                <w:szCs w:val="24"/>
                <w:lang w:val="en-US" w:eastAsia="zh-CN" w:bidi="ar"/>
              </w:rPr>
              <w:t>元/部</w:t>
            </w:r>
          </w:p>
        </w:tc>
      </w:tr>
      <w:tr w14:paraId="0744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66" w:type="dxa"/>
            <w:shd w:val="clear" w:color="auto" w:fill="auto"/>
            <w:tcMar>
              <w:top w:w="108" w:type="dxa"/>
              <w:left w:w="96" w:type="dxa"/>
              <w:bottom w:w="108" w:type="dxa"/>
              <w:right w:w="96" w:type="dxa"/>
            </w:tcMar>
            <w:vAlign w:val="center"/>
          </w:tcPr>
          <w:p w14:paraId="0A0ECDB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淄博市</w:t>
            </w:r>
          </w:p>
        </w:tc>
        <w:tc>
          <w:tcPr>
            <w:tcW w:w="2487" w:type="dxa"/>
            <w:shd w:val="clear" w:color="auto" w:fill="auto"/>
            <w:tcMar>
              <w:top w:w="108" w:type="dxa"/>
              <w:left w:w="96" w:type="dxa"/>
              <w:bottom w:w="108" w:type="dxa"/>
              <w:right w:w="96" w:type="dxa"/>
            </w:tcMar>
            <w:vAlign w:val="center"/>
          </w:tcPr>
          <w:p w14:paraId="7B5A3207">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eastAsia"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淄博市特殊教育中心</w:t>
            </w:r>
          </w:p>
        </w:tc>
        <w:tc>
          <w:tcPr>
            <w:tcW w:w="4939" w:type="dxa"/>
            <w:shd w:val="clear" w:color="auto" w:fill="auto"/>
            <w:tcMar>
              <w:top w:w="108" w:type="dxa"/>
              <w:left w:w="96" w:type="dxa"/>
              <w:bottom w:w="108" w:type="dxa"/>
              <w:right w:w="96" w:type="dxa"/>
            </w:tcMar>
            <w:vAlign w:val="center"/>
          </w:tcPr>
          <w:p w14:paraId="57F78BCA">
            <w:pPr>
              <w:keepNext w:val="0"/>
              <w:keepLines w:val="0"/>
              <w:widowControl/>
              <w:suppressLineNumbers w:val="0"/>
              <w:pBdr>
                <w:top w:val="none" w:color="auto" w:sz="0" w:space="0"/>
                <w:left w:val="none" w:color="auto" w:sz="0" w:space="0"/>
                <w:bottom w:val="none" w:color="auto" w:sz="0" w:space="0"/>
                <w:right w:val="none" w:color="auto" w:sz="0" w:space="0"/>
              </w:pBdr>
              <w:ind w:left="0" w:leftChars="0" w:right="0" w:rightChars="0" w:firstLine="0" w:firstLineChars="0"/>
              <w:jc w:val="center"/>
              <w:textAlignment w:val="top"/>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kern w:val="0"/>
                <w:sz w:val="24"/>
                <w:szCs w:val="24"/>
                <w:lang w:val="en-US" w:eastAsia="zh-CN" w:bidi="ar"/>
              </w:rPr>
              <w:t>2760元/部</w:t>
            </w:r>
          </w:p>
        </w:tc>
      </w:tr>
    </w:tbl>
    <w:p w14:paraId="5BB7F7E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color w:val="auto"/>
          <w:kern w:val="0"/>
          <w:sz w:val="32"/>
          <w:szCs w:val="32"/>
          <w:highlight w:val="none"/>
          <w:lang w:val="en-US" w:eastAsia="zh-CN"/>
        </w:rPr>
      </w:pPr>
    </w:p>
    <w:sectPr>
      <w:pgSz w:w="11906" w:h="16838"/>
      <w:pgMar w:top="1814" w:right="1417" w:bottom="1814" w:left="1474" w:header="851"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0BD8E7-B89B-4F2D-A957-1CB24B7AC2F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Regular">
    <w:altName w:val="Times New Roman"/>
    <w:panose1 w:val="02020603050405020304"/>
    <w:charset w:val="00"/>
    <w:family w:val="auto"/>
    <w:pitch w:val="default"/>
    <w:sig w:usb0="00000000" w:usb1="00000000" w:usb2="00000000" w:usb3="00000000" w:csb0="00000000" w:csb1="00000000"/>
    <w:embedRegular r:id="rId2" w:fontKey="{8B258D17-28B1-48BC-8298-E79D5DE2E684}"/>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3" w:fontKey="{4833699E-FC0E-4427-BBF1-5658C3D3137E}"/>
  </w:font>
  <w:font w:name="方正小标宋简体">
    <w:panose1 w:val="03000509000000000000"/>
    <w:charset w:val="86"/>
    <w:family w:val="auto"/>
    <w:pitch w:val="default"/>
    <w:sig w:usb0="00000001" w:usb1="080E0000" w:usb2="00000000" w:usb3="00000000" w:csb0="00040000" w:csb1="00000000"/>
    <w:embedRegular r:id="rId4" w:fontKey="{48B49C38-0737-4590-98D0-AA4AE8119DA5}"/>
  </w:font>
  <w:font w:name="楷体_GB2312">
    <w:panose1 w:val="02010609030101010101"/>
    <w:charset w:val="86"/>
    <w:family w:val="auto"/>
    <w:pitch w:val="default"/>
    <w:sig w:usb0="00000001" w:usb1="080E0000" w:usb2="00000000" w:usb3="00000000" w:csb0="00040000" w:csb1="00000000"/>
    <w:embedRegular r:id="rId5" w:fontKey="{82936708-46B9-4F48-85D8-5B4E7AD1794E}"/>
  </w:font>
  <w:font w:name="FangSong_GB2312">
    <w:altName w:val="仿宋_GB2312"/>
    <w:panose1 w:val="02010609030101010101"/>
    <w:charset w:val="86"/>
    <w:family w:val="auto"/>
    <w:pitch w:val="default"/>
    <w:sig w:usb0="00000000" w:usb1="00000000" w:usb2="00000000" w:usb3="00000000" w:csb0="00040000" w:csb1="00000000"/>
    <w:embedRegular r:id="rId6" w:fontKey="{3683F87E-D110-4B31-BF78-4F319F9ECFA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B3A5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C1B63">
    <w:pPr>
      <w:pStyle w:val="6"/>
    </w:pPr>
    <w:r>
      <w:rPr>
        <w:sz w:val="18"/>
      </w:rPr>
      <mc:AlternateContent>
        <mc:Choice Requires="wps">
          <w:drawing>
            <wp:anchor distT="0" distB="0" distL="114300" distR="114300" simplePos="0" relativeHeight="251662336" behindDoc="0" locked="0" layoutInCell="1" allowOverlap="1">
              <wp:simplePos x="0" y="0"/>
              <wp:positionH relativeFrom="margin">
                <wp:posOffset>2839720</wp:posOffset>
              </wp:positionH>
              <wp:positionV relativeFrom="paragraph">
                <wp:posOffset>-57150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70987">
                          <w:pPr>
                            <w:pStyle w:val="6"/>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4.5pt;height:144pt;width:144pt;mso-position-horizontal-relative:margin;mso-wrap-style:none;z-index:251662336;mso-width-relative:page;mso-height-relative:page;" filled="f" stroked="f" coordsize="21600,21600" o:gfxdata="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cro6b1gAAAAo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0FC70987">
                    <w:pPr>
                      <w:pStyle w:val="6"/>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8D5F6">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F84C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14E8D">
                          <w:pPr>
                            <w:pStyle w:val="6"/>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 xml:space="preserve">— </w:t>
                          </w: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r>
                            <w:rPr>
                              <w:rFonts w:hint="eastAsia" w:asciiTheme="majorEastAsia" w:hAnsiTheme="majorEastAsia" w:eastAsiaTheme="majorEastAsia" w:cstheme="major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A14E8D">
                    <w:pPr>
                      <w:pStyle w:val="6"/>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 xml:space="preserve">— </w:t>
                    </w: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r>
                      <w:rPr>
                        <w:rFonts w:hint="eastAsia" w:asciiTheme="majorEastAsia" w:hAnsiTheme="majorEastAsia" w:eastAsiaTheme="majorEastAsia" w:cstheme="major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67215">
    <w:pPr>
      <w:pStyle w:val="7"/>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3A129">
    <w:pPr>
      <w:pStyle w:val="7"/>
      <w:pBdr>
        <w:bottom w:val="single" w:color="auto" w:sz="4" w:space="1"/>
      </w:pBdr>
      <w:jc w:val="right"/>
    </w:pPr>
    <w:r>
      <w:rPr>
        <w:rFonts w:hint="eastAsia"/>
        <w:lang w:val="en-US" w:eastAsia="zh-CN"/>
      </w:rPr>
      <w:drawing>
        <wp:anchor distT="0" distB="0" distL="114300" distR="114300" simplePos="0" relativeHeight="251661312" behindDoc="0" locked="0" layoutInCell="1" allowOverlap="1">
          <wp:simplePos x="0" y="0"/>
          <wp:positionH relativeFrom="column">
            <wp:posOffset>21590</wp:posOffset>
          </wp:positionH>
          <wp:positionV relativeFrom="paragraph">
            <wp:posOffset>-145415</wp:posOffset>
          </wp:positionV>
          <wp:extent cx="1144270" cy="302895"/>
          <wp:effectExtent l="0" t="0" r="24130"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44270" cy="302895"/>
                  </a:xfrm>
                  <a:prstGeom prst="rect">
                    <a:avLst/>
                  </a:prstGeom>
                </pic:spPr>
              </pic:pic>
            </a:graphicData>
          </a:graphic>
        </wp:anchor>
      </w:drawing>
    </w:r>
    <w:r>
      <w:rPr>
        <w:rFonts w:hint="eastAsia"/>
        <w:lang w:val="en-US" w:eastAsia="zh-CN"/>
      </w:rPr>
      <w:t>荣成博物馆运转经费项目支出</w:t>
    </w:r>
    <w:r>
      <w:rPr>
        <w:rFonts w:hint="default"/>
        <w:lang w:val="en-US" w:eastAsia="zh-CN"/>
      </w:rPr>
      <w:t>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YzUzMWQ4OWI0YzBkYjYzMDRhZTY5ZjZkYmFmYTgifQ=="/>
  </w:docVars>
  <w:rsids>
    <w:rsidRoot w:val="00172A27"/>
    <w:rsid w:val="003357D8"/>
    <w:rsid w:val="03CD6E06"/>
    <w:rsid w:val="03EB61FC"/>
    <w:rsid w:val="05C81E1A"/>
    <w:rsid w:val="05DF946F"/>
    <w:rsid w:val="05FD666C"/>
    <w:rsid w:val="064C314F"/>
    <w:rsid w:val="06EE4206"/>
    <w:rsid w:val="078A7B40"/>
    <w:rsid w:val="07AE7222"/>
    <w:rsid w:val="080261BB"/>
    <w:rsid w:val="08600E4C"/>
    <w:rsid w:val="090E228E"/>
    <w:rsid w:val="09886B94"/>
    <w:rsid w:val="0A5E78F5"/>
    <w:rsid w:val="0AC3508D"/>
    <w:rsid w:val="0AD61B81"/>
    <w:rsid w:val="0BFE6C9A"/>
    <w:rsid w:val="0DCF9773"/>
    <w:rsid w:val="0DDF67F9"/>
    <w:rsid w:val="0DFC36AD"/>
    <w:rsid w:val="0EDE835C"/>
    <w:rsid w:val="0F7D418B"/>
    <w:rsid w:val="0F895414"/>
    <w:rsid w:val="0FDC5544"/>
    <w:rsid w:val="106A3C74"/>
    <w:rsid w:val="10E26C94"/>
    <w:rsid w:val="112453F4"/>
    <w:rsid w:val="11C91054"/>
    <w:rsid w:val="12993BEE"/>
    <w:rsid w:val="13AA5959"/>
    <w:rsid w:val="14CDA7FA"/>
    <w:rsid w:val="15FD63FF"/>
    <w:rsid w:val="17321A57"/>
    <w:rsid w:val="17DDE61F"/>
    <w:rsid w:val="17EDB8C7"/>
    <w:rsid w:val="17FBD1AE"/>
    <w:rsid w:val="181F7418"/>
    <w:rsid w:val="195FEA86"/>
    <w:rsid w:val="196610BF"/>
    <w:rsid w:val="19F03FAB"/>
    <w:rsid w:val="1A4408B5"/>
    <w:rsid w:val="1ACC3823"/>
    <w:rsid w:val="1CE60476"/>
    <w:rsid w:val="1CF730B1"/>
    <w:rsid w:val="1DBD124F"/>
    <w:rsid w:val="1DD261D8"/>
    <w:rsid w:val="1DFAF247"/>
    <w:rsid w:val="1E0E6229"/>
    <w:rsid w:val="1EE371AA"/>
    <w:rsid w:val="1F1C15D8"/>
    <w:rsid w:val="1F387436"/>
    <w:rsid w:val="1F866FC5"/>
    <w:rsid w:val="1FB46E43"/>
    <w:rsid w:val="1FFB8EB9"/>
    <w:rsid w:val="1FFECA30"/>
    <w:rsid w:val="20001123"/>
    <w:rsid w:val="21570859"/>
    <w:rsid w:val="22327245"/>
    <w:rsid w:val="223E69B9"/>
    <w:rsid w:val="234B6EF7"/>
    <w:rsid w:val="238916A4"/>
    <w:rsid w:val="239A0D74"/>
    <w:rsid w:val="23B95317"/>
    <w:rsid w:val="2474718B"/>
    <w:rsid w:val="24F42ED8"/>
    <w:rsid w:val="286B210C"/>
    <w:rsid w:val="28FF1F45"/>
    <w:rsid w:val="29912DA0"/>
    <w:rsid w:val="29DED4F9"/>
    <w:rsid w:val="2A4C4AED"/>
    <w:rsid w:val="2A7B53FA"/>
    <w:rsid w:val="2B624746"/>
    <w:rsid w:val="2B872306"/>
    <w:rsid w:val="2B88437A"/>
    <w:rsid w:val="2C190D33"/>
    <w:rsid w:val="2C8E5A0E"/>
    <w:rsid w:val="2CEB17EE"/>
    <w:rsid w:val="2D1623D7"/>
    <w:rsid w:val="2D47CEE1"/>
    <w:rsid w:val="2DC8748F"/>
    <w:rsid w:val="2DE951C4"/>
    <w:rsid w:val="2DF37CE3"/>
    <w:rsid w:val="2F6D110C"/>
    <w:rsid w:val="2FC55B9D"/>
    <w:rsid w:val="2FF5D872"/>
    <w:rsid w:val="2FFFA2EB"/>
    <w:rsid w:val="3041265D"/>
    <w:rsid w:val="310962B6"/>
    <w:rsid w:val="31196AD2"/>
    <w:rsid w:val="311B1381"/>
    <w:rsid w:val="3132268D"/>
    <w:rsid w:val="313F372D"/>
    <w:rsid w:val="318409CB"/>
    <w:rsid w:val="31BD4F53"/>
    <w:rsid w:val="328B5415"/>
    <w:rsid w:val="32EACF3B"/>
    <w:rsid w:val="33AC63B4"/>
    <w:rsid w:val="33FF41E5"/>
    <w:rsid w:val="348726B1"/>
    <w:rsid w:val="34FE3CD8"/>
    <w:rsid w:val="3540360E"/>
    <w:rsid w:val="35937FBA"/>
    <w:rsid w:val="3595581D"/>
    <w:rsid w:val="35D31ECC"/>
    <w:rsid w:val="35E003CE"/>
    <w:rsid w:val="35ED73D3"/>
    <w:rsid w:val="35EF7706"/>
    <w:rsid w:val="35F6EB7C"/>
    <w:rsid w:val="35FFFADE"/>
    <w:rsid w:val="364610BA"/>
    <w:rsid w:val="36936770"/>
    <w:rsid w:val="37870E9C"/>
    <w:rsid w:val="37AF3BDD"/>
    <w:rsid w:val="37DC416C"/>
    <w:rsid w:val="37ECBEF6"/>
    <w:rsid w:val="37FC84D6"/>
    <w:rsid w:val="37FEC724"/>
    <w:rsid w:val="37FF4CA6"/>
    <w:rsid w:val="3BCB453B"/>
    <w:rsid w:val="3BEF65A9"/>
    <w:rsid w:val="3BF55114"/>
    <w:rsid w:val="3BFC0772"/>
    <w:rsid w:val="3BFD1FE6"/>
    <w:rsid w:val="3BFE628D"/>
    <w:rsid w:val="3C7324DC"/>
    <w:rsid w:val="3C7ED7CE"/>
    <w:rsid w:val="3D595B76"/>
    <w:rsid w:val="3D880A49"/>
    <w:rsid w:val="3E0C4997"/>
    <w:rsid w:val="3E4E4FAF"/>
    <w:rsid w:val="3ED74187"/>
    <w:rsid w:val="3EF76028"/>
    <w:rsid w:val="3EFD05F9"/>
    <w:rsid w:val="3EFE0F15"/>
    <w:rsid w:val="3EFE6B20"/>
    <w:rsid w:val="3F1F01E8"/>
    <w:rsid w:val="3F3BC90C"/>
    <w:rsid w:val="3F57EAD8"/>
    <w:rsid w:val="3F676602"/>
    <w:rsid w:val="3F73D001"/>
    <w:rsid w:val="3F7D2FF7"/>
    <w:rsid w:val="3F7EC893"/>
    <w:rsid w:val="3F7F9AA6"/>
    <w:rsid w:val="3F964E60"/>
    <w:rsid w:val="3F96594B"/>
    <w:rsid w:val="3FB5A4E6"/>
    <w:rsid w:val="3FBB792B"/>
    <w:rsid w:val="3FCF5CFA"/>
    <w:rsid w:val="3FDF0079"/>
    <w:rsid w:val="3FDF1B9E"/>
    <w:rsid w:val="3FEA40F3"/>
    <w:rsid w:val="3FF7084A"/>
    <w:rsid w:val="3FFAD07A"/>
    <w:rsid w:val="3FFBF819"/>
    <w:rsid w:val="3FFE0DF4"/>
    <w:rsid w:val="3FFE4843"/>
    <w:rsid w:val="3FFF017F"/>
    <w:rsid w:val="3FFFBCB1"/>
    <w:rsid w:val="401008FA"/>
    <w:rsid w:val="41192FC5"/>
    <w:rsid w:val="42DD3A38"/>
    <w:rsid w:val="42F06635"/>
    <w:rsid w:val="43C7494F"/>
    <w:rsid w:val="44250560"/>
    <w:rsid w:val="44B4311E"/>
    <w:rsid w:val="45542EF9"/>
    <w:rsid w:val="4612161E"/>
    <w:rsid w:val="46FE00C0"/>
    <w:rsid w:val="47B2035D"/>
    <w:rsid w:val="47E31325"/>
    <w:rsid w:val="47EFD546"/>
    <w:rsid w:val="482F33B1"/>
    <w:rsid w:val="48864931"/>
    <w:rsid w:val="488E0E85"/>
    <w:rsid w:val="48AE321A"/>
    <w:rsid w:val="48D03190"/>
    <w:rsid w:val="496103E3"/>
    <w:rsid w:val="49B430CA"/>
    <w:rsid w:val="49CB1BAA"/>
    <w:rsid w:val="4A1C2405"/>
    <w:rsid w:val="4C220012"/>
    <w:rsid w:val="4C572727"/>
    <w:rsid w:val="4C82300E"/>
    <w:rsid w:val="4DAD1684"/>
    <w:rsid w:val="4DC4528E"/>
    <w:rsid w:val="4EFD2805"/>
    <w:rsid w:val="4F674366"/>
    <w:rsid w:val="4F6EC75B"/>
    <w:rsid w:val="4F9FFE19"/>
    <w:rsid w:val="4FBFB773"/>
    <w:rsid w:val="4FF73385"/>
    <w:rsid w:val="4FFBBA0B"/>
    <w:rsid w:val="51DF2696"/>
    <w:rsid w:val="522F3DF2"/>
    <w:rsid w:val="529E38D2"/>
    <w:rsid w:val="53B72713"/>
    <w:rsid w:val="53DF45A8"/>
    <w:rsid w:val="54DE58F9"/>
    <w:rsid w:val="556B68E0"/>
    <w:rsid w:val="55BF6F9E"/>
    <w:rsid w:val="55CE51E4"/>
    <w:rsid w:val="55DEB77F"/>
    <w:rsid w:val="55DF9023"/>
    <w:rsid w:val="56236D75"/>
    <w:rsid w:val="56772E9D"/>
    <w:rsid w:val="568923E9"/>
    <w:rsid w:val="57D736D3"/>
    <w:rsid w:val="57DDCE32"/>
    <w:rsid w:val="57DE7561"/>
    <w:rsid w:val="57E916D1"/>
    <w:rsid w:val="57E9AF0C"/>
    <w:rsid w:val="591C2029"/>
    <w:rsid w:val="59AA1BAE"/>
    <w:rsid w:val="59AD6BD6"/>
    <w:rsid w:val="59CB992D"/>
    <w:rsid w:val="5A7FBD8C"/>
    <w:rsid w:val="5AC461A2"/>
    <w:rsid w:val="5AE959DB"/>
    <w:rsid w:val="5AF7E513"/>
    <w:rsid w:val="5B271FD9"/>
    <w:rsid w:val="5B652982"/>
    <w:rsid w:val="5BBFA4DE"/>
    <w:rsid w:val="5C45759A"/>
    <w:rsid w:val="5C583771"/>
    <w:rsid w:val="5C5C072C"/>
    <w:rsid w:val="5CFD7EAC"/>
    <w:rsid w:val="5D1C5A4F"/>
    <w:rsid w:val="5D9B7477"/>
    <w:rsid w:val="5DBF4D1B"/>
    <w:rsid w:val="5DDEC9A4"/>
    <w:rsid w:val="5DF13DBD"/>
    <w:rsid w:val="5DF72B91"/>
    <w:rsid w:val="5DF9742C"/>
    <w:rsid w:val="5E9B2319"/>
    <w:rsid w:val="5EB72421"/>
    <w:rsid w:val="5EE625BC"/>
    <w:rsid w:val="5EFBC95A"/>
    <w:rsid w:val="5EFBEFA9"/>
    <w:rsid w:val="5F0D8206"/>
    <w:rsid w:val="5F5B1188"/>
    <w:rsid w:val="5F770E1C"/>
    <w:rsid w:val="5F77898C"/>
    <w:rsid w:val="5F7E4F07"/>
    <w:rsid w:val="5F8CFC0E"/>
    <w:rsid w:val="5F8FB340"/>
    <w:rsid w:val="5FB7B1D2"/>
    <w:rsid w:val="5FBE2E6E"/>
    <w:rsid w:val="5FBFEB39"/>
    <w:rsid w:val="5FBFFFB3"/>
    <w:rsid w:val="5FDE0605"/>
    <w:rsid w:val="5FDFDAD6"/>
    <w:rsid w:val="5FEF2020"/>
    <w:rsid w:val="5FFBF648"/>
    <w:rsid w:val="5FFD3870"/>
    <w:rsid w:val="5FFF5FD0"/>
    <w:rsid w:val="615C785F"/>
    <w:rsid w:val="61610FEB"/>
    <w:rsid w:val="617F4B93"/>
    <w:rsid w:val="62EF025F"/>
    <w:rsid w:val="62F9CECA"/>
    <w:rsid w:val="63696264"/>
    <w:rsid w:val="63DE9B5A"/>
    <w:rsid w:val="64321A1B"/>
    <w:rsid w:val="6485620B"/>
    <w:rsid w:val="65BEC2D8"/>
    <w:rsid w:val="65CBB68B"/>
    <w:rsid w:val="65E16585"/>
    <w:rsid w:val="663568D1"/>
    <w:rsid w:val="667523D3"/>
    <w:rsid w:val="670F1A60"/>
    <w:rsid w:val="6745185A"/>
    <w:rsid w:val="677BD7A6"/>
    <w:rsid w:val="67BE81C7"/>
    <w:rsid w:val="67BF43D4"/>
    <w:rsid w:val="67DF7BF1"/>
    <w:rsid w:val="67F72D5D"/>
    <w:rsid w:val="67FC701B"/>
    <w:rsid w:val="68182006"/>
    <w:rsid w:val="68185DB0"/>
    <w:rsid w:val="686B6844"/>
    <w:rsid w:val="68965561"/>
    <w:rsid w:val="68A64CE4"/>
    <w:rsid w:val="68AEB19B"/>
    <w:rsid w:val="696F00BF"/>
    <w:rsid w:val="69CC4499"/>
    <w:rsid w:val="69EB37FC"/>
    <w:rsid w:val="69FE80B5"/>
    <w:rsid w:val="6A102F95"/>
    <w:rsid w:val="6B303356"/>
    <w:rsid w:val="6B4B024C"/>
    <w:rsid w:val="6B5FC0F5"/>
    <w:rsid w:val="6B7EC10C"/>
    <w:rsid w:val="6BAE039D"/>
    <w:rsid w:val="6BAE4DBE"/>
    <w:rsid w:val="6BB804F0"/>
    <w:rsid w:val="6BBDA16E"/>
    <w:rsid w:val="6BBF4AC7"/>
    <w:rsid w:val="6BCF0C75"/>
    <w:rsid w:val="6BD3E714"/>
    <w:rsid w:val="6BF16DF6"/>
    <w:rsid w:val="6BF7A8B9"/>
    <w:rsid w:val="6C5A2894"/>
    <w:rsid w:val="6C692C46"/>
    <w:rsid w:val="6C8A50A5"/>
    <w:rsid w:val="6CBB5F6D"/>
    <w:rsid w:val="6CF85EC5"/>
    <w:rsid w:val="6CFD88EC"/>
    <w:rsid w:val="6D7981E9"/>
    <w:rsid w:val="6DAE85E8"/>
    <w:rsid w:val="6DB9820E"/>
    <w:rsid w:val="6DF58A46"/>
    <w:rsid w:val="6DFEC450"/>
    <w:rsid w:val="6E3C0488"/>
    <w:rsid w:val="6E9397DA"/>
    <w:rsid w:val="6E9E8592"/>
    <w:rsid w:val="6EA840E4"/>
    <w:rsid w:val="6EB7345A"/>
    <w:rsid w:val="6EBB86AA"/>
    <w:rsid w:val="6EE7B524"/>
    <w:rsid w:val="6EED2A9F"/>
    <w:rsid w:val="6EFEA433"/>
    <w:rsid w:val="6EFEA4A5"/>
    <w:rsid w:val="6EFF67A8"/>
    <w:rsid w:val="6F453985"/>
    <w:rsid w:val="6F4F561F"/>
    <w:rsid w:val="6F5C9FE0"/>
    <w:rsid w:val="6F67AEA9"/>
    <w:rsid w:val="6FDA8519"/>
    <w:rsid w:val="6FDB56E6"/>
    <w:rsid w:val="6FDC47A0"/>
    <w:rsid w:val="6FDED641"/>
    <w:rsid w:val="6FE44F07"/>
    <w:rsid w:val="6FE540F8"/>
    <w:rsid w:val="6FEF526F"/>
    <w:rsid w:val="6FF7FFF2"/>
    <w:rsid w:val="6FFB5DB8"/>
    <w:rsid w:val="6FFBB312"/>
    <w:rsid w:val="6FFCB067"/>
    <w:rsid w:val="6FFEF7F6"/>
    <w:rsid w:val="6FFF07B2"/>
    <w:rsid w:val="6FFF9011"/>
    <w:rsid w:val="6FFFCC2C"/>
    <w:rsid w:val="70074E3A"/>
    <w:rsid w:val="706C9712"/>
    <w:rsid w:val="707A0C11"/>
    <w:rsid w:val="70F829D5"/>
    <w:rsid w:val="71C32FE3"/>
    <w:rsid w:val="71E3B717"/>
    <w:rsid w:val="71FF38D0"/>
    <w:rsid w:val="72F576AC"/>
    <w:rsid w:val="73132E9B"/>
    <w:rsid w:val="73A07186"/>
    <w:rsid w:val="73A66718"/>
    <w:rsid w:val="73F5598A"/>
    <w:rsid w:val="73FE8D5B"/>
    <w:rsid w:val="73FFAFCB"/>
    <w:rsid w:val="74C40DF7"/>
    <w:rsid w:val="74DD43BC"/>
    <w:rsid w:val="74FFAAFE"/>
    <w:rsid w:val="755C52F5"/>
    <w:rsid w:val="756B594D"/>
    <w:rsid w:val="756D3EF8"/>
    <w:rsid w:val="758E1A90"/>
    <w:rsid w:val="75BF7F65"/>
    <w:rsid w:val="75CCD103"/>
    <w:rsid w:val="75E7BB27"/>
    <w:rsid w:val="75EF1080"/>
    <w:rsid w:val="75F5C93E"/>
    <w:rsid w:val="76BE6ED7"/>
    <w:rsid w:val="76BFB381"/>
    <w:rsid w:val="76C7BEC4"/>
    <w:rsid w:val="76DF8282"/>
    <w:rsid w:val="76FEF376"/>
    <w:rsid w:val="77133AE0"/>
    <w:rsid w:val="773B301A"/>
    <w:rsid w:val="774FC4C0"/>
    <w:rsid w:val="777DB49A"/>
    <w:rsid w:val="779F511F"/>
    <w:rsid w:val="779FCB36"/>
    <w:rsid w:val="77CEA43C"/>
    <w:rsid w:val="77D73E02"/>
    <w:rsid w:val="77DB6FBA"/>
    <w:rsid w:val="77DFF286"/>
    <w:rsid w:val="77F26383"/>
    <w:rsid w:val="77F5F28A"/>
    <w:rsid w:val="77FAA9B3"/>
    <w:rsid w:val="77FFBD79"/>
    <w:rsid w:val="77FFE89C"/>
    <w:rsid w:val="77FFF387"/>
    <w:rsid w:val="786140BD"/>
    <w:rsid w:val="797781BF"/>
    <w:rsid w:val="797BAD8D"/>
    <w:rsid w:val="797FD645"/>
    <w:rsid w:val="79990818"/>
    <w:rsid w:val="79BF07BA"/>
    <w:rsid w:val="79D5901F"/>
    <w:rsid w:val="79DC91C9"/>
    <w:rsid w:val="79FC4D3B"/>
    <w:rsid w:val="79FFAEF7"/>
    <w:rsid w:val="79FFBF3A"/>
    <w:rsid w:val="7A5D9072"/>
    <w:rsid w:val="7A8B3AC5"/>
    <w:rsid w:val="7ABE2E4A"/>
    <w:rsid w:val="7ABE47A7"/>
    <w:rsid w:val="7ADEE15E"/>
    <w:rsid w:val="7ADF9881"/>
    <w:rsid w:val="7AFDB5DB"/>
    <w:rsid w:val="7B3EB2EB"/>
    <w:rsid w:val="7B7954B8"/>
    <w:rsid w:val="7B7DFC70"/>
    <w:rsid w:val="7B7E2200"/>
    <w:rsid w:val="7BBDD643"/>
    <w:rsid w:val="7BBF2FAA"/>
    <w:rsid w:val="7BDFF4F6"/>
    <w:rsid w:val="7BE4CCFD"/>
    <w:rsid w:val="7BE57636"/>
    <w:rsid w:val="7C77216C"/>
    <w:rsid w:val="7CBA6FE1"/>
    <w:rsid w:val="7CBF5B9B"/>
    <w:rsid w:val="7CFF26E4"/>
    <w:rsid w:val="7D6FCC86"/>
    <w:rsid w:val="7D901F30"/>
    <w:rsid w:val="7D9BAC61"/>
    <w:rsid w:val="7DA7C1DC"/>
    <w:rsid w:val="7DBF0AF0"/>
    <w:rsid w:val="7DCA019B"/>
    <w:rsid w:val="7DDB4931"/>
    <w:rsid w:val="7DDD7C86"/>
    <w:rsid w:val="7DDFAA6E"/>
    <w:rsid w:val="7DE72716"/>
    <w:rsid w:val="7DEF30C7"/>
    <w:rsid w:val="7DF7882D"/>
    <w:rsid w:val="7DFAE6D3"/>
    <w:rsid w:val="7DFC27F1"/>
    <w:rsid w:val="7DFF42DB"/>
    <w:rsid w:val="7E1F1A05"/>
    <w:rsid w:val="7E5747D4"/>
    <w:rsid w:val="7E6B57BE"/>
    <w:rsid w:val="7E7F1EB6"/>
    <w:rsid w:val="7EA2580F"/>
    <w:rsid w:val="7EB76F32"/>
    <w:rsid w:val="7EBDEB0C"/>
    <w:rsid w:val="7EBFD09A"/>
    <w:rsid w:val="7EBFDAAB"/>
    <w:rsid w:val="7EC9B8CF"/>
    <w:rsid w:val="7EDD270F"/>
    <w:rsid w:val="7EEF4A6A"/>
    <w:rsid w:val="7EF485E3"/>
    <w:rsid w:val="7EFF332F"/>
    <w:rsid w:val="7EFF4944"/>
    <w:rsid w:val="7F0FD6A1"/>
    <w:rsid w:val="7F1ADB29"/>
    <w:rsid w:val="7F3BDADA"/>
    <w:rsid w:val="7F3F7A8A"/>
    <w:rsid w:val="7F3F9129"/>
    <w:rsid w:val="7F4FCF6E"/>
    <w:rsid w:val="7F764240"/>
    <w:rsid w:val="7F76ABBE"/>
    <w:rsid w:val="7F7938C2"/>
    <w:rsid w:val="7F7BE3DA"/>
    <w:rsid w:val="7F7C12C5"/>
    <w:rsid w:val="7F7D11BC"/>
    <w:rsid w:val="7F7E6AF3"/>
    <w:rsid w:val="7F7F14B7"/>
    <w:rsid w:val="7F7F8A69"/>
    <w:rsid w:val="7F9A1432"/>
    <w:rsid w:val="7F9F0091"/>
    <w:rsid w:val="7FA7EA05"/>
    <w:rsid w:val="7FB37E94"/>
    <w:rsid w:val="7FB72350"/>
    <w:rsid w:val="7FB72395"/>
    <w:rsid w:val="7FB775B7"/>
    <w:rsid w:val="7FBC6432"/>
    <w:rsid w:val="7FBD545E"/>
    <w:rsid w:val="7FBDFD14"/>
    <w:rsid w:val="7FBFB5A8"/>
    <w:rsid w:val="7FCB2B04"/>
    <w:rsid w:val="7FDF7590"/>
    <w:rsid w:val="7FDFA297"/>
    <w:rsid w:val="7FE5F896"/>
    <w:rsid w:val="7FED9204"/>
    <w:rsid w:val="7FEFAFE5"/>
    <w:rsid w:val="7FEFE27C"/>
    <w:rsid w:val="7FEFF0AB"/>
    <w:rsid w:val="7FF151BF"/>
    <w:rsid w:val="7FF798AF"/>
    <w:rsid w:val="7FFDBD9B"/>
    <w:rsid w:val="7FFEF481"/>
    <w:rsid w:val="7FFFA7F7"/>
    <w:rsid w:val="7FFFBCCD"/>
    <w:rsid w:val="87BC105A"/>
    <w:rsid w:val="8CFB3594"/>
    <w:rsid w:val="8DFF14E0"/>
    <w:rsid w:val="8F9BCBAC"/>
    <w:rsid w:val="8FBD71C6"/>
    <w:rsid w:val="95D7A0B4"/>
    <w:rsid w:val="95FF17F0"/>
    <w:rsid w:val="96DE9BB5"/>
    <w:rsid w:val="97E357ED"/>
    <w:rsid w:val="9CEB1672"/>
    <w:rsid w:val="9D5D8A48"/>
    <w:rsid w:val="9E3F88F5"/>
    <w:rsid w:val="9EDFBC46"/>
    <w:rsid w:val="9FB67A6D"/>
    <w:rsid w:val="9FF8C611"/>
    <w:rsid w:val="9FFF933D"/>
    <w:rsid w:val="A77F1356"/>
    <w:rsid w:val="A7FD1633"/>
    <w:rsid w:val="A9EBCD49"/>
    <w:rsid w:val="AABFF467"/>
    <w:rsid w:val="AB7B9127"/>
    <w:rsid w:val="ABEE7FAE"/>
    <w:rsid w:val="AD7FDF62"/>
    <w:rsid w:val="ADF9551C"/>
    <w:rsid w:val="AE5F445A"/>
    <w:rsid w:val="AE6FFDFC"/>
    <w:rsid w:val="AE756D5B"/>
    <w:rsid w:val="AEBFD7A9"/>
    <w:rsid w:val="AEFE7CEC"/>
    <w:rsid w:val="AFB3A40E"/>
    <w:rsid w:val="AFD49873"/>
    <w:rsid w:val="AFE3DD8E"/>
    <w:rsid w:val="AFFC2003"/>
    <w:rsid w:val="B1EF57B3"/>
    <w:rsid w:val="B2FFAD4D"/>
    <w:rsid w:val="B3272198"/>
    <w:rsid w:val="B59A3B9C"/>
    <w:rsid w:val="B5D7DFFE"/>
    <w:rsid w:val="B5EF8AEC"/>
    <w:rsid w:val="B67E4026"/>
    <w:rsid w:val="B6C32C1F"/>
    <w:rsid w:val="B6DD00E1"/>
    <w:rsid w:val="B7DF0F65"/>
    <w:rsid w:val="B7E928C9"/>
    <w:rsid w:val="B7F41131"/>
    <w:rsid w:val="B7FB7756"/>
    <w:rsid w:val="B7FF98F0"/>
    <w:rsid w:val="B8FC4438"/>
    <w:rsid w:val="B9E1ACE4"/>
    <w:rsid w:val="BA77696A"/>
    <w:rsid w:val="BAF39DA1"/>
    <w:rsid w:val="BB6CBDD4"/>
    <w:rsid w:val="BB7F7E7E"/>
    <w:rsid w:val="BBC1618A"/>
    <w:rsid w:val="BBDE1E37"/>
    <w:rsid w:val="BBF7FCCC"/>
    <w:rsid w:val="BBFD26ED"/>
    <w:rsid w:val="BCB1101C"/>
    <w:rsid w:val="BCFD987A"/>
    <w:rsid w:val="BD5F6F4B"/>
    <w:rsid w:val="BDBA60CA"/>
    <w:rsid w:val="BDBBBE97"/>
    <w:rsid w:val="BDFF22E3"/>
    <w:rsid w:val="BDFF7417"/>
    <w:rsid w:val="BDFFB8FB"/>
    <w:rsid w:val="BE7763EA"/>
    <w:rsid w:val="BECF68B6"/>
    <w:rsid w:val="BED5202D"/>
    <w:rsid w:val="BEF74711"/>
    <w:rsid w:val="BEFF71E6"/>
    <w:rsid w:val="BF4FAB94"/>
    <w:rsid w:val="BF57F29B"/>
    <w:rsid w:val="BF5F1EF6"/>
    <w:rsid w:val="BF6F0FAA"/>
    <w:rsid w:val="BF6F4E22"/>
    <w:rsid w:val="BF7B23CA"/>
    <w:rsid w:val="BF7E707F"/>
    <w:rsid w:val="BF9B8458"/>
    <w:rsid w:val="BFC7E67B"/>
    <w:rsid w:val="BFCDAD80"/>
    <w:rsid w:val="BFD51280"/>
    <w:rsid w:val="BFD7A793"/>
    <w:rsid w:val="BFDF1C72"/>
    <w:rsid w:val="BFE95798"/>
    <w:rsid w:val="BFEF0C3A"/>
    <w:rsid w:val="BFEF676E"/>
    <w:rsid w:val="BFEFDDBD"/>
    <w:rsid w:val="BFF92932"/>
    <w:rsid w:val="BFFB2250"/>
    <w:rsid w:val="BFFC931E"/>
    <w:rsid w:val="BFFF3C30"/>
    <w:rsid w:val="BFFF7843"/>
    <w:rsid w:val="BFFFCFDC"/>
    <w:rsid w:val="C17BF2D6"/>
    <w:rsid w:val="CBDF831B"/>
    <w:rsid w:val="CBEE3FEB"/>
    <w:rsid w:val="CBFF0408"/>
    <w:rsid w:val="CBFF4270"/>
    <w:rsid w:val="CDFF5CFF"/>
    <w:rsid w:val="CE3AC817"/>
    <w:rsid w:val="CF1F8183"/>
    <w:rsid w:val="CF3F5801"/>
    <w:rsid w:val="CF6F23CD"/>
    <w:rsid w:val="CF7F5FE1"/>
    <w:rsid w:val="CFB7E4AF"/>
    <w:rsid w:val="CFE62292"/>
    <w:rsid w:val="CFF654AE"/>
    <w:rsid w:val="D1E7E935"/>
    <w:rsid w:val="D37FDCFE"/>
    <w:rsid w:val="D3CF9A98"/>
    <w:rsid w:val="D4FFC8E2"/>
    <w:rsid w:val="D6D7240D"/>
    <w:rsid w:val="D6F45B08"/>
    <w:rsid w:val="D7EBCDA4"/>
    <w:rsid w:val="D7F7DA96"/>
    <w:rsid w:val="D9F78AD8"/>
    <w:rsid w:val="DA3FE2E3"/>
    <w:rsid w:val="DADDF8DE"/>
    <w:rsid w:val="DBDF7D9D"/>
    <w:rsid w:val="DBEE946A"/>
    <w:rsid w:val="DBEFE74A"/>
    <w:rsid w:val="DCFE8482"/>
    <w:rsid w:val="DCFF0A18"/>
    <w:rsid w:val="DD3FA5FE"/>
    <w:rsid w:val="DD768B94"/>
    <w:rsid w:val="DD7F92C5"/>
    <w:rsid w:val="DD9F5DCB"/>
    <w:rsid w:val="DDCCD078"/>
    <w:rsid w:val="DDF3AE17"/>
    <w:rsid w:val="DDF7E3E9"/>
    <w:rsid w:val="DDFB623C"/>
    <w:rsid w:val="DDFE622D"/>
    <w:rsid w:val="DDFEF6C4"/>
    <w:rsid w:val="DE779BD5"/>
    <w:rsid w:val="DEBFF8B3"/>
    <w:rsid w:val="DEDC7E77"/>
    <w:rsid w:val="DEEF1ADA"/>
    <w:rsid w:val="DEEF7D66"/>
    <w:rsid w:val="DEF7151B"/>
    <w:rsid w:val="DEFF11BA"/>
    <w:rsid w:val="DEFFC1FD"/>
    <w:rsid w:val="DEFFC276"/>
    <w:rsid w:val="DF3713EB"/>
    <w:rsid w:val="DF5D6A2C"/>
    <w:rsid w:val="DF65622E"/>
    <w:rsid w:val="DF7DFC9C"/>
    <w:rsid w:val="DFB7B01A"/>
    <w:rsid w:val="DFBFCC54"/>
    <w:rsid w:val="DFDF386E"/>
    <w:rsid w:val="DFF39BDD"/>
    <w:rsid w:val="DFF66495"/>
    <w:rsid w:val="DFF744D4"/>
    <w:rsid w:val="DFFAAE69"/>
    <w:rsid w:val="DFFE5DAC"/>
    <w:rsid w:val="E67B1A49"/>
    <w:rsid w:val="E6DA3233"/>
    <w:rsid w:val="E6F0771A"/>
    <w:rsid w:val="E6FFBEF1"/>
    <w:rsid w:val="E79F86CF"/>
    <w:rsid w:val="E7DBEE44"/>
    <w:rsid w:val="E7FF3597"/>
    <w:rsid w:val="EA7BF45B"/>
    <w:rsid w:val="EAF6FE98"/>
    <w:rsid w:val="EAFB0EB5"/>
    <w:rsid w:val="EAFD684C"/>
    <w:rsid w:val="EB69280B"/>
    <w:rsid w:val="EB9F99CB"/>
    <w:rsid w:val="EBFFD32B"/>
    <w:rsid w:val="ED3DB5D9"/>
    <w:rsid w:val="ED93C24B"/>
    <w:rsid w:val="EDBA018B"/>
    <w:rsid w:val="EDED943B"/>
    <w:rsid w:val="EDFFD394"/>
    <w:rsid w:val="EEFBE3FF"/>
    <w:rsid w:val="EEFFD8CD"/>
    <w:rsid w:val="EF2E7965"/>
    <w:rsid w:val="EF350AF5"/>
    <w:rsid w:val="EF372A0D"/>
    <w:rsid w:val="EF3E1444"/>
    <w:rsid w:val="EF5D48F7"/>
    <w:rsid w:val="EF72E7E3"/>
    <w:rsid w:val="EF7F1CF2"/>
    <w:rsid w:val="EFB9947C"/>
    <w:rsid w:val="EFD67442"/>
    <w:rsid w:val="EFF91E34"/>
    <w:rsid w:val="EFF97298"/>
    <w:rsid w:val="EFFD6B65"/>
    <w:rsid w:val="EFFD9922"/>
    <w:rsid w:val="EFFEF17E"/>
    <w:rsid w:val="EFFF66B4"/>
    <w:rsid w:val="F1DE736C"/>
    <w:rsid w:val="F1FDD284"/>
    <w:rsid w:val="F1FFFEB7"/>
    <w:rsid w:val="F22F8C3B"/>
    <w:rsid w:val="F2ABB678"/>
    <w:rsid w:val="F2FFE51F"/>
    <w:rsid w:val="F36902CC"/>
    <w:rsid w:val="F36C9883"/>
    <w:rsid w:val="F3BFD0F5"/>
    <w:rsid w:val="F3DC883B"/>
    <w:rsid w:val="F3DE98DF"/>
    <w:rsid w:val="F3F36FCB"/>
    <w:rsid w:val="F3F65FE9"/>
    <w:rsid w:val="F3F89C75"/>
    <w:rsid w:val="F3FD45B9"/>
    <w:rsid w:val="F3FF41E8"/>
    <w:rsid w:val="F45F4241"/>
    <w:rsid w:val="F485E942"/>
    <w:rsid w:val="F4FFA8EB"/>
    <w:rsid w:val="F577ADAF"/>
    <w:rsid w:val="F5AC9F42"/>
    <w:rsid w:val="F5BFBDA6"/>
    <w:rsid w:val="F5FEE36B"/>
    <w:rsid w:val="F6D763CF"/>
    <w:rsid w:val="F6FD2577"/>
    <w:rsid w:val="F73BE3B2"/>
    <w:rsid w:val="F793FE18"/>
    <w:rsid w:val="F79758B1"/>
    <w:rsid w:val="F7A733BD"/>
    <w:rsid w:val="F7CD4FB8"/>
    <w:rsid w:val="F7DB2724"/>
    <w:rsid w:val="F7E91F25"/>
    <w:rsid w:val="F7ED2DB1"/>
    <w:rsid w:val="F7ED67C5"/>
    <w:rsid w:val="F7EF9AAC"/>
    <w:rsid w:val="F7F3B8F3"/>
    <w:rsid w:val="F7FB1E76"/>
    <w:rsid w:val="F7FE8E0C"/>
    <w:rsid w:val="F7FF5459"/>
    <w:rsid w:val="F7FFA214"/>
    <w:rsid w:val="F8F7B06C"/>
    <w:rsid w:val="F97CC1D1"/>
    <w:rsid w:val="F9D7A8C4"/>
    <w:rsid w:val="F9E72F3B"/>
    <w:rsid w:val="FA6F354A"/>
    <w:rsid w:val="FAAA5D5D"/>
    <w:rsid w:val="FAD68C57"/>
    <w:rsid w:val="FB1BB880"/>
    <w:rsid w:val="FB56ABAB"/>
    <w:rsid w:val="FB790872"/>
    <w:rsid w:val="FB9F8ACD"/>
    <w:rsid w:val="FBBC2ABB"/>
    <w:rsid w:val="FBBE4F98"/>
    <w:rsid w:val="FBC7170B"/>
    <w:rsid w:val="FBDFCDCF"/>
    <w:rsid w:val="FBFB4584"/>
    <w:rsid w:val="FBFF4C3C"/>
    <w:rsid w:val="FCAA6ABD"/>
    <w:rsid w:val="FCBBCD89"/>
    <w:rsid w:val="FCF72345"/>
    <w:rsid w:val="FD1F89E3"/>
    <w:rsid w:val="FD3B1C3C"/>
    <w:rsid w:val="FD5CFB80"/>
    <w:rsid w:val="FD6F2B1D"/>
    <w:rsid w:val="FDB531C2"/>
    <w:rsid w:val="FDBB43D6"/>
    <w:rsid w:val="FDBFD861"/>
    <w:rsid w:val="FDDF2883"/>
    <w:rsid w:val="FDF386D7"/>
    <w:rsid w:val="FDF7BE42"/>
    <w:rsid w:val="FDFB2CD5"/>
    <w:rsid w:val="FDFBA8A5"/>
    <w:rsid w:val="FDFDF438"/>
    <w:rsid w:val="FDFFD370"/>
    <w:rsid w:val="FE5AECD1"/>
    <w:rsid w:val="FE775D5A"/>
    <w:rsid w:val="FE7E6861"/>
    <w:rsid w:val="FE9795AC"/>
    <w:rsid w:val="FE9F9012"/>
    <w:rsid w:val="FEDE7903"/>
    <w:rsid w:val="FEDFDB36"/>
    <w:rsid w:val="FEE6F929"/>
    <w:rsid w:val="FEF74463"/>
    <w:rsid w:val="FEFCB679"/>
    <w:rsid w:val="FEFE6300"/>
    <w:rsid w:val="FEFF178C"/>
    <w:rsid w:val="FF09DFF7"/>
    <w:rsid w:val="FF3DC582"/>
    <w:rsid w:val="FF5C4F38"/>
    <w:rsid w:val="FF67A3C1"/>
    <w:rsid w:val="FF6FB92F"/>
    <w:rsid w:val="FF757A76"/>
    <w:rsid w:val="FF7CD411"/>
    <w:rsid w:val="FF9D6833"/>
    <w:rsid w:val="FF9D99FA"/>
    <w:rsid w:val="FFA87543"/>
    <w:rsid w:val="FFAFB8D9"/>
    <w:rsid w:val="FFAFC964"/>
    <w:rsid w:val="FFBB044F"/>
    <w:rsid w:val="FFBBA92D"/>
    <w:rsid w:val="FFBC367A"/>
    <w:rsid w:val="FFBCD476"/>
    <w:rsid w:val="FFBCE403"/>
    <w:rsid w:val="FFBD81E5"/>
    <w:rsid w:val="FFBDE1E6"/>
    <w:rsid w:val="FFBFC905"/>
    <w:rsid w:val="FFBFF8E9"/>
    <w:rsid w:val="FFCF35C4"/>
    <w:rsid w:val="FFD91967"/>
    <w:rsid w:val="FFD91E46"/>
    <w:rsid w:val="FFDA4DF8"/>
    <w:rsid w:val="FFDBE2B5"/>
    <w:rsid w:val="FFDECBA5"/>
    <w:rsid w:val="FFDFC340"/>
    <w:rsid w:val="FFE3EB63"/>
    <w:rsid w:val="FFEA53C9"/>
    <w:rsid w:val="FFEB4C72"/>
    <w:rsid w:val="FFEE7246"/>
    <w:rsid w:val="FFEFB5E5"/>
    <w:rsid w:val="FFEFE3AB"/>
    <w:rsid w:val="FFF052CF"/>
    <w:rsid w:val="FFF37EE3"/>
    <w:rsid w:val="FFF6DBFD"/>
    <w:rsid w:val="FFF73DDF"/>
    <w:rsid w:val="FFF76286"/>
    <w:rsid w:val="FFF98E6A"/>
    <w:rsid w:val="FFFBBF18"/>
    <w:rsid w:val="FFFF4D7E"/>
    <w:rsid w:val="FFFFF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9"/>
    <w:pPr>
      <w:keepNext/>
      <w:keepLines/>
      <w:ind w:firstLine="200" w:firstLineChars="200"/>
      <w:outlineLvl w:val="2"/>
    </w:pPr>
    <w:rPr>
      <w:b/>
      <w:bCs/>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tabs>
        <w:tab w:val="right" w:leader="dot" w:pos="8504"/>
      </w:tabs>
      <w:snapToGrid w:val="0"/>
      <w:spacing w:line="360" w:lineRule="auto"/>
    </w:pPr>
    <w:rPr>
      <w:rFonts w:ascii="Times New Roman Regular" w:hAnsi="Times New Roman Regular" w:cs="Times New Roman Regular"/>
      <w:color w:val="auto"/>
      <w:sz w:val="32"/>
      <w:szCs w:val="28"/>
      <w:highlight w:val="none"/>
    </w:rPr>
  </w:style>
  <w:style w:type="paragraph" w:styleId="9">
    <w:name w:val="toc 2"/>
    <w:basedOn w:val="1"/>
    <w:next w:val="1"/>
    <w:qFormat/>
    <w:uiPriority w:val="39"/>
    <w:pPr>
      <w:tabs>
        <w:tab w:val="right" w:leader="dot" w:pos="8504"/>
      </w:tabs>
      <w:snapToGrid w:val="0"/>
      <w:spacing w:line="360" w:lineRule="auto"/>
      <w:ind w:left="420" w:leftChars="200"/>
    </w:pPr>
    <w:rPr>
      <w:rFonts w:ascii="Times New Roman" w:hAnsi="Times New Roman" w:eastAsia="楷体" w:cs="Times New Roman"/>
      <w:color w:val="auto"/>
      <w:sz w:val="28"/>
      <w:szCs w:val="28"/>
      <w:highlight w:val="none"/>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0"/>
    <w:pPr>
      <w:adjustRightInd w:val="0"/>
      <w:snapToGrid w:val="0"/>
      <w:spacing w:line="360" w:lineRule="auto"/>
      <w:ind w:firstLine="800" w:firstLineChars="200"/>
      <w:jc w:val="left"/>
      <w:outlineLvl w:val="0"/>
    </w:pPr>
    <w:rPr>
      <w:rFonts w:ascii="Arial" w:hAnsi="Arial" w:eastAsia="仿宋"/>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paragraph" w:styleId="18">
    <w:name w:val="List Paragraph"/>
    <w:basedOn w:val="1"/>
    <w:qFormat/>
    <w:uiPriority w:val="34"/>
    <w:pPr>
      <w:ind w:firstLine="420" w:firstLineChars="200"/>
    </w:p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paragraph" w:customStyle="1" w:styleId="20">
    <w:name w:val="WPSOffice手动目录 2"/>
    <w:qFormat/>
    <w:uiPriority w:val="0"/>
    <w:pPr>
      <w:ind w:leftChars="200"/>
    </w:pPr>
    <w:rPr>
      <w:rFonts w:ascii="Times New Roman" w:hAnsi="Times New Roman" w:eastAsia="宋体" w:cs="Times New Roman"/>
      <w:sz w:val="20"/>
      <w:szCs w:val="20"/>
    </w:rPr>
  </w:style>
  <w:style w:type="paragraph" w:customStyle="1" w:styleId="21">
    <w:name w:val="_Style 3"/>
    <w:basedOn w:val="1"/>
    <w:next w:val="18"/>
    <w:unhideWhenUsed/>
    <w:qFormat/>
    <w:uiPriority w:val="99"/>
    <w:pPr>
      <w:spacing w:line="360" w:lineRule="auto"/>
      <w:ind w:firstLine="420" w:firstLineChars="200"/>
      <w:jc w:val="left"/>
    </w:pPr>
    <w:rPr>
      <w:rFonts w:ascii="Times New Roman" w:hAnsi="Times New Roman" w:eastAsia="仿宋"/>
      <w:sz w:val="32"/>
      <w:szCs w:val="24"/>
      <w:lang w:eastAsia="zh-TW"/>
    </w:rPr>
  </w:style>
  <w:style w:type="paragraph" w:customStyle="1" w:styleId="22">
    <w:name w:val="正文20230728"/>
    <w:basedOn w:val="1"/>
    <w:qFormat/>
    <w:uiPriority w:val="0"/>
    <w:pPr>
      <w:overflowPunct w:val="0"/>
      <w:autoSpaceDE/>
      <w:autoSpaceDN/>
      <w:adjustRightInd w:val="0"/>
      <w:snapToGrid w:val="0"/>
      <w:spacing w:line="600" w:lineRule="exact"/>
      <w:ind w:firstLine="880" w:firstLineChars="200"/>
    </w:pPr>
  </w:style>
  <w:style w:type="paragraph" w:customStyle="1" w:styleId="23">
    <w:name w:val="列出段落1"/>
    <w:basedOn w:val="1"/>
    <w:next w:val="1"/>
    <w:qFormat/>
    <w:uiPriority w:val="0"/>
    <w:pPr>
      <w:ind w:firstLine="420" w:firstLineChars="200"/>
    </w:pPr>
    <w:rPr>
      <w:rFonts w:ascii="Times New Roman" w:hAnsi="Times New Roman" w:eastAsia="宋体" w:cs="Times New Roman"/>
      <w:szCs w:val="24"/>
    </w:rPr>
  </w:style>
  <w:style w:type="paragraph" w:customStyle="1" w:styleId="24">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27593</Words>
  <Characters>29501</Characters>
  <Lines>0</Lines>
  <Paragraphs>0</Paragraphs>
  <TotalTime>37</TotalTime>
  <ScaleCrop>false</ScaleCrop>
  <LinksUpToDate>false</LinksUpToDate>
  <CharactersWithSpaces>29539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2023-10-01T09:07:00Z</dcterms:created>
  <dc:creator>lenovo</dc:creator>
  <cp:lastModifiedBy>珍</cp:lastModifiedBy>
  <cp:lastPrinted>2024-06-29T00:51:00Z</cp:lastPrinted>
  <dcterms:modified xsi:type="dcterms:W3CDTF">2025-11-21T06:17:12Z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8E6B7061A5154325A393D76F062B0943_13</vt:lpwstr>
  </property>
  <property fmtid="{D5CDD505-2E9C-101B-9397-08002B2CF9AE}" pid="4" name="KSOTemplateDocerSaveRecord">
    <vt:lpwstr>eyJoZGlkIjoiZmNlZWYzMTRiNmVjMjEyNTRlMjAzZTA5ZTVlYjZiMGUiLCJ1c2VySWQiOiIyNTg3OTY3ODUifQ==</vt:lpwstr>
  </property>
</Properties>
</file>