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8AE5D">
      <w:pPr>
        <w:keepNext w:val="0"/>
        <w:keepLines w:val="0"/>
        <w:widowControl/>
        <w:suppressLineNumbers w:val="0"/>
        <w:jc w:val="center"/>
        <w:rPr>
          <w:rFonts w:hint="default"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荣成市应急管理局</w:t>
      </w:r>
      <w:r>
        <w:rPr>
          <w:rFonts w:ascii="方正小标宋简体" w:hAnsi="方正小标宋简体" w:eastAsia="方正小标宋简体" w:cs="方正小标宋简体"/>
          <w:color w:val="000000"/>
          <w:kern w:val="0"/>
          <w:sz w:val="43"/>
          <w:szCs w:val="43"/>
          <w:lang w:val="en-US" w:eastAsia="zh-CN" w:bidi="ar"/>
        </w:rPr>
        <w:t>轻微违法行为不予行政处罚</w:t>
      </w:r>
      <w:r>
        <w:rPr>
          <w:rFonts w:hint="eastAsia" w:ascii="方正小标宋简体" w:hAnsi="方正小标宋简体" w:eastAsia="方正小标宋简体" w:cs="方正小标宋简体"/>
          <w:color w:val="000000"/>
          <w:kern w:val="0"/>
          <w:sz w:val="43"/>
          <w:szCs w:val="43"/>
          <w:lang w:val="en-US" w:eastAsia="zh-CN" w:bidi="ar"/>
        </w:rPr>
        <w:t>清单（2025</w:t>
      </w:r>
      <w:bookmarkStart w:id="0" w:name="_GoBack"/>
      <w:bookmarkEnd w:id="0"/>
      <w:r>
        <w:rPr>
          <w:rFonts w:hint="eastAsia" w:ascii="方正小标宋简体" w:hAnsi="方正小标宋简体" w:eastAsia="方正小标宋简体" w:cs="方正小标宋简体"/>
          <w:color w:val="000000"/>
          <w:kern w:val="0"/>
          <w:sz w:val="43"/>
          <w:szCs w:val="43"/>
          <w:lang w:val="en-US" w:eastAsia="zh-CN" w:bidi="ar"/>
        </w:rPr>
        <w:t>年版）</w:t>
      </w:r>
    </w:p>
    <w:p w14:paraId="66C2D419">
      <w:pPr>
        <w:pStyle w:val="2"/>
        <w:rPr>
          <w:rFonts w:hint="eastAsia" w:ascii="Times New Roman" w:eastAsia="宋体"/>
          <w:sz w:val="20"/>
          <w:lang w:eastAsia="zh-CN"/>
        </w:rPr>
      </w:pPr>
    </w:p>
    <w:p w14:paraId="5DC3BF4B">
      <w:pPr>
        <w:pStyle w:val="2"/>
        <w:spacing w:before="10"/>
        <w:rPr>
          <w:rFonts w:ascii="Times New Roman"/>
          <w:sz w:val="21"/>
        </w:rPr>
      </w:pPr>
    </w:p>
    <w:tbl>
      <w:tblPr>
        <w:tblStyle w:val="3"/>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8"/>
        <w:gridCol w:w="5101"/>
        <w:gridCol w:w="3118"/>
        <w:gridCol w:w="5007"/>
      </w:tblGrid>
      <w:tr w14:paraId="1EC4F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084" w:type="dxa"/>
            <w:gridSpan w:val="4"/>
          </w:tcPr>
          <w:p w14:paraId="6A761BED">
            <w:pPr>
              <w:pStyle w:val="7"/>
              <w:spacing w:line="280" w:lineRule="auto"/>
              <w:ind w:left="108" w:right="96"/>
              <w:jc w:val="center"/>
              <w:rPr>
                <w:rFonts w:hint="eastAsia" w:ascii="黑体" w:eastAsia="黑体"/>
                <w:sz w:val="32"/>
              </w:rPr>
            </w:pPr>
            <w:r>
              <w:rPr>
                <w:rFonts w:hint="eastAsia" w:ascii="黑体" w:hAnsi="宋体" w:eastAsia="黑体" w:cs="黑体"/>
                <w:color w:val="000000"/>
                <w:kern w:val="0"/>
                <w:sz w:val="31"/>
                <w:szCs w:val="31"/>
                <w:lang w:val="en-US" w:eastAsia="zh-CN" w:bidi="ar"/>
              </w:rPr>
              <w:t>防震减灾领域轻微违法行为可以不予行政处罚事项清单</w:t>
            </w:r>
          </w:p>
        </w:tc>
      </w:tr>
      <w:tr w14:paraId="2C873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8" w:type="dxa"/>
          </w:tcPr>
          <w:p w14:paraId="63DB48B8">
            <w:pPr>
              <w:pStyle w:val="7"/>
              <w:spacing w:before="72"/>
              <w:ind w:left="87" w:right="81"/>
              <w:jc w:val="center"/>
              <w:rPr>
                <w:rFonts w:hint="eastAsia" w:ascii="黑体" w:eastAsia="黑体"/>
                <w:sz w:val="32"/>
              </w:rPr>
            </w:pPr>
            <w:r>
              <w:rPr>
                <w:rFonts w:hint="eastAsia" w:ascii="黑体" w:eastAsia="黑体"/>
                <w:sz w:val="32"/>
              </w:rPr>
              <w:t>序号</w:t>
            </w:r>
          </w:p>
        </w:tc>
        <w:tc>
          <w:tcPr>
            <w:tcW w:w="5101" w:type="dxa"/>
          </w:tcPr>
          <w:p w14:paraId="6AA2E087">
            <w:pPr>
              <w:pStyle w:val="7"/>
              <w:spacing w:before="72"/>
              <w:ind w:left="1889" w:right="1882"/>
              <w:jc w:val="center"/>
              <w:rPr>
                <w:rFonts w:hint="eastAsia" w:ascii="黑体" w:eastAsia="黑体"/>
                <w:sz w:val="32"/>
              </w:rPr>
            </w:pPr>
            <w:r>
              <w:rPr>
                <w:rFonts w:hint="eastAsia" w:ascii="黑体" w:eastAsia="黑体"/>
                <w:sz w:val="32"/>
              </w:rPr>
              <w:t>违法行为</w:t>
            </w:r>
          </w:p>
        </w:tc>
        <w:tc>
          <w:tcPr>
            <w:tcW w:w="3118" w:type="dxa"/>
          </w:tcPr>
          <w:p w14:paraId="0725A1CF">
            <w:pPr>
              <w:pStyle w:val="7"/>
              <w:spacing w:before="72"/>
              <w:ind w:left="919"/>
              <w:rPr>
                <w:rFonts w:hint="eastAsia" w:ascii="黑体" w:eastAsia="黑体"/>
                <w:sz w:val="32"/>
              </w:rPr>
            </w:pPr>
            <w:r>
              <w:rPr>
                <w:rFonts w:hint="eastAsia" w:ascii="黑体" w:eastAsia="黑体"/>
                <w:sz w:val="32"/>
              </w:rPr>
              <w:t>适用条件</w:t>
            </w:r>
          </w:p>
        </w:tc>
        <w:tc>
          <w:tcPr>
            <w:tcW w:w="5007" w:type="dxa"/>
          </w:tcPr>
          <w:p w14:paraId="07C1F56E">
            <w:pPr>
              <w:pStyle w:val="7"/>
              <w:spacing w:before="72"/>
              <w:ind w:left="1842" w:right="1835"/>
              <w:jc w:val="center"/>
              <w:rPr>
                <w:rFonts w:hint="eastAsia" w:ascii="黑体" w:eastAsia="黑体"/>
                <w:sz w:val="32"/>
              </w:rPr>
            </w:pPr>
            <w:r>
              <w:rPr>
                <w:rFonts w:hint="eastAsia" w:ascii="黑体" w:eastAsia="黑体"/>
                <w:sz w:val="32"/>
              </w:rPr>
              <w:t>法定依据</w:t>
            </w:r>
          </w:p>
        </w:tc>
      </w:tr>
      <w:tr w14:paraId="4C4E4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858" w:type="dxa"/>
          </w:tcPr>
          <w:p w14:paraId="7A16E356">
            <w:pPr>
              <w:pStyle w:val="7"/>
              <w:spacing w:before="11"/>
              <w:rPr>
                <w:rFonts w:ascii="Times New Roman"/>
                <w:sz w:val="27"/>
              </w:rPr>
            </w:pPr>
          </w:p>
          <w:p w14:paraId="0C7EC070">
            <w:pPr>
              <w:pStyle w:val="7"/>
              <w:ind w:left="87" w:right="80"/>
              <w:jc w:val="center"/>
              <w:rPr>
                <w:rFonts w:hint="eastAsia" w:eastAsia="仿宋_GB2312"/>
                <w:sz w:val="24"/>
                <w:lang w:eastAsia="zh-CN"/>
              </w:rPr>
            </w:pPr>
            <w:r>
              <w:rPr>
                <w:rFonts w:hint="eastAsia"/>
                <w:sz w:val="24"/>
                <w:lang w:val="en-US" w:eastAsia="zh-CN"/>
              </w:rPr>
              <w:t>1</w:t>
            </w:r>
          </w:p>
        </w:tc>
        <w:tc>
          <w:tcPr>
            <w:tcW w:w="5101" w:type="dxa"/>
          </w:tcPr>
          <w:p w14:paraId="0D8FC36C">
            <w:pPr>
              <w:pStyle w:val="7"/>
              <w:spacing w:before="142" w:line="280" w:lineRule="auto"/>
              <w:ind w:left="107" w:right="97"/>
              <w:rPr>
                <w:sz w:val="24"/>
              </w:rPr>
            </w:pPr>
            <w:r>
              <w:rPr>
                <w:sz w:val="24"/>
              </w:rPr>
              <w:t>未按照要求增建抗干扰设施或者新建地震监测设施</w:t>
            </w:r>
          </w:p>
        </w:tc>
        <w:tc>
          <w:tcPr>
            <w:tcW w:w="3118" w:type="dxa"/>
          </w:tcPr>
          <w:p w14:paraId="104272A6">
            <w:pPr>
              <w:pStyle w:val="7"/>
              <w:spacing w:before="11"/>
              <w:rPr>
                <w:rFonts w:ascii="Times New Roman"/>
                <w:sz w:val="27"/>
              </w:rPr>
            </w:pPr>
          </w:p>
          <w:p w14:paraId="318A579A">
            <w:pPr>
              <w:pStyle w:val="7"/>
              <w:ind w:left="108"/>
              <w:rPr>
                <w:sz w:val="24"/>
              </w:rPr>
            </w:pPr>
            <w:r>
              <w:rPr>
                <w:sz w:val="24"/>
              </w:rPr>
              <w:t>在限期内改正</w:t>
            </w:r>
          </w:p>
        </w:tc>
        <w:tc>
          <w:tcPr>
            <w:tcW w:w="5007" w:type="dxa"/>
          </w:tcPr>
          <w:p w14:paraId="4AEA8241">
            <w:pPr>
              <w:pStyle w:val="7"/>
              <w:spacing w:before="142" w:line="280" w:lineRule="auto"/>
              <w:ind w:left="108" w:right="52"/>
              <w:rPr>
                <w:sz w:val="24"/>
              </w:rPr>
            </w:pPr>
            <w:r>
              <w:rPr>
                <w:sz w:val="24"/>
              </w:rPr>
              <w:t>《中华人民共和国防震减灾法》（1997年12 月通过，2008年12 月修订）第八十五条</w:t>
            </w:r>
          </w:p>
        </w:tc>
      </w:tr>
      <w:tr w14:paraId="32BD1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858" w:type="dxa"/>
          </w:tcPr>
          <w:p w14:paraId="25604EFB">
            <w:pPr>
              <w:pStyle w:val="7"/>
              <w:spacing w:before="11"/>
              <w:rPr>
                <w:rFonts w:ascii="Times New Roman"/>
                <w:sz w:val="27"/>
              </w:rPr>
            </w:pPr>
          </w:p>
          <w:p w14:paraId="6CA2F3AB">
            <w:pPr>
              <w:pStyle w:val="7"/>
              <w:ind w:left="87" w:right="80"/>
              <w:jc w:val="center"/>
              <w:rPr>
                <w:rFonts w:hint="eastAsia" w:eastAsia="仿宋_GB2312"/>
                <w:sz w:val="24"/>
                <w:lang w:eastAsia="zh-CN"/>
              </w:rPr>
            </w:pPr>
            <w:r>
              <w:rPr>
                <w:rFonts w:hint="eastAsia"/>
                <w:sz w:val="24"/>
                <w:lang w:val="en-US" w:eastAsia="zh-CN"/>
              </w:rPr>
              <w:t>2</w:t>
            </w:r>
          </w:p>
        </w:tc>
        <w:tc>
          <w:tcPr>
            <w:tcW w:w="5101" w:type="dxa"/>
          </w:tcPr>
          <w:p w14:paraId="2BB62A2E">
            <w:pPr>
              <w:pStyle w:val="7"/>
              <w:spacing w:before="141" w:line="280" w:lineRule="auto"/>
              <w:ind w:left="107" w:right="97"/>
              <w:rPr>
                <w:sz w:val="24"/>
              </w:rPr>
            </w:pPr>
            <w:r>
              <w:rPr>
                <w:sz w:val="24"/>
              </w:rPr>
              <w:t>未按照规定建设专用地震监测台网或者强震动监测设施</w:t>
            </w:r>
          </w:p>
        </w:tc>
        <w:tc>
          <w:tcPr>
            <w:tcW w:w="3118" w:type="dxa"/>
          </w:tcPr>
          <w:p w14:paraId="3FECB44E">
            <w:pPr>
              <w:pStyle w:val="7"/>
              <w:spacing w:before="11"/>
              <w:rPr>
                <w:rFonts w:ascii="Times New Roman"/>
                <w:sz w:val="27"/>
              </w:rPr>
            </w:pPr>
          </w:p>
          <w:p w14:paraId="283F5B0D">
            <w:pPr>
              <w:pStyle w:val="7"/>
              <w:ind w:left="108"/>
              <w:rPr>
                <w:sz w:val="24"/>
              </w:rPr>
            </w:pPr>
            <w:r>
              <w:rPr>
                <w:sz w:val="24"/>
              </w:rPr>
              <w:t>在限期内改正</w:t>
            </w:r>
          </w:p>
        </w:tc>
        <w:tc>
          <w:tcPr>
            <w:tcW w:w="5007" w:type="dxa"/>
          </w:tcPr>
          <w:p w14:paraId="1C6F805C">
            <w:pPr>
              <w:pStyle w:val="7"/>
              <w:spacing w:before="141" w:line="280" w:lineRule="auto"/>
              <w:ind w:left="108" w:right="-29"/>
              <w:rPr>
                <w:sz w:val="24"/>
              </w:rPr>
            </w:pPr>
            <w:r>
              <w:rPr>
                <w:spacing w:val="-7"/>
                <w:sz w:val="24"/>
              </w:rPr>
              <w:t>《山东省防震减灾条例》</w:t>
            </w:r>
            <w:r>
              <w:rPr>
                <w:sz w:val="24"/>
              </w:rPr>
              <w:t>（1999</w:t>
            </w:r>
            <w:r>
              <w:rPr>
                <w:spacing w:val="-40"/>
                <w:sz w:val="24"/>
              </w:rPr>
              <w:t xml:space="preserve"> 年 </w:t>
            </w:r>
            <w:r>
              <w:rPr>
                <w:sz w:val="24"/>
              </w:rPr>
              <w:t>10</w:t>
            </w:r>
            <w:r>
              <w:rPr>
                <w:spacing w:val="-15"/>
                <w:sz w:val="24"/>
              </w:rPr>
              <w:t xml:space="preserve"> 月通过， </w:t>
            </w:r>
            <w:r>
              <w:rPr>
                <w:sz w:val="24"/>
              </w:rPr>
              <w:t>2010</w:t>
            </w:r>
            <w:r>
              <w:rPr>
                <w:spacing w:val="-40"/>
                <w:sz w:val="24"/>
              </w:rPr>
              <w:t xml:space="preserve">年 </w:t>
            </w:r>
            <w:r>
              <w:rPr>
                <w:sz w:val="24"/>
              </w:rPr>
              <w:t>9</w:t>
            </w:r>
            <w:r>
              <w:rPr>
                <w:spacing w:val="-15"/>
                <w:sz w:val="24"/>
              </w:rPr>
              <w:t>月修订</w:t>
            </w:r>
            <w:r>
              <w:rPr>
                <w:sz w:val="24"/>
              </w:rPr>
              <w:t>）第六十三条</w:t>
            </w:r>
          </w:p>
        </w:tc>
      </w:tr>
      <w:tr w14:paraId="26254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1" w:hRule="atLeast"/>
        </w:trPr>
        <w:tc>
          <w:tcPr>
            <w:tcW w:w="858" w:type="dxa"/>
          </w:tcPr>
          <w:p w14:paraId="24D111C0">
            <w:pPr>
              <w:pStyle w:val="7"/>
              <w:rPr>
                <w:rFonts w:ascii="Times New Roman"/>
                <w:sz w:val="24"/>
              </w:rPr>
            </w:pPr>
          </w:p>
          <w:p w14:paraId="41EB42F6">
            <w:pPr>
              <w:pStyle w:val="7"/>
              <w:spacing w:before="187"/>
              <w:ind w:left="87" w:right="80"/>
              <w:jc w:val="center"/>
              <w:rPr>
                <w:rFonts w:hint="eastAsia" w:eastAsia="仿宋_GB2312"/>
                <w:sz w:val="24"/>
                <w:lang w:eastAsia="zh-CN"/>
              </w:rPr>
            </w:pPr>
            <w:r>
              <w:rPr>
                <w:rFonts w:hint="eastAsia"/>
                <w:sz w:val="24"/>
                <w:lang w:val="en-US" w:eastAsia="zh-CN"/>
              </w:rPr>
              <w:t>3</w:t>
            </w:r>
          </w:p>
        </w:tc>
        <w:tc>
          <w:tcPr>
            <w:tcW w:w="5101" w:type="dxa"/>
          </w:tcPr>
          <w:p w14:paraId="6E23335F">
            <w:pPr>
              <w:pStyle w:val="7"/>
              <w:spacing w:before="117" w:line="266" w:lineRule="auto"/>
              <w:ind w:left="107" w:right="97"/>
              <w:jc w:val="both"/>
              <w:rPr>
                <w:sz w:val="24"/>
              </w:rPr>
            </w:pPr>
            <w:r>
              <w:rPr>
                <w:sz w:val="24"/>
              </w:rPr>
              <w:t>未依法进行地震安全性评价，或者未按照地震安全性评价报告所确定的抗震设防要求进行抗震设防</w:t>
            </w:r>
          </w:p>
        </w:tc>
        <w:tc>
          <w:tcPr>
            <w:tcW w:w="3118" w:type="dxa"/>
          </w:tcPr>
          <w:p w14:paraId="56240856">
            <w:pPr>
              <w:pStyle w:val="7"/>
              <w:rPr>
                <w:rFonts w:ascii="Times New Roman"/>
                <w:sz w:val="24"/>
              </w:rPr>
            </w:pPr>
          </w:p>
          <w:p w14:paraId="1C5B907F">
            <w:pPr>
              <w:pStyle w:val="7"/>
              <w:spacing w:before="187"/>
              <w:ind w:left="108"/>
              <w:rPr>
                <w:sz w:val="24"/>
              </w:rPr>
            </w:pPr>
            <w:r>
              <w:rPr>
                <w:sz w:val="24"/>
              </w:rPr>
              <w:t>在限期内改正</w:t>
            </w:r>
          </w:p>
        </w:tc>
        <w:tc>
          <w:tcPr>
            <w:tcW w:w="5007" w:type="dxa"/>
          </w:tcPr>
          <w:p w14:paraId="489672A6">
            <w:pPr>
              <w:pStyle w:val="7"/>
              <w:spacing w:before="7"/>
              <w:rPr>
                <w:rFonts w:ascii="Times New Roman"/>
                <w:sz w:val="24"/>
              </w:rPr>
            </w:pPr>
          </w:p>
          <w:p w14:paraId="07DE9921">
            <w:pPr>
              <w:pStyle w:val="7"/>
              <w:spacing w:line="280" w:lineRule="auto"/>
              <w:ind w:left="108" w:right="52"/>
              <w:rPr>
                <w:sz w:val="24"/>
              </w:rPr>
            </w:pPr>
            <w:r>
              <w:rPr>
                <w:sz w:val="24"/>
              </w:rPr>
              <w:t>《中华人民共和国防震减灾法》（1997年12月通过，2008年12月修订）第八十七条</w:t>
            </w:r>
          </w:p>
        </w:tc>
      </w:tr>
      <w:tr w14:paraId="6C1FE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1" w:hRule="atLeast"/>
        </w:trPr>
        <w:tc>
          <w:tcPr>
            <w:tcW w:w="858" w:type="dxa"/>
          </w:tcPr>
          <w:p w14:paraId="54883089">
            <w:pPr>
              <w:pStyle w:val="7"/>
              <w:rPr>
                <w:rFonts w:ascii="Times New Roman"/>
                <w:sz w:val="24"/>
              </w:rPr>
            </w:pPr>
          </w:p>
          <w:p w14:paraId="6327B4DA">
            <w:pPr>
              <w:pStyle w:val="7"/>
              <w:spacing w:before="188"/>
              <w:ind w:left="87" w:right="80"/>
              <w:jc w:val="center"/>
              <w:rPr>
                <w:rFonts w:hint="eastAsia" w:eastAsia="仿宋_GB2312"/>
                <w:sz w:val="24"/>
                <w:lang w:eastAsia="zh-CN"/>
              </w:rPr>
            </w:pPr>
            <w:r>
              <w:rPr>
                <w:rFonts w:hint="eastAsia"/>
                <w:sz w:val="24"/>
                <w:lang w:val="en-US" w:eastAsia="zh-CN"/>
              </w:rPr>
              <w:t>4</w:t>
            </w:r>
          </w:p>
        </w:tc>
        <w:tc>
          <w:tcPr>
            <w:tcW w:w="5101" w:type="dxa"/>
          </w:tcPr>
          <w:p w14:paraId="369DC26D">
            <w:pPr>
              <w:pStyle w:val="7"/>
              <w:spacing w:before="119" w:line="264" w:lineRule="auto"/>
              <w:ind w:left="107" w:right="97"/>
              <w:jc w:val="both"/>
              <w:rPr>
                <w:sz w:val="24"/>
              </w:rPr>
            </w:pPr>
            <w:r>
              <w:rPr>
                <w:sz w:val="24"/>
              </w:rPr>
              <w:t>建设工程未按照县级以上人民政府地震工作主管部门依据地震小区划结果或者地震动参数区划图确定的抗震设防要求进行抗震设防</w:t>
            </w:r>
          </w:p>
        </w:tc>
        <w:tc>
          <w:tcPr>
            <w:tcW w:w="3118" w:type="dxa"/>
          </w:tcPr>
          <w:p w14:paraId="5886B314">
            <w:pPr>
              <w:pStyle w:val="7"/>
              <w:rPr>
                <w:rFonts w:ascii="Times New Roman"/>
                <w:sz w:val="24"/>
              </w:rPr>
            </w:pPr>
          </w:p>
          <w:p w14:paraId="13E046C9">
            <w:pPr>
              <w:pStyle w:val="7"/>
              <w:spacing w:before="188"/>
              <w:ind w:left="108"/>
              <w:rPr>
                <w:sz w:val="24"/>
              </w:rPr>
            </w:pPr>
            <w:r>
              <w:rPr>
                <w:sz w:val="24"/>
              </w:rPr>
              <w:t>在限期内改正</w:t>
            </w:r>
          </w:p>
        </w:tc>
        <w:tc>
          <w:tcPr>
            <w:tcW w:w="5007" w:type="dxa"/>
          </w:tcPr>
          <w:p w14:paraId="045AC67B">
            <w:pPr>
              <w:pStyle w:val="7"/>
              <w:spacing w:before="8"/>
              <w:rPr>
                <w:rFonts w:ascii="Times New Roman"/>
                <w:sz w:val="24"/>
              </w:rPr>
            </w:pPr>
          </w:p>
          <w:p w14:paraId="5CFC53F5">
            <w:pPr>
              <w:pStyle w:val="7"/>
              <w:spacing w:line="280" w:lineRule="auto"/>
              <w:ind w:left="108" w:right="-29"/>
              <w:rPr>
                <w:sz w:val="24"/>
              </w:rPr>
            </w:pPr>
            <w:r>
              <w:rPr>
                <w:spacing w:val="-7"/>
                <w:sz w:val="24"/>
              </w:rPr>
              <w:t>《山东省防震减灾条例》</w:t>
            </w:r>
            <w:r>
              <w:rPr>
                <w:sz w:val="24"/>
              </w:rPr>
              <w:t>（1999</w:t>
            </w:r>
            <w:r>
              <w:rPr>
                <w:spacing w:val="-40"/>
                <w:sz w:val="24"/>
              </w:rPr>
              <w:t xml:space="preserve"> 年 </w:t>
            </w:r>
            <w:r>
              <w:rPr>
                <w:sz w:val="24"/>
              </w:rPr>
              <w:t>10</w:t>
            </w:r>
            <w:r>
              <w:rPr>
                <w:spacing w:val="-15"/>
                <w:sz w:val="24"/>
              </w:rPr>
              <w:t xml:space="preserve"> 月通过， </w:t>
            </w:r>
            <w:r>
              <w:rPr>
                <w:sz w:val="24"/>
              </w:rPr>
              <w:t>2010</w:t>
            </w:r>
            <w:r>
              <w:rPr>
                <w:spacing w:val="-40"/>
                <w:sz w:val="24"/>
              </w:rPr>
              <w:t xml:space="preserve"> 年 </w:t>
            </w:r>
            <w:r>
              <w:rPr>
                <w:sz w:val="24"/>
              </w:rPr>
              <w:t>9</w:t>
            </w:r>
            <w:r>
              <w:rPr>
                <w:spacing w:val="-15"/>
                <w:sz w:val="24"/>
              </w:rPr>
              <w:t xml:space="preserve"> 月修订</w:t>
            </w:r>
            <w:r>
              <w:rPr>
                <w:sz w:val="24"/>
              </w:rPr>
              <w:t>）第六十四条</w:t>
            </w:r>
          </w:p>
        </w:tc>
      </w:tr>
      <w:tr w14:paraId="196A1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858" w:type="dxa"/>
          </w:tcPr>
          <w:p w14:paraId="511E69D1">
            <w:pPr>
              <w:pStyle w:val="7"/>
              <w:spacing w:before="11"/>
              <w:rPr>
                <w:rFonts w:ascii="Times New Roman"/>
                <w:sz w:val="27"/>
              </w:rPr>
            </w:pPr>
          </w:p>
          <w:p w14:paraId="54717110">
            <w:pPr>
              <w:pStyle w:val="7"/>
              <w:ind w:left="87" w:right="80"/>
              <w:jc w:val="center"/>
              <w:rPr>
                <w:rFonts w:hint="eastAsia" w:eastAsia="仿宋_GB2312"/>
                <w:sz w:val="24"/>
                <w:lang w:eastAsia="zh-CN"/>
              </w:rPr>
            </w:pPr>
            <w:r>
              <w:rPr>
                <w:rFonts w:hint="eastAsia"/>
                <w:sz w:val="24"/>
                <w:lang w:val="en-US" w:eastAsia="zh-CN"/>
              </w:rPr>
              <w:t>5</w:t>
            </w:r>
          </w:p>
        </w:tc>
        <w:tc>
          <w:tcPr>
            <w:tcW w:w="5101" w:type="dxa"/>
          </w:tcPr>
          <w:p w14:paraId="746476E2">
            <w:pPr>
              <w:pStyle w:val="7"/>
              <w:spacing w:before="146" w:line="264" w:lineRule="auto"/>
              <w:ind w:left="107" w:right="97"/>
              <w:rPr>
                <w:sz w:val="24"/>
              </w:rPr>
            </w:pPr>
            <w:r>
              <w:rPr>
                <w:sz w:val="24"/>
              </w:rPr>
              <w:t>省外地震安全性评价单位来本省从事地震安全性评价活动未办理登记备案手续</w:t>
            </w:r>
          </w:p>
        </w:tc>
        <w:tc>
          <w:tcPr>
            <w:tcW w:w="3118" w:type="dxa"/>
          </w:tcPr>
          <w:p w14:paraId="59FAD7F9">
            <w:pPr>
              <w:pStyle w:val="7"/>
              <w:spacing w:before="11"/>
              <w:rPr>
                <w:rFonts w:ascii="Times New Roman"/>
                <w:sz w:val="27"/>
              </w:rPr>
            </w:pPr>
          </w:p>
          <w:p w14:paraId="53FAE3B2">
            <w:pPr>
              <w:pStyle w:val="7"/>
              <w:ind w:left="108"/>
              <w:rPr>
                <w:sz w:val="24"/>
              </w:rPr>
            </w:pPr>
            <w:r>
              <w:rPr>
                <w:sz w:val="24"/>
              </w:rPr>
              <w:t>在限期内改正</w:t>
            </w:r>
          </w:p>
        </w:tc>
        <w:tc>
          <w:tcPr>
            <w:tcW w:w="5007" w:type="dxa"/>
          </w:tcPr>
          <w:p w14:paraId="5B43DD5F">
            <w:pPr>
              <w:pStyle w:val="7"/>
              <w:spacing w:before="141" w:line="280" w:lineRule="auto"/>
              <w:ind w:left="108" w:right="-29"/>
              <w:rPr>
                <w:sz w:val="24"/>
              </w:rPr>
            </w:pPr>
            <w:r>
              <w:rPr>
                <w:spacing w:val="-7"/>
                <w:sz w:val="24"/>
              </w:rPr>
              <w:t>《山东省防震减灾条例》</w:t>
            </w:r>
            <w:r>
              <w:rPr>
                <w:sz w:val="24"/>
              </w:rPr>
              <w:t>（1999</w:t>
            </w:r>
            <w:r>
              <w:rPr>
                <w:spacing w:val="-40"/>
                <w:sz w:val="24"/>
              </w:rPr>
              <w:t xml:space="preserve"> 年 </w:t>
            </w:r>
            <w:r>
              <w:rPr>
                <w:sz w:val="24"/>
              </w:rPr>
              <w:t>10</w:t>
            </w:r>
            <w:r>
              <w:rPr>
                <w:spacing w:val="-15"/>
                <w:sz w:val="24"/>
              </w:rPr>
              <w:t xml:space="preserve"> 月通过， </w:t>
            </w:r>
            <w:r>
              <w:rPr>
                <w:sz w:val="24"/>
              </w:rPr>
              <w:t>2010</w:t>
            </w:r>
            <w:r>
              <w:rPr>
                <w:spacing w:val="-40"/>
                <w:sz w:val="24"/>
              </w:rPr>
              <w:t xml:space="preserve"> 年 </w:t>
            </w:r>
            <w:r>
              <w:rPr>
                <w:sz w:val="24"/>
              </w:rPr>
              <w:t>9</w:t>
            </w:r>
            <w:r>
              <w:rPr>
                <w:spacing w:val="-15"/>
                <w:sz w:val="24"/>
              </w:rPr>
              <w:t>月修订</w:t>
            </w:r>
            <w:r>
              <w:rPr>
                <w:sz w:val="24"/>
              </w:rPr>
              <w:t>）第六十六条</w:t>
            </w:r>
          </w:p>
        </w:tc>
      </w:tr>
      <w:tr w14:paraId="1D5E1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858" w:type="dxa"/>
          </w:tcPr>
          <w:p w14:paraId="0A9E40E5">
            <w:pPr>
              <w:pStyle w:val="7"/>
              <w:rPr>
                <w:rFonts w:ascii="Times New Roman"/>
                <w:sz w:val="24"/>
              </w:rPr>
            </w:pPr>
          </w:p>
          <w:p w14:paraId="30B83284">
            <w:pPr>
              <w:pStyle w:val="7"/>
              <w:spacing w:before="9"/>
              <w:rPr>
                <w:rFonts w:ascii="Times New Roman"/>
                <w:sz w:val="18"/>
              </w:rPr>
            </w:pPr>
          </w:p>
          <w:p w14:paraId="4F3AEC84">
            <w:pPr>
              <w:pStyle w:val="7"/>
              <w:ind w:left="87" w:right="80"/>
              <w:jc w:val="center"/>
              <w:rPr>
                <w:rFonts w:hint="eastAsia" w:eastAsia="仿宋_GB2312"/>
                <w:sz w:val="24"/>
                <w:lang w:eastAsia="zh-CN"/>
              </w:rPr>
            </w:pPr>
            <w:r>
              <w:rPr>
                <w:rFonts w:hint="eastAsia"/>
                <w:sz w:val="24"/>
                <w:lang w:val="en-US" w:eastAsia="zh-CN"/>
              </w:rPr>
              <w:t>6</w:t>
            </w:r>
          </w:p>
        </w:tc>
        <w:tc>
          <w:tcPr>
            <w:tcW w:w="5101" w:type="dxa"/>
          </w:tcPr>
          <w:p w14:paraId="0549B6B9">
            <w:pPr>
              <w:pStyle w:val="7"/>
              <w:spacing w:before="146" w:line="264" w:lineRule="auto"/>
              <w:ind w:left="107" w:right="97"/>
              <w:jc w:val="both"/>
              <w:rPr>
                <w:sz w:val="24"/>
              </w:rPr>
            </w:pPr>
            <w:r>
              <w:rPr>
                <w:sz w:val="24"/>
              </w:rPr>
              <w:t>重大建设工程选址前未进行地震活动断层调查或者重大建设工程不依据经审定的地震活动断层调查报告进行选址</w:t>
            </w:r>
          </w:p>
        </w:tc>
        <w:tc>
          <w:tcPr>
            <w:tcW w:w="3118" w:type="dxa"/>
          </w:tcPr>
          <w:p w14:paraId="3F0391E8">
            <w:pPr>
              <w:pStyle w:val="7"/>
              <w:rPr>
                <w:rFonts w:ascii="Times New Roman"/>
                <w:sz w:val="24"/>
              </w:rPr>
            </w:pPr>
          </w:p>
          <w:p w14:paraId="013BC08E">
            <w:pPr>
              <w:pStyle w:val="7"/>
              <w:spacing w:before="9"/>
              <w:rPr>
                <w:rFonts w:ascii="Times New Roman"/>
                <w:sz w:val="18"/>
              </w:rPr>
            </w:pPr>
          </w:p>
          <w:p w14:paraId="0A3C75F8">
            <w:pPr>
              <w:pStyle w:val="7"/>
              <w:ind w:left="108"/>
              <w:rPr>
                <w:sz w:val="24"/>
              </w:rPr>
            </w:pPr>
            <w:r>
              <w:rPr>
                <w:sz w:val="24"/>
              </w:rPr>
              <w:t>在限期内改正</w:t>
            </w:r>
          </w:p>
        </w:tc>
        <w:tc>
          <w:tcPr>
            <w:tcW w:w="5007" w:type="dxa"/>
          </w:tcPr>
          <w:p w14:paraId="4D368A03">
            <w:pPr>
              <w:pStyle w:val="7"/>
              <w:spacing w:before="1"/>
              <w:rPr>
                <w:rFonts w:ascii="Times New Roman"/>
                <w:sz w:val="27"/>
              </w:rPr>
            </w:pPr>
          </w:p>
          <w:p w14:paraId="0E7C221A">
            <w:pPr>
              <w:pStyle w:val="7"/>
              <w:spacing w:line="280" w:lineRule="auto"/>
              <w:ind w:left="108" w:right="52"/>
              <w:rPr>
                <w:sz w:val="24"/>
              </w:rPr>
            </w:pPr>
            <w:r>
              <w:rPr>
                <w:sz w:val="24"/>
              </w:rPr>
              <w:t>《山东省地震活动断层调查管理规定》（2003 年5月通过，省政府令第159号）第十七条</w:t>
            </w:r>
          </w:p>
        </w:tc>
      </w:tr>
    </w:tbl>
    <w:p w14:paraId="6402C398">
      <w:pPr>
        <w:pStyle w:val="2"/>
        <w:spacing w:before="8"/>
        <w:rPr>
          <w:rFonts w:ascii="Times New Roman"/>
          <w:sz w:val="17"/>
        </w:rPr>
      </w:pPr>
    </w:p>
    <w:p w14:paraId="35E8BD07">
      <w:pPr>
        <w:pStyle w:val="2"/>
        <w:spacing w:before="8"/>
        <w:rPr>
          <w:rFonts w:ascii="Times New Roman"/>
          <w:sz w:val="17"/>
        </w:rPr>
      </w:pPr>
    </w:p>
    <w:p w14:paraId="6921A035">
      <w:pPr>
        <w:pStyle w:val="2"/>
        <w:spacing w:before="8"/>
        <w:rPr>
          <w:rFonts w:ascii="Times New Roman"/>
          <w:sz w:val="17"/>
        </w:rPr>
      </w:pPr>
    </w:p>
    <w:p w14:paraId="0FFB5E14">
      <w:pPr>
        <w:pStyle w:val="2"/>
        <w:spacing w:before="8"/>
        <w:rPr>
          <w:rFonts w:ascii="Times New Roman"/>
          <w:sz w:val="17"/>
        </w:rPr>
      </w:pPr>
    </w:p>
    <w:p w14:paraId="35C6DAFE">
      <w:pPr>
        <w:pStyle w:val="2"/>
        <w:spacing w:before="8"/>
        <w:rPr>
          <w:rFonts w:ascii="Times New Roman"/>
          <w:sz w:val="17"/>
        </w:rPr>
      </w:pPr>
    </w:p>
    <w:p w14:paraId="3B103FD5">
      <w:pPr>
        <w:pStyle w:val="2"/>
        <w:spacing w:before="8"/>
        <w:rPr>
          <w:rFonts w:ascii="Times New Roman"/>
          <w:sz w:val="17"/>
        </w:rPr>
      </w:pPr>
    </w:p>
    <w:p w14:paraId="0A9F7739">
      <w:pPr>
        <w:pStyle w:val="2"/>
        <w:spacing w:before="8"/>
        <w:rPr>
          <w:rFonts w:ascii="Times New Roman"/>
          <w:sz w:val="17"/>
        </w:rPr>
      </w:pPr>
    </w:p>
    <w:tbl>
      <w:tblPr>
        <w:tblStyle w:val="3"/>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8"/>
        <w:gridCol w:w="5101"/>
        <w:gridCol w:w="3118"/>
        <w:gridCol w:w="5007"/>
      </w:tblGrid>
      <w:tr w14:paraId="638D3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8" w:type="dxa"/>
          </w:tcPr>
          <w:p w14:paraId="556D3B09">
            <w:pPr>
              <w:pStyle w:val="7"/>
              <w:spacing w:before="72"/>
              <w:ind w:left="87" w:right="81"/>
              <w:jc w:val="center"/>
              <w:rPr>
                <w:rFonts w:hint="eastAsia" w:ascii="黑体" w:eastAsia="黑体"/>
                <w:sz w:val="32"/>
              </w:rPr>
            </w:pPr>
            <w:r>
              <w:rPr>
                <w:rFonts w:hint="eastAsia" w:ascii="黑体" w:eastAsia="黑体"/>
                <w:sz w:val="32"/>
              </w:rPr>
              <w:t>序号</w:t>
            </w:r>
          </w:p>
        </w:tc>
        <w:tc>
          <w:tcPr>
            <w:tcW w:w="5101" w:type="dxa"/>
          </w:tcPr>
          <w:p w14:paraId="73CFC14C">
            <w:pPr>
              <w:pStyle w:val="7"/>
              <w:spacing w:before="72"/>
              <w:ind w:left="1889" w:right="1882"/>
              <w:jc w:val="center"/>
              <w:rPr>
                <w:rFonts w:hint="eastAsia" w:ascii="黑体" w:eastAsia="黑体"/>
                <w:sz w:val="32"/>
              </w:rPr>
            </w:pPr>
            <w:r>
              <w:rPr>
                <w:rFonts w:hint="eastAsia" w:ascii="黑体" w:eastAsia="黑体"/>
                <w:sz w:val="32"/>
              </w:rPr>
              <w:t>违法行为</w:t>
            </w:r>
          </w:p>
        </w:tc>
        <w:tc>
          <w:tcPr>
            <w:tcW w:w="3118" w:type="dxa"/>
          </w:tcPr>
          <w:p w14:paraId="2B692A1B">
            <w:pPr>
              <w:pStyle w:val="7"/>
              <w:spacing w:before="72"/>
              <w:ind w:left="919"/>
              <w:rPr>
                <w:rFonts w:hint="eastAsia" w:ascii="黑体" w:eastAsia="黑体"/>
                <w:sz w:val="32"/>
              </w:rPr>
            </w:pPr>
            <w:r>
              <w:rPr>
                <w:rFonts w:hint="eastAsia" w:ascii="黑体" w:eastAsia="黑体"/>
                <w:sz w:val="32"/>
              </w:rPr>
              <w:t>适用条件</w:t>
            </w:r>
          </w:p>
        </w:tc>
        <w:tc>
          <w:tcPr>
            <w:tcW w:w="5007" w:type="dxa"/>
          </w:tcPr>
          <w:p w14:paraId="69BB155A">
            <w:pPr>
              <w:pStyle w:val="7"/>
              <w:spacing w:before="72"/>
              <w:ind w:left="1842" w:right="1835"/>
              <w:jc w:val="center"/>
              <w:rPr>
                <w:rFonts w:hint="eastAsia" w:ascii="黑体" w:eastAsia="黑体"/>
                <w:sz w:val="32"/>
              </w:rPr>
            </w:pPr>
            <w:r>
              <w:rPr>
                <w:rFonts w:hint="eastAsia" w:ascii="黑体" w:eastAsia="黑体"/>
                <w:sz w:val="32"/>
              </w:rPr>
              <w:t>法定依据</w:t>
            </w:r>
          </w:p>
        </w:tc>
      </w:tr>
      <w:tr w14:paraId="5B261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1" w:hRule="atLeast"/>
        </w:trPr>
        <w:tc>
          <w:tcPr>
            <w:tcW w:w="858" w:type="dxa"/>
          </w:tcPr>
          <w:p w14:paraId="3428F143">
            <w:pPr>
              <w:pStyle w:val="7"/>
              <w:rPr>
                <w:rFonts w:ascii="Times New Roman"/>
                <w:sz w:val="24"/>
              </w:rPr>
            </w:pPr>
          </w:p>
          <w:p w14:paraId="7AF669D0">
            <w:pPr>
              <w:pStyle w:val="7"/>
              <w:rPr>
                <w:rFonts w:ascii="Times New Roman"/>
                <w:sz w:val="24"/>
              </w:rPr>
            </w:pPr>
          </w:p>
          <w:p w14:paraId="24338CF7">
            <w:pPr>
              <w:pStyle w:val="7"/>
              <w:spacing w:before="6"/>
              <w:rPr>
                <w:rFonts w:ascii="Times New Roman"/>
                <w:sz w:val="27"/>
              </w:rPr>
            </w:pPr>
          </w:p>
          <w:p w14:paraId="03142717">
            <w:pPr>
              <w:pStyle w:val="7"/>
              <w:ind w:left="87" w:right="80"/>
              <w:jc w:val="center"/>
              <w:rPr>
                <w:rFonts w:hint="eastAsia" w:eastAsia="仿宋_GB2312"/>
                <w:sz w:val="24"/>
                <w:lang w:eastAsia="zh-CN"/>
              </w:rPr>
            </w:pPr>
            <w:r>
              <w:rPr>
                <w:rFonts w:hint="eastAsia"/>
                <w:sz w:val="24"/>
                <w:lang w:val="en-US" w:eastAsia="zh-CN"/>
              </w:rPr>
              <w:t>7</w:t>
            </w:r>
          </w:p>
        </w:tc>
        <w:tc>
          <w:tcPr>
            <w:tcW w:w="5101" w:type="dxa"/>
          </w:tcPr>
          <w:p w14:paraId="0F95E7A4">
            <w:pPr>
              <w:pStyle w:val="7"/>
              <w:rPr>
                <w:rFonts w:ascii="Times New Roman"/>
                <w:sz w:val="24"/>
              </w:rPr>
            </w:pPr>
          </w:p>
          <w:p w14:paraId="558D0A64">
            <w:pPr>
              <w:pStyle w:val="7"/>
              <w:rPr>
                <w:rFonts w:ascii="Times New Roman"/>
                <w:sz w:val="24"/>
              </w:rPr>
            </w:pPr>
          </w:p>
          <w:p w14:paraId="4CF05660">
            <w:pPr>
              <w:pStyle w:val="7"/>
              <w:spacing w:before="6"/>
              <w:rPr>
                <w:rFonts w:ascii="Times New Roman"/>
                <w:sz w:val="27"/>
              </w:rPr>
            </w:pPr>
          </w:p>
          <w:p w14:paraId="731C6D92">
            <w:pPr>
              <w:pStyle w:val="7"/>
              <w:ind w:left="107"/>
              <w:rPr>
                <w:sz w:val="24"/>
              </w:rPr>
            </w:pPr>
            <w:r>
              <w:rPr>
                <w:sz w:val="24"/>
              </w:rPr>
              <w:t>侵占、毁损、拆除或者擅自移动地震监测设施</w:t>
            </w:r>
          </w:p>
        </w:tc>
        <w:tc>
          <w:tcPr>
            <w:tcW w:w="3118" w:type="dxa"/>
          </w:tcPr>
          <w:p w14:paraId="2760E934">
            <w:pPr>
              <w:pStyle w:val="7"/>
              <w:numPr>
                <w:ilvl w:val="0"/>
                <w:numId w:val="1"/>
              </w:numPr>
              <w:tabs>
                <w:tab w:val="left" w:pos="350"/>
              </w:tabs>
              <w:spacing w:before="199" w:after="0" w:line="256" w:lineRule="auto"/>
              <w:ind w:left="108" w:right="95" w:firstLine="0"/>
              <w:jc w:val="both"/>
              <w:rPr>
                <w:sz w:val="24"/>
              </w:rPr>
            </w:pPr>
            <w:r>
              <w:rPr>
                <w:spacing w:val="-1"/>
                <w:sz w:val="24"/>
              </w:rPr>
              <w:t>停止违法行为，限期内恢</w:t>
            </w:r>
            <w:r>
              <w:rPr>
                <w:spacing w:val="-2"/>
                <w:sz w:val="24"/>
              </w:rPr>
              <w:t>复原状或者采取其他补救措</w:t>
            </w:r>
            <w:r>
              <w:rPr>
                <w:sz w:val="24"/>
              </w:rPr>
              <w:t>施；</w:t>
            </w:r>
          </w:p>
          <w:p w14:paraId="06F45503">
            <w:pPr>
              <w:pStyle w:val="7"/>
              <w:numPr>
                <w:ilvl w:val="0"/>
                <w:numId w:val="1"/>
              </w:numPr>
              <w:tabs>
                <w:tab w:val="left" w:pos="350"/>
              </w:tabs>
              <w:spacing w:before="2" w:after="0" w:line="259" w:lineRule="auto"/>
              <w:ind w:left="108" w:right="98" w:firstLine="0"/>
              <w:jc w:val="left"/>
              <w:rPr>
                <w:sz w:val="24"/>
              </w:rPr>
            </w:pPr>
            <w:r>
              <w:rPr>
                <w:spacing w:val="-2"/>
                <w:sz w:val="24"/>
              </w:rPr>
              <w:t>违法情节轻微，未造成危</w:t>
            </w:r>
            <w:r>
              <w:rPr>
                <w:sz w:val="24"/>
              </w:rPr>
              <w:t>害后果</w:t>
            </w:r>
          </w:p>
        </w:tc>
        <w:tc>
          <w:tcPr>
            <w:tcW w:w="5007" w:type="dxa"/>
          </w:tcPr>
          <w:p w14:paraId="3684A604">
            <w:pPr>
              <w:pStyle w:val="7"/>
              <w:spacing w:before="1" w:line="280" w:lineRule="auto"/>
              <w:ind w:left="108" w:right="96"/>
              <w:rPr>
                <w:sz w:val="24"/>
              </w:rPr>
            </w:pPr>
            <w:r>
              <w:rPr>
                <w:spacing w:val="-3"/>
                <w:sz w:val="24"/>
              </w:rPr>
              <w:t>1</w:t>
            </w:r>
            <w:r>
              <w:rPr>
                <w:spacing w:val="-11"/>
                <w:sz w:val="24"/>
              </w:rPr>
              <w:t>.《中华人民共和国防震减灾法》</w:t>
            </w:r>
            <w:r>
              <w:rPr>
                <w:sz w:val="24"/>
              </w:rPr>
              <w:t>（1997</w:t>
            </w:r>
            <w:r>
              <w:rPr>
                <w:spacing w:val="-40"/>
                <w:sz w:val="24"/>
              </w:rPr>
              <w:t xml:space="preserve"> 年 </w:t>
            </w:r>
            <w:r>
              <w:rPr>
                <w:spacing w:val="-9"/>
                <w:sz w:val="24"/>
              </w:rPr>
              <w:t xml:space="preserve">12 </w:t>
            </w:r>
            <w:r>
              <w:rPr>
                <w:sz w:val="24"/>
              </w:rPr>
              <w:t>月通过，2008</w:t>
            </w:r>
            <w:r>
              <w:rPr>
                <w:spacing w:val="-29"/>
                <w:sz w:val="24"/>
              </w:rPr>
              <w:t>年</w:t>
            </w:r>
            <w:r>
              <w:rPr>
                <w:sz w:val="24"/>
              </w:rPr>
              <w:t>12</w:t>
            </w:r>
            <w:r>
              <w:rPr>
                <w:spacing w:val="-11"/>
                <w:sz w:val="24"/>
              </w:rPr>
              <w:t>月修订</w:t>
            </w:r>
            <w:r>
              <w:rPr>
                <w:sz w:val="24"/>
              </w:rPr>
              <w:t>）第八十四条；</w:t>
            </w:r>
          </w:p>
          <w:p w14:paraId="2F43B69A">
            <w:pPr>
              <w:pStyle w:val="7"/>
              <w:spacing w:before="1" w:line="280" w:lineRule="auto"/>
              <w:ind w:left="108" w:right="96"/>
              <w:rPr>
                <w:sz w:val="24"/>
              </w:rPr>
            </w:pPr>
            <w:r>
              <w:rPr>
                <w:sz w:val="24"/>
              </w:rPr>
              <w:t>2</w:t>
            </w:r>
            <w:r>
              <w:rPr>
                <w:spacing w:val="-4"/>
                <w:sz w:val="24"/>
              </w:rPr>
              <w:t>.《中华人民共和国行政处罚法》</w:t>
            </w:r>
            <w:r>
              <w:rPr>
                <w:sz w:val="24"/>
              </w:rPr>
              <w:t>（1996</w:t>
            </w:r>
            <w:r>
              <w:rPr>
                <w:spacing w:val="-33"/>
                <w:sz w:val="24"/>
              </w:rPr>
              <w:t xml:space="preserve"> 年 </w:t>
            </w:r>
            <w:r>
              <w:rPr>
                <w:sz w:val="24"/>
              </w:rPr>
              <w:t>3 月通过，2021</w:t>
            </w:r>
            <w:r>
              <w:rPr>
                <w:spacing w:val="-40"/>
                <w:sz w:val="24"/>
              </w:rPr>
              <w:t>年</w:t>
            </w:r>
            <w:r>
              <w:rPr>
                <w:sz w:val="24"/>
              </w:rPr>
              <w:t>1</w:t>
            </w:r>
            <w:r>
              <w:rPr>
                <w:spacing w:val="-15"/>
                <w:sz w:val="24"/>
              </w:rPr>
              <w:t>月修订</w:t>
            </w:r>
            <w:r>
              <w:rPr>
                <w:sz w:val="24"/>
              </w:rPr>
              <w:t>）第三十三条</w:t>
            </w:r>
          </w:p>
        </w:tc>
      </w:tr>
      <w:tr w14:paraId="1CB0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6" w:hRule="atLeast"/>
        </w:trPr>
        <w:tc>
          <w:tcPr>
            <w:tcW w:w="858" w:type="dxa"/>
          </w:tcPr>
          <w:p w14:paraId="21A8C8D6">
            <w:pPr>
              <w:pStyle w:val="7"/>
              <w:rPr>
                <w:rFonts w:ascii="Times New Roman"/>
                <w:sz w:val="24"/>
              </w:rPr>
            </w:pPr>
          </w:p>
          <w:p w14:paraId="27E00F7F">
            <w:pPr>
              <w:pStyle w:val="7"/>
              <w:rPr>
                <w:rFonts w:ascii="Times New Roman"/>
                <w:sz w:val="24"/>
              </w:rPr>
            </w:pPr>
          </w:p>
          <w:p w14:paraId="42D27995">
            <w:pPr>
              <w:pStyle w:val="7"/>
              <w:spacing w:before="6"/>
              <w:rPr>
                <w:rFonts w:ascii="Times New Roman"/>
                <w:sz w:val="22"/>
              </w:rPr>
            </w:pPr>
          </w:p>
          <w:p w14:paraId="6347228E">
            <w:pPr>
              <w:pStyle w:val="7"/>
              <w:ind w:left="87" w:right="80"/>
              <w:jc w:val="center"/>
              <w:rPr>
                <w:sz w:val="24"/>
              </w:rPr>
            </w:pPr>
            <w:r>
              <w:rPr>
                <w:rFonts w:hint="eastAsia"/>
                <w:sz w:val="24"/>
                <w:lang w:val="en-US" w:eastAsia="zh-CN"/>
              </w:rPr>
              <w:t>8</w:t>
            </w:r>
          </w:p>
        </w:tc>
        <w:tc>
          <w:tcPr>
            <w:tcW w:w="5101" w:type="dxa"/>
          </w:tcPr>
          <w:p w14:paraId="0E22C617">
            <w:pPr>
              <w:pStyle w:val="7"/>
              <w:rPr>
                <w:rFonts w:ascii="Times New Roman"/>
                <w:sz w:val="24"/>
              </w:rPr>
            </w:pPr>
          </w:p>
          <w:p w14:paraId="4313BB65">
            <w:pPr>
              <w:pStyle w:val="7"/>
              <w:rPr>
                <w:rFonts w:ascii="Times New Roman"/>
                <w:sz w:val="24"/>
              </w:rPr>
            </w:pPr>
          </w:p>
          <w:p w14:paraId="328AC67F">
            <w:pPr>
              <w:pStyle w:val="7"/>
              <w:spacing w:before="6"/>
              <w:rPr>
                <w:rFonts w:ascii="Times New Roman"/>
                <w:sz w:val="22"/>
              </w:rPr>
            </w:pPr>
          </w:p>
          <w:p w14:paraId="076E3CD3">
            <w:pPr>
              <w:pStyle w:val="7"/>
              <w:ind w:left="107"/>
              <w:rPr>
                <w:sz w:val="24"/>
              </w:rPr>
            </w:pPr>
            <w:r>
              <w:rPr>
                <w:sz w:val="24"/>
              </w:rPr>
              <w:t>危害地震观测环境</w:t>
            </w:r>
          </w:p>
        </w:tc>
        <w:tc>
          <w:tcPr>
            <w:tcW w:w="3118" w:type="dxa"/>
          </w:tcPr>
          <w:p w14:paraId="6F93787A">
            <w:pPr>
              <w:pStyle w:val="7"/>
              <w:numPr>
                <w:ilvl w:val="0"/>
                <w:numId w:val="2"/>
              </w:numPr>
              <w:tabs>
                <w:tab w:val="left" w:pos="350"/>
              </w:tabs>
              <w:spacing w:before="0" w:after="0" w:line="264" w:lineRule="auto"/>
              <w:ind w:left="108" w:right="95" w:firstLine="0"/>
              <w:jc w:val="both"/>
              <w:rPr>
                <w:sz w:val="24"/>
              </w:rPr>
            </w:pPr>
            <w:r>
              <w:rPr>
                <w:spacing w:val="-1"/>
                <w:sz w:val="24"/>
              </w:rPr>
              <w:t>停止违法行为，限期内恢</w:t>
            </w:r>
            <w:r>
              <w:rPr>
                <w:spacing w:val="-2"/>
                <w:sz w:val="24"/>
              </w:rPr>
              <w:t>复原状或者采取其他补救措</w:t>
            </w:r>
            <w:r>
              <w:rPr>
                <w:sz w:val="24"/>
              </w:rPr>
              <w:t>施；</w:t>
            </w:r>
          </w:p>
          <w:p w14:paraId="634B2A4F">
            <w:pPr>
              <w:pStyle w:val="7"/>
              <w:numPr>
                <w:ilvl w:val="0"/>
                <w:numId w:val="2"/>
              </w:numPr>
              <w:tabs>
                <w:tab w:val="left" w:pos="350"/>
              </w:tabs>
              <w:spacing w:before="5" w:after="0" w:line="264" w:lineRule="auto"/>
              <w:ind w:left="108" w:right="98" w:firstLine="0"/>
              <w:jc w:val="left"/>
              <w:rPr>
                <w:sz w:val="24"/>
              </w:rPr>
            </w:pPr>
            <w:r>
              <w:rPr>
                <w:spacing w:val="-2"/>
                <w:sz w:val="24"/>
              </w:rPr>
              <w:t>违法情节轻微，未造成危</w:t>
            </w:r>
            <w:r>
              <w:rPr>
                <w:sz w:val="24"/>
              </w:rPr>
              <w:t>害后果</w:t>
            </w:r>
          </w:p>
        </w:tc>
        <w:tc>
          <w:tcPr>
            <w:tcW w:w="5007" w:type="dxa"/>
          </w:tcPr>
          <w:p w14:paraId="54E8AD44">
            <w:pPr>
              <w:pStyle w:val="7"/>
              <w:spacing w:line="280" w:lineRule="auto"/>
              <w:ind w:left="108" w:right="96"/>
              <w:rPr>
                <w:sz w:val="24"/>
              </w:rPr>
            </w:pPr>
            <w:r>
              <w:rPr>
                <w:spacing w:val="-3"/>
                <w:sz w:val="24"/>
              </w:rPr>
              <w:t>1</w:t>
            </w:r>
            <w:r>
              <w:rPr>
                <w:spacing w:val="-11"/>
                <w:sz w:val="24"/>
              </w:rPr>
              <w:t>.《中华人民共和国防震减灾法》</w:t>
            </w:r>
            <w:r>
              <w:rPr>
                <w:sz w:val="24"/>
              </w:rPr>
              <w:t>（1997</w:t>
            </w:r>
            <w:r>
              <w:rPr>
                <w:spacing w:val="-40"/>
                <w:sz w:val="24"/>
              </w:rPr>
              <w:t>年</w:t>
            </w:r>
            <w:r>
              <w:rPr>
                <w:spacing w:val="-9"/>
                <w:sz w:val="24"/>
              </w:rPr>
              <w:t xml:space="preserve">12 </w:t>
            </w:r>
            <w:r>
              <w:rPr>
                <w:sz w:val="24"/>
              </w:rPr>
              <w:t>月通过，2008</w:t>
            </w:r>
            <w:r>
              <w:rPr>
                <w:spacing w:val="-29"/>
                <w:sz w:val="24"/>
              </w:rPr>
              <w:t>年</w:t>
            </w:r>
            <w:r>
              <w:rPr>
                <w:sz w:val="24"/>
              </w:rPr>
              <w:t>12</w:t>
            </w:r>
            <w:r>
              <w:rPr>
                <w:spacing w:val="-11"/>
                <w:sz w:val="24"/>
              </w:rPr>
              <w:t>月修订</w:t>
            </w:r>
            <w:r>
              <w:rPr>
                <w:sz w:val="24"/>
              </w:rPr>
              <w:t>）第八十四条；</w:t>
            </w:r>
          </w:p>
          <w:p w14:paraId="38434D65">
            <w:pPr>
              <w:pStyle w:val="7"/>
              <w:spacing w:line="280" w:lineRule="auto"/>
              <w:ind w:left="108" w:right="96"/>
              <w:rPr>
                <w:sz w:val="24"/>
              </w:rPr>
            </w:pPr>
            <w:r>
              <w:rPr>
                <w:sz w:val="24"/>
              </w:rPr>
              <w:t>2</w:t>
            </w:r>
            <w:r>
              <w:rPr>
                <w:spacing w:val="-4"/>
                <w:sz w:val="24"/>
              </w:rPr>
              <w:t>.《中华人民共和国行政处罚法》</w:t>
            </w:r>
            <w:r>
              <w:rPr>
                <w:sz w:val="24"/>
              </w:rPr>
              <w:t>（1996</w:t>
            </w:r>
            <w:r>
              <w:rPr>
                <w:spacing w:val="-33"/>
                <w:sz w:val="24"/>
              </w:rPr>
              <w:t xml:space="preserve"> 年 </w:t>
            </w:r>
            <w:r>
              <w:rPr>
                <w:sz w:val="24"/>
              </w:rPr>
              <w:t>3 月通过，2021</w:t>
            </w:r>
            <w:r>
              <w:rPr>
                <w:spacing w:val="-40"/>
                <w:sz w:val="24"/>
              </w:rPr>
              <w:t>年</w:t>
            </w:r>
            <w:r>
              <w:rPr>
                <w:sz w:val="24"/>
              </w:rPr>
              <w:t>1</w:t>
            </w:r>
            <w:r>
              <w:rPr>
                <w:spacing w:val="-15"/>
                <w:sz w:val="24"/>
              </w:rPr>
              <w:t>月修订</w:t>
            </w:r>
            <w:r>
              <w:rPr>
                <w:sz w:val="24"/>
              </w:rPr>
              <w:t>）第三十三条</w:t>
            </w:r>
          </w:p>
        </w:tc>
      </w:tr>
      <w:tr w14:paraId="5B10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0" w:hRule="atLeast"/>
        </w:trPr>
        <w:tc>
          <w:tcPr>
            <w:tcW w:w="858" w:type="dxa"/>
            <w:vAlign w:val="center"/>
          </w:tcPr>
          <w:p w14:paraId="50B7F94A">
            <w:pPr>
              <w:pStyle w:val="7"/>
              <w:ind w:left="87" w:right="80"/>
              <w:jc w:val="center"/>
              <w:rPr>
                <w:rFonts w:hint="eastAsia" w:eastAsia="仿宋_GB2312"/>
                <w:sz w:val="24"/>
                <w:lang w:val="en-US" w:eastAsia="zh-CN"/>
              </w:rPr>
            </w:pPr>
            <w:r>
              <w:rPr>
                <w:rFonts w:hint="eastAsia"/>
                <w:sz w:val="24"/>
                <w:lang w:val="en-US" w:eastAsia="zh-CN"/>
              </w:rPr>
              <w:t>9</w:t>
            </w:r>
          </w:p>
        </w:tc>
        <w:tc>
          <w:tcPr>
            <w:tcW w:w="5101" w:type="dxa"/>
            <w:vAlign w:val="center"/>
          </w:tcPr>
          <w:p w14:paraId="6595B9AB">
            <w:pPr>
              <w:pStyle w:val="7"/>
              <w:ind w:left="107"/>
              <w:jc w:val="both"/>
              <w:rPr>
                <w:sz w:val="24"/>
                <w:szCs w:val="24"/>
              </w:rPr>
            </w:pPr>
            <w:r>
              <w:rPr>
                <w:sz w:val="24"/>
                <w:szCs w:val="24"/>
              </w:rPr>
              <w:t>在地震观测环境保护范围内擅自新建、改建、扩建建设工程项目</w:t>
            </w:r>
          </w:p>
        </w:tc>
        <w:tc>
          <w:tcPr>
            <w:tcW w:w="3118" w:type="dxa"/>
            <w:vAlign w:val="center"/>
          </w:tcPr>
          <w:p w14:paraId="6E0E6375">
            <w:pPr>
              <w:keepNext w:val="0"/>
              <w:keepLines w:val="0"/>
              <w:pageBreakBefore w:val="0"/>
              <w:widowControl w:val="0"/>
              <w:kinsoku/>
              <w:wordWrap/>
              <w:overflowPunct/>
              <w:topLinePunct w:val="0"/>
              <w:autoSpaceDE w:val="0"/>
              <w:autoSpaceDN w:val="0"/>
              <w:bidi w:val="0"/>
              <w:adjustRightInd/>
              <w:snapToGrid/>
              <w:spacing w:line="420" w:lineRule="exact"/>
              <w:jc w:val="both"/>
              <w:textAlignment w:val="auto"/>
              <w:rPr>
                <w:rFonts w:hint="eastAsia"/>
                <w:sz w:val="24"/>
                <w:szCs w:val="24"/>
                <w:lang w:eastAsia="zh-CN"/>
              </w:rPr>
            </w:pPr>
            <w:r>
              <w:rPr>
                <w:rFonts w:hint="eastAsia"/>
                <w:sz w:val="24"/>
                <w:szCs w:val="24"/>
                <w:lang w:eastAsia="zh-CN"/>
              </w:rPr>
              <w:t>1.对地震监测设施与地震观测环境未造成影响，在规定期限内补办相关手续；或者对地震监测设施与地震观测环境造成轻微影响，并在规定期限内自动拆除；</w:t>
            </w:r>
          </w:p>
          <w:p w14:paraId="1C6AA56A">
            <w:pPr>
              <w:keepNext w:val="0"/>
              <w:keepLines w:val="0"/>
              <w:pageBreakBefore w:val="0"/>
              <w:widowControl w:val="0"/>
              <w:kinsoku/>
              <w:wordWrap/>
              <w:overflowPunct/>
              <w:topLinePunct w:val="0"/>
              <w:autoSpaceDE w:val="0"/>
              <w:autoSpaceDN w:val="0"/>
              <w:bidi w:val="0"/>
              <w:adjustRightInd/>
              <w:snapToGrid/>
              <w:spacing w:line="420" w:lineRule="exact"/>
              <w:jc w:val="both"/>
              <w:textAlignment w:val="auto"/>
              <w:rPr>
                <w:rFonts w:hint="eastAsia"/>
                <w:sz w:val="24"/>
                <w:szCs w:val="24"/>
                <w:lang w:eastAsia="zh-CN"/>
              </w:rPr>
            </w:pPr>
            <w:r>
              <w:rPr>
                <w:rFonts w:hint="eastAsia"/>
                <w:sz w:val="24"/>
                <w:szCs w:val="24"/>
                <w:lang w:eastAsia="zh-CN"/>
              </w:rPr>
              <w:t>2.违法情节轻微，未造成危</w:t>
            </w:r>
          </w:p>
          <w:p w14:paraId="46CBB368">
            <w:pPr>
              <w:keepNext w:val="0"/>
              <w:keepLines w:val="0"/>
              <w:pageBreakBefore w:val="0"/>
              <w:widowControl w:val="0"/>
              <w:kinsoku/>
              <w:wordWrap/>
              <w:overflowPunct/>
              <w:topLinePunct w:val="0"/>
              <w:autoSpaceDE w:val="0"/>
              <w:autoSpaceDN w:val="0"/>
              <w:bidi w:val="0"/>
              <w:adjustRightInd/>
              <w:snapToGrid/>
              <w:spacing w:line="420" w:lineRule="exact"/>
              <w:jc w:val="both"/>
              <w:textAlignment w:val="auto"/>
              <w:rPr>
                <w:rFonts w:hint="eastAsia" w:eastAsia="仿宋_GB2312"/>
                <w:sz w:val="24"/>
                <w:szCs w:val="24"/>
                <w:lang w:eastAsia="zh-CN"/>
              </w:rPr>
            </w:pPr>
            <w:r>
              <w:rPr>
                <w:rFonts w:hint="eastAsia"/>
                <w:sz w:val="24"/>
                <w:szCs w:val="24"/>
                <w:lang w:eastAsia="zh-CN"/>
              </w:rPr>
              <w:t>害后果</w:t>
            </w:r>
          </w:p>
        </w:tc>
        <w:tc>
          <w:tcPr>
            <w:tcW w:w="5007" w:type="dxa"/>
          </w:tcPr>
          <w:p w14:paraId="3A46A003">
            <w:pPr>
              <w:pStyle w:val="7"/>
              <w:numPr>
                <w:ilvl w:val="0"/>
                <w:numId w:val="3"/>
              </w:numPr>
              <w:tabs>
                <w:tab w:val="left" w:pos="350"/>
              </w:tabs>
              <w:spacing w:before="205" w:after="0" w:line="280" w:lineRule="auto"/>
              <w:ind w:left="108" w:right="96" w:firstLine="0"/>
              <w:jc w:val="both"/>
              <w:rPr>
                <w:sz w:val="24"/>
              </w:rPr>
            </w:pPr>
            <w:r>
              <w:rPr>
                <w:spacing w:val="-1"/>
                <w:sz w:val="24"/>
              </w:rPr>
              <w:t>《山东省地震监测设施与地震观测环境保护</w:t>
            </w:r>
            <w:r>
              <w:rPr>
                <w:spacing w:val="-40"/>
                <w:sz w:val="24"/>
              </w:rPr>
              <w:t>条例》</w:t>
            </w:r>
            <w:r>
              <w:rPr>
                <w:sz w:val="24"/>
              </w:rPr>
              <w:t>（2008</w:t>
            </w:r>
            <w:r>
              <w:rPr>
                <w:spacing w:val="-35"/>
                <w:sz w:val="24"/>
              </w:rPr>
              <w:t xml:space="preserve">年 </w:t>
            </w:r>
            <w:r>
              <w:rPr>
                <w:sz w:val="24"/>
              </w:rPr>
              <w:t>5</w:t>
            </w:r>
            <w:r>
              <w:rPr>
                <w:spacing w:val="-11"/>
                <w:sz w:val="24"/>
              </w:rPr>
              <w:t>月通过</w:t>
            </w:r>
            <w:r>
              <w:rPr>
                <w:sz w:val="24"/>
              </w:rPr>
              <w:t>）第十五条、第二十四条；</w:t>
            </w:r>
          </w:p>
          <w:p w14:paraId="11EC6840">
            <w:pPr>
              <w:pStyle w:val="7"/>
              <w:spacing w:line="280" w:lineRule="auto"/>
              <w:ind w:left="108" w:right="96"/>
              <w:rPr>
                <w:spacing w:val="-3"/>
                <w:sz w:val="24"/>
              </w:rPr>
            </w:pPr>
            <w:r>
              <w:rPr>
                <w:rFonts w:hint="eastAsia"/>
                <w:spacing w:val="-5"/>
                <w:sz w:val="24"/>
                <w:lang w:val="en-US" w:eastAsia="zh-CN"/>
              </w:rPr>
              <w:t>2.</w:t>
            </w:r>
            <w:r>
              <w:rPr>
                <w:spacing w:val="-5"/>
                <w:sz w:val="24"/>
              </w:rPr>
              <w:t>《中华人民共和国行政处罚法》</w:t>
            </w:r>
            <w:r>
              <w:rPr>
                <w:sz w:val="24"/>
              </w:rPr>
              <w:t>（1996</w:t>
            </w:r>
            <w:r>
              <w:rPr>
                <w:spacing w:val="-35"/>
                <w:sz w:val="24"/>
              </w:rPr>
              <w:t xml:space="preserve"> 年</w:t>
            </w:r>
            <w:r>
              <w:rPr>
                <w:sz w:val="24"/>
              </w:rPr>
              <w:t>3 月通过，2021</w:t>
            </w:r>
            <w:r>
              <w:rPr>
                <w:spacing w:val="-40"/>
                <w:sz w:val="24"/>
              </w:rPr>
              <w:t xml:space="preserve">年 </w:t>
            </w:r>
            <w:r>
              <w:rPr>
                <w:sz w:val="24"/>
              </w:rPr>
              <w:t>1</w:t>
            </w:r>
            <w:r>
              <w:rPr>
                <w:spacing w:val="-15"/>
                <w:sz w:val="24"/>
              </w:rPr>
              <w:t>月修订</w:t>
            </w:r>
            <w:r>
              <w:rPr>
                <w:sz w:val="24"/>
              </w:rPr>
              <w:t>）第三十三条</w:t>
            </w:r>
          </w:p>
        </w:tc>
      </w:tr>
      <w:tr w14:paraId="2B867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4B3B3FD6">
            <w:pPr>
              <w:pStyle w:val="7"/>
              <w:ind w:left="87" w:right="80"/>
              <w:jc w:val="center"/>
              <w:rPr>
                <w:rFonts w:hint="default" w:eastAsia="仿宋_GB2312"/>
                <w:sz w:val="24"/>
                <w:lang w:val="en-US" w:eastAsia="zh-CN"/>
              </w:rPr>
            </w:pPr>
            <w:r>
              <w:rPr>
                <w:rFonts w:hint="eastAsia"/>
                <w:sz w:val="24"/>
                <w:lang w:val="en-US" w:eastAsia="zh-CN"/>
              </w:rPr>
              <w:t>10</w:t>
            </w:r>
          </w:p>
        </w:tc>
        <w:tc>
          <w:tcPr>
            <w:tcW w:w="5101" w:type="dxa"/>
            <w:vAlign w:val="center"/>
          </w:tcPr>
          <w:p w14:paraId="0D9AA379">
            <w:pPr>
              <w:pStyle w:val="7"/>
              <w:ind w:left="107"/>
              <w:jc w:val="left"/>
              <w:rPr>
                <w:sz w:val="24"/>
              </w:rPr>
            </w:pPr>
            <w:r>
              <w:rPr>
                <w:sz w:val="24"/>
              </w:rPr>
              <w:t>破坏典型地震遗址、遗迹</w:t>
            </w:r>
          </w:p>
        </w:tc>
        <w:tc>
          <w:tcPr>
            <w:tcW w:w="3118" w:type="dxa"/>
          </w:tcPr>
          <w:p w14:paraId="2286317F">
            <w:pPr>
              <w:pStyle w:val="7"/>
              <w:numPr>
                <w:ilvl w:val="0"/>
                <w:numId w:val="0"/>
              </w:numPr>
              <w:tabs>
                <w:tab w:val="left" w:pos="350"/>
              </w:tabs>
              <w:spacing w:before="5" w:after="0" w:line="264" w:lineRule="auto"/>
              <w:ind w:left="108" w:leftChars="0" w:right="98" w:rightChars="0"/>
              <w:jc w:val="left"/>
              <w:rPr>
                <w:rFonts w:hint="eastAsia"/>
                <w:spacing w:val="-2"/>
                <w:sz w:val="24"/>
              </w:rPr>
            </w:pPr>
            <w:r>
              <w:rPr>
                <w:rFonts w:hint="eastAsia"/>
                <w:spacing w:val="-2"/>
                <w:sz w:val="24"/>
              </w:rPr>
              <w:t>1.停止违法行为，限期内恢复原状或者采取其他补救措</w:t>
            </w:r>
          </w:p>
          <w:p w14:paraId="7C11728C">
            <w:pPr>
              <w:pStyle w:val="7"/>
              <w:numPr>
                <w:ilvl w:val="0"/>
                <w:numId w:val="0"/>
              </w:numPr>
              <w:tabs>
                <w:tab w:val="left" w:pos="350"/>
              </w:tabs>
              <w:spacing w:before="5" w:after="0" w:line="264" w:lineRule="auto"/>
              <w:ind w:left="108" w:leftChars="0" w:right="98" w:rightChars="0"/>
              <w:jc w:val="left"/>
              <w:rPr>
                <w:rFonts w:hint="eastAsia"/>
                <w:spacing w:val="-2"/>
                <w:sz w:val="24"/>
              </w:rPr>
            </w:pPr>
            <w:r>
              <w:rPr>
                <w:rFonts w:hint="eastAsia"/>
                <w:spacing w:val="-2"/>
                <w:sz w:val="24"/>
              </w:rPr>
              <w:t>施；</w:t>
            </w:r>
          </w:p>
          <w:p w14:paraId="1EA837B8">
            <w:pPr>
              <w:pStyle w:val="7"/>
              <w:numPr>
                <w:ilvl w:val="0"/>
                <w:numId w:val="0"/>
              </w:numPr>
              <w:tabs>
                <w:tab w:val="left" w:pos="350"/>
              </w:tabs>
              <w:spacing w:before="5" w:after="0" w:line="264" w:lineRule="auto"/>
              <w:ind w:left="108" w:leftChars="0" w:right="98" w:rightChars="0"/>
              <w:jc w:val="left"/>
              <w:rPr>
                <w:spacing w:val="-2"/>
                <w:sz w:val="24"/>
              </w:rPr>
            </w:pPr>
            <w:r>
              <w:rPr>
                <w:rFonts w:hint="eastAsia"/>
                <w:spacing w:val="-2"/>
                <w:sz w:val="24"/>
              </w:rPr>
              <w:t>2.违法情节轻微，未造成危害后果</w:t>
            </w:r>
          </w:p>
        </w:tc>
        <w:tc>
          <w:tcPr>
            <w:tcW w:w="5007" w:type="dxa"/>
          </w:tcPr>
          <w:p w14:paraId="64924F09">
            <w:pPr>
              <w:pStyle w:val="7"/>
              <w:spacing w:before="212"/>
              <w:ind w:left="108"/>
              <w:rPr>
                <w:sz w:val="24"/>
              </w:rPr>
            </w:pPr>
            <w:r>
              <w:rPr>
                <w:spacing w:val="4"/>
                <w:sz w:val="24"/>
              </w:rPr>
              <w:t>1</w:t>
            </w:r>
            <w:r>
              <w:rPr>
                <w:spacing w:val="8"/>
                <w:sz w:val="24"/>
              </w:rPr>
              <w:t>.《中华人民共和国防震减灾法》</w:t>
            </w:r>
            <w:r>
              <w:rPr>
                <w:sz w:val="24"/>
              </w:rPr>
              <w:t>（1997</w:t>
            </w:r>
            <w:r>
              <w:rPr>
                <w:spacing w:val="-20"/>
                <w:sz w:val="24"/>
              </w:rPr>
              <w:t>年</w:t>
            </w:r>
          </w:p>
          <w:p w14:paraId="37DC2E5F">
            <w:pPr>
              <w:pStyle w:val="7"/>
              <w:spacing w:before="53"/>
              <w:ind w:left="108"/>
              <w:rPr>
                <w:sz w:val="24"/>
              </w:rPr>
            </w:pPr>
            <w:r>
              <w:rPr>
                <w:sz w:val="24"/>
              </w:rPr>
              <w:t>12</w:t>
            </w:r>
            <w:r>
              <w:rPr>
                <w:spacing w:val="-15"/>
                <w:sz w:val="24"/>
              </w:rPr>
              <w:t>月通过</w:t>
            </w:r>
            <w:r>
              <w:rPr>
                <w:sz w:val="24"/>
              </w:rPr>
              <w:t>，2008</w:t>
            </w:r>
            <w:r>
              <w:rPr>
                <w:spacing w:val="-40"/>
                <w:sz w:val="24"/>
              </w:rPr>
              <w:t>年</w:t>
            </w:r>
            <w:r>
              <w:rPr>
                <w:sz w:val="24"/>
              </w:rPr>
              <w:t>12</w:t>
            </w:r>
            <w:r>
              <w:rPr>
                <w:spacing w:val="-15"/>
                <w:sz w:val="24"/>
              </w:rPr>
              <w:t>月修订</w:t>
            </w:r>
            <w:r>
              <w:rPr>
                <w:sz w:val="24"/>
              </w:rPr>
              <w:t>）第八十四条；</w:t>
            </w:r>
          </w:p>
          <w:p w14:paraId="76C0497D">
            <w:pPr>
              <w:pStyle w:val="7"/>
              <w:spacing w:line="280" w:lineRule="auto"/>
              <w:ind w:left="108" w:right="96"/>
              <w:rPr>
                <w:spacing w:val="-3"/>
                <w:sz w:val="24"/>
              </w:rPr>
            </w:pPr>
            <w:r>
              <w:rPr>
                <w:sz w:val="24"/>
              </w:rPr>
              <w:t>2</w:t>
            </w:r>
            <w:r>
              <w:rPr>
                <w:spacing w:val="-1"/>
                <w:sz w:val="24"/>
              </w:rPr>
              <w:t>.《中华人民共和国行政处罚法》</w:t>
            </w:r>
            <w:r>
              <w:rPr>
                <w:sz w:val="24"/>
              </w:rPr>
              <w:t>（1996</w:t>
            </w:r>
            <w:r>
              <w:rPr>
                <w:spacing w:val="-41"/>
                <w:sz w:val="24"/>
              </w:rPr>
              <w:t>年</w:t>
            </w:r>
            <w:r>
              <w:rPr>
                <w:spacing w:val="-16"/>
                <w:sz w:val="24"/>
              </w:rPr>
              <w:t>3</w:t>
            </w:r>
            <w:r>
              <w:rPr>
                <w:sz w:val="24"/>
              </w:rPr>
              <w:t>月通过，2021</w:t>
            </w:r>
            <w:r>
              <w:rPr>
                <w:spacing w:val="-40"/>
                <w:sz w:val="24"/>
              </w:rPr>
              <w:t xml:space="preserve">年 </w:t>
            </w:r>
            <w:r>
              <w:rPr>
                <w:sz w:val="24"/>
              </w:rPr>
              <w:t>1</w:t>
            </w:r>
            <w:r>
              <w:rPr>
                <w:spacing w:val="-15"/>
                <w:sz w:val="24"/>
              </w:rPr>
              <w:t>月修订</w:t>
            </w:r>
            <w:r>
              <w:rPr>
                <w:sz w:val="24"/>
              </w:rPr>
              <w:t>）第三十三条</w:t>
            </w:r>
          </w:p>
        </w:tc>
      </w:tr>
      <w:tr w14:paraId="6651E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14084" w:type="dxa"/>
            <w:gridSpan w:val="4"/>
            <w:vAlign w:val="center"/>
          </w:tcPr>
          <w:p w14:paraId="529CDB91">
            <w:pPr>
              <w:pStyle w:val="7"/>
              <w:spacing w:line="280" w:lineRule="auto"/>
              <w:ind w:left="108" w:right="96"/>
              <w:jc w:val="center"/>
              <w:rPr>
                <w:rFonts w:hint="default"/>
                <w:sz w:val="24"/>
                <w:lang w:val="en-US" w:eastAsia="zh-CN"/>
              </w:rPr>
            </w:pPr>
            <w:r>
              <w:rPr>
                <w:rFonts w:hint="eastAsia" w:ascii="黑体" w:hAnsi="宋体" w:eastAsia="黑体" w:cs="黑体"/>
                <w:color w:val="000000"/>
                <w:kern w:val="0"/>
                <w:sz w:val="31"/>
                <w:szCs w:val="31"/>
                <w:lang w:val="en-US" w:eastAsia="zh-CN" w:bidi="ar"/>
              </w:rPr>
              <w:t>安全生产领域轻微违法行为可以不予行政处罚事项清单</w:t>
            </w:r>
          </w:p>
          <w:p w14:paraId="36A114A8">
            <w:pPr>
              <w:pStyle w:val="7"/>
              <w:spacing w:line="280" w:lineRule="auto"/>
              <w:ind w:left="108" w:right="96"/>
              <w:rPr>
                <w:sz w:val="24"/>
              </w:rPr>
            </w:pPr>
            <w:r>
              <w:rPr>
                <w:rFonts w:hint="eastAsia"/>
                <w:sz w:val="24"/>
              </w:rPr>
              <w:t>本清单适用于近三年未发生人员死亡、重伤生产安全事故，且未被纳入严重失信主体名单的生产经营单位（危险物品的生产、经营、储存单位以及非煤矿山、金属冶炼单位除外）</w:t>
            </w:r>
          </w:p>
        </w:tc>
      </w:tr>
      <w:tr w14:paraId="77848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58" w:type="dxa"/>
            <w:shd w:val="clear"/>
            <w:vAlign w:val="center"/>
          </w:tcPr>
          <w:p w14:paraId="328CD819">
            <w:pPr>
              <w:pStyle w:val="7"/>
              <w:spacing w:before="72"/>
              <w:ind w:left="87" w:leftChars="0" w:right="81" w:rightChars="0"/>
              <w:jc w:val="center"/>
              <w:rPr>
                <w:rFonts w:hint="eastAsia" w:ascii="黑体" w:hAnsi="仿宋_GB2312" w:eastAsia="黑体" w:cs="仿宋_GB2312"/>
                <w:sz w:val="32"/>
                <w:szCs w:val="22"/>
                <w:lang w:val="en-US" w:eastAsia="zh-CN" w:bidi="zh-CN"/>
              </w:rPr>
            </w:pPr>
            <w:r>
              <w:rPr>
                <w:rFonts w:hint="eastAsia" w:ascii="黑体" w:eastAsia="黑体"/>
                <w:sz w:val="32"/>
              </w:rPr>
              <w:t>序号</w:t>
            </w:r>
          </w:p>
        </w:tc>
        <w:tc>
          <w:tcPr>
            <w:tcW w:w="5101" w:type="dxa"/>
            <w:shd w:val="clear"/>
            <w:vAlign w:val="center"/>
          </w:tcPr>
          <w:p w14:paraId="4A3AD17D">
            <w:pPr>
              <w:pStyle w:val="7"/>
              <w:spacing w:before="72"/>
              <w:ind w:left="1889" w:leftChars="0" w:right="1882" w:rightChars="0"/>
              <w:jc w:val="center"/>
              <w:rPr>
                <w:rFonts w:hint="eastAsia" w:ascii="黑体" w:hAnsi="仿宋_GB2312" w:eastAsia="黑体" w:cs="仿宋_GB2312"/>
                <w:sz w:val="32"/>
                <w:szCs w:val="22"/>
                <w:lang w:val="zh-CN" w:eastAsia="zh-CN" w:bidi="zh-CN"/>
              </w:rPr>
            </w:pPr>
            <w:r>
              <w:rPr>
                <w:rFonts w:hint="eastAsia" w:ascii="黑体" w:eastAsia="黑体"/>
                <w:sz w:val="32"/>
              </w:rPr>
              <w:t>违法行为</w:t>
            </w:r>
          </w:p>
        </w:tc>
        <w:tc>
          <w:tcPr>
            <w:tcW w:w="3118" w:type="dxa"/>
            <w:shd w:val="clear"/>
            <w:vAlign w:val="center"/>
          </w:tcPr>
          <w:p w14:paraId="24A563E4">
            <w:pPr>
              <w:pStyle w:val="7"/>
              <w:spacing w:before="72"/>
              <w:ind w:left="919" w:leftChars="0" w:right="0" w:rightChars="0"/>
              <w:jc w:val="center"/>
              <w:rPr>
                <w:rFonts w:hint="eastAsia" w:ascii="黑体" w:hAnsi="仿宋_GB2312" w:eastAsia="黑体" w:cs="仿宋_GB2312"/>
                <w:sz w:val="32"/>
                <w:szCs w:val="22"/>
                <w:lang w:val="zh-CN" w:eastAsia="zh-CN" w:bidi="zh-CN"/>
              </w:rPr>
            </w:pPr>
            <w:r>
              <w:rPr>
                <w:rFonts w:hint="eastAsia" w:ascii="黑体" w:eastAsia="黑体"/>
                <w:sz w:val="32"/>
              </w:rPr>
              <w:t>适用条件</w:t>
            </w:r>
          </w:p>
        </w:tc>
        <w:tc>
          <w:tcPr>
            <w:tcW w:w="5007" w:type="dxa"/>
            <w:shd w:val="clear"/>
            <w:vAlign w:val="center"/>
          </w:tcPr>
          <w:p w14:paraId="5C085150">
            <w:pPr>
              <w:pStyle w:val="7"/>
              <w:spacing w:before="72"/>
              <w:ind w:left="1842" w:leftChars="0" w:right="1835" w:rightChars="0"/>
              <w:jc w:val="center"/>
              <w:rPr>
                <w:rFonts w:hint="eastAsia" w:ascii="黑体" w:hAnsi="仿宋_GB2312" w:eastAsia="黑体" w:cs="仿宋_GB2312"/>
                <w:sz w:val="32"/>
                <w:szCs w:val="22"/>
                <w:lang w:val="zh-CN" w:eastAsia="zh-CN" w:bidi="zh-CN"/>
              </w:rPr>
            </w:pPr>
            <w:r>
              <w:rPr>
                <w:rFonts w:hint="eastAsia" w:ascii="黑体" w:eastAsia="黑体"/>
                <w:sz w:val="32"/>
              </w:rPr>
              <w:t>法定依据</w:t>
            </w:r>
          </w:p>
        </w:tc>
      </w:tr>
      <w:tr w14:paraId="0D570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1578AE45">
            <w:pPr>
              <w:pStyle w:val="7"/>
              <w:ind w:left="87" w:right="80"/>
              <w:jc w:val="center"/>
              <w:rPr>
                <w:rFonts w:hint="eastAsia"/>
                <w:sz w:val="24"/>
                <w:lang w:val="en-US" w:eastAsia="zh-CN"/>
              </w:rPr>
            </w:pPr>
          </w:p>
          <w:p w14:paraId="449BCF06">
            <w:pPr>
              <w:bidi w:val="0"/>
              <w:ind w:firstLine="418" w:firstLineChars="0"/>
              <w:jc w:val="left"/>
              <w:rPr>
                <w:rFonts w:hint="default"/>
                <w:lang w:val="en-US" w:eastAsia="zh-CN"/>
              </w:rPr>
            </w:pPr>
            <w:r>
              <w:rPr>
                <w:rFonts w:hint="eastAsia"/>
                <w:lang w:val="en-US" w:eastAsia="zh-CN"/>
              </w:rPr>
              <w:t>1</w:t>
            </w:r>
          </w:p>
        </w:tc>
        <w:tc>
          <w:tcPr>
            <w:tcW w:w="5101" w:type="dxa"/>
            <w:vAlign w:val="center"/>
          </w:tcPr>
          <w:p w14:paraId="3EF07215">
            <w:pPr>
              <w:pStyle w:val="7"/>
              <w:ind w:left="107"/>
              <w:jc w:val="both"/>
              <w:rPr>
                <w:sz w:val="24"/>
              </w:rPr>
            </w:pPr>
            <w:r>
              <w:rPr>
                <w:rFonts w:hint="eastAsia"/>
                <w:sz w:val="24"/>
              </w:rPr>
              <w:t>生产经营单位未将事故隐患排查治理情况向从业人员通报的</w:t>
            </w:r>
          </w:p>
        </w:tc>
        <w:tc>
          <w:tcPr>
            <w:tcW w:w="3118" w:type="dxa"/>
            <w:vAlign w:val="center"/>
          </w:tcPr>
          <w:p w14:paraId="4F94DFFA">
            <w:pPr>
              <w:pStyle w:val="7"/>
              <w:numPr>
                <w:ilvl w:val="0"/>
                <w:numId w:val="0"/>
              </w:numPr>
              <w:tabs>
                <w:tab w:val="left" w:pos="350"/>
              </w:tabs>
              <w:spacing w:before="5" w:after="0" w:line="264" w:lineRule="auto"/>
              <w:ind w:left="108" w:leftChars="0" w:right="98" w:rightChars="0"/>
              <w:jc w:val="both"/>
              <w:rPr>
                <w:rFonts w:hint="eastAsia"/>
                <w:spacing w:val="-2"/>
                <w:sz w:val="24"/>
              </w:rPr>
            </w:pPr>
            <w:r>
              <w:rPr>
                <w:rFonts w:hint="eastAsia"/>
                <w:spacing w:val="-2"/>
                <w:sz w:val="24"/>
              </w:rPr>
              <w:t>同时满足初次违法、危害后果轻微、及时改正等情形</w:t>
            </w:r>
          </w:p>
        </w:tc>
        <w:tc>
          <w:tcPr>
            <w:tcW w:w="5007" w:type="dxa"/>
            <w:vAlign w:val="center"/>
          </w:tcPr>
          <w:p w14:paraId="37874EAF">
            <w:pPr>
              <w:pStyle w:val="7"/>
              <w:spacing w:line="280" w:lineRule="auto"/>
              <w:ind w:left="108" w:right="96"/>
              <w:jc w:val="both"/>
              <w:rPr>
                <w:sz w:val="24"/>
              </w:rPr>
            </w:pPr>
            <w:r>
              <w:rPr>
                <w:rFonts w:hint="eastAsia"/>
                <w:sz w:val="24"/>
              </w:rPr>
              <w:t>《中华人民共和国安全生产法》第四十一条第二款、第九十七条</w:t>
            </w:r>
          </w:p>
        </w:tc>
      </w:tr>
      <w:tr w14:paraId="7E91A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56C88500">
            <w:pPr>
              <w:pStyle w:val="7"/>
              <w:ind w:left="87" w:right="80"/>
              <w:jc w:val="center"/>
              <w:rPr>
                <w:rFonts w:hint="default"/>
                <w:sz w:val="24"/>
                <w:lang w:val="en-US" w:eastAsia="zh-CN"/>
              </w:rPr>
            </w:pPr>
            <w:r>
              <w:rPr>
                <w:rFonts w:hint="eastAsia"/>
                <w:sz w:val="24"/>
                <w:lang w:val="en-US" w:eastAsia="zh-CN"/>
              </w:rPr>
              <w:t>2</w:t>
            </w:r>
          </w:p>
        </w:tc>
        <w:tc>
          <w:tcPr>
            <w:tcW w:w="5101" w:type="dxa"/>
            <w:vAlign w:val="center"/>
          </w:tcPr>
          <w:p w14:paraId="359BCE02">
            <w:pPr>
              <w:pStyle w:val="7"/>
              <w:ind w:left="107"/>
              <w:jc w:val="both"/>
              <w:rPr>
                <w:sz w:val="24"/>
              </w:rPr>
            </w:pPr>
            <w:r>
              <w:rPr>
                <w:rFonts w:hint="eastAsia"/>
                <w:sz w:val="24"/>
              </w:rPr>
              <w:t>生产经营单位未按规定上报事故隐患排查治理统计分析表的</w:t>
            </w:r>
          </w:p>
        </w:tc>
        <w:tc>
          <w:tcPr>
            <w:tcW w:w="3118" w:type="dxa"/>
            <w:vAlign w:val="center"/>
          </w:tcPr>
          <w:p w14:paraId="358666C7">
            <w:pPr>
              <w:pStyle w:val="7"/>
              <w:numPr>
                <w:ilvl w:val="0"/>
                <w:numId w:val="0"/>
              </w:numPr>
              <w:tabs>
                <w:tab w:val="left" w:pos="350"/>
              </w:tabs>
              <w:spacing w:before="5" w:after="0" w:line="264" w:lineRule="auto"/>
              <w:ind w:left="108" w:leftChars="0" w:right="98" w:rightChars="0"/>
              <w:jc w:val="both"/>
              <w:rPr>
                <w:rFonts w:hint="eastAsia"/>
                <w:spacing w:val="-2"/>
                <w:sz w:val="24"/>
              </w:rPr>
            </w:pPr>
            <w:r>
              <w:rPr>
                <w:rFonts w:hint="eastAsia"/>
                <w:spacing w:val="-2"/>
                <w:sz w:val="24"/>
              </w:rPr>
              <w:t>同时满足初次违法、危害后果轻微、及时改正等情形</w:t>
            </w:r>
          </w:p>
        </w:tc>
        <w:tc>
          <w:tcPr>
            <w:tcW w:w="5007" w:type="dxa"/>
            <w:vAlign w:val="center"/>
          </w:tcPr>
          <w:p w14:paraId="2FCEED32">
            <w:pPr>
              <w:pStyle w:val="7"/>
              <w:spacing w:line="280" w:lineRule="auto"/>
              <w:ind w:left="108" w:right="96"/>
              <w:jc w:val="both"/>
              <w:rPr>
                <w:sz w:val="24"/>
              </w:rPr>
            </w:pPr>
            <w:r>
              <w:rPr>
                <w:rFonts w:hint="eastAsia"/>
                <w:sz w:val="24"/>
              </w:rPr>
              <w:t>《安全生产事故隐患排查治理暂行规定》第十四条第一款、第二十六条</w:t>
            </w:r>
          </w:p>
        </w:tc>
      </w:tr>
      <w:tr w14:paraId="31E0E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7966FA82">
            <w:pPr>
              <w:pStyle w:val="7"/>
              <w:ind w:left="87" w:right="80"/>
              <w:jc w:val="center"/>
              <w:rPr>
                <w:rFonts w:hint="default"/>
                <w:sz w:val="24"/>
                <w:lang w:val="en-US" w:eastAsia="zh-CN"/>
              </w:rPr>
            </w:pPr>
            <w:r>
              <w:rPr>
                <w:rFonts w:hint="eastAsia"/>
                <w:sz w:val="24"/>
                <w:lang w:val="en-US" w:eastAsia="zh-CN"/>
              </w:rPr>
              <w:t>3</w:t>
            </w:r>
          </w:p>
        </w:tc>
        <w:tc>
          <w:tcPr>
            <w:tcW w:w="5101" w:type="dxa"/>
            <w:vAlign w:val="center"/>
          </w:tcPr>
          <w:p w14:paraId="5079DAFC">
            <w:pPr>
              <w:pStyle w:val="7"/>
              <w:ind w:left="107"/>
              <w:jc w:val="both"/>
              <w:rPr>
                <w:sz w:val="24"/>
              </w:rPr>
            </w:pPr>
            <w:r>
              <w:rPr>
                <w:rFonts w:hint="eastAsia"/>
                <w:sz w:val="24"/>
              </w:rPr>
              <w:t>生产经营单位在应急预案编制前未按照规定开展风险辨识、评估和应急资源调查的</w:t>
            </w:r>
          </w:p>
        </w:tc>
        <w:tc>
          <w:tcPr>
            <w:tcW w:w="3118" w:type="dxa"/>
            <w:vAlign w:val="center"/>
          </w:tcPr>
          <w:p w14:paraId="2C92BF5E">
            <w:pPr>
              <w:pStyle w:val="7"/>
              <w:numPr>
                <w:ilvl w:val="0"/>
                <w:numId w:val="0"/>
              </w:numPr>
              <w:tabs>
                <w:tab w:val="left" w:pos="350"/>
              </w:tabs>
              <w:spacing w:before="5" w:after="0" w:line="264" w:lineRule="auto"/>
              <w:ind w:left="108" w:leftChars="0" w:right="98" w:rightChars="0"/>
              <w:jc w:val="both"/>
              <w:rPr>
                <w:rFonts w:hint="eastAsia"/>
                <w:spacing w:val="-2"/>
                <w:sz w:val="24"/>
              </w:rPr>
            </w:pPr>
            <w:r>
              <w:rPr>
                <w:rFonts w:hint="eastAsia"/>
                <w:spacing w:val="-2"/>
                <w:sz w:val="24"/>
              </w:rPr>
              <w:t>同时满足初次违法、危害后果轻微、及时改正等情形</w:t>
            </w:r>
          </w:p>
        </w:tc>
        <w:tc>
          <w:tcPr>
            <w:tcW w:w="5007" w:type="dxa"/>
            <w:vAlign w:val="center"/>
          </w:tcPr>
          <w:p w14:paraId="63C4509D">
            <w:pPr>
              <w:pStyle w:val="7"/>
              <w:spacing w:line="280" w:lineRule="auto"/>
              <w:ind w:left="108" w:right="96"/>
              <w:jc w:val="both"/>
              <w:rPr>
                <w:sz w:val="24"/>
              </w:rPr>
            </w:pPr>
            <w:r>
              <w:rPr>
                <w:rFonts w:hint="eastAsia"/>
                <w:sz w:val="24"/>
                <w:lang w:eastAsia="zh-CN"/>
              </w:rPr>
              <w:t>《</w:t>
            </w:r>
            <w:r>
              <w:rPr>
                <w:rFonts w:hint="eastAsia"/>
                <w:sz w:val="24"/>
              </w:rPr>
              <w:t>生产安全事故应急预案管理办法》第十条第一款、第四十五条第一款</w:t>
            </w:r>
          </w:p>
        </w:tc>
      </w:tr>
      <w:tr w14:paraId="5BC46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543E3A13">
            <w:pPr>
              <w:pStyle w:val="7"/>
              <w:ind w:left="87" w:right="80"/>
              <w:jc w:val="center"/>
              <w:rPr>
                <w:rFonts w:hint="default"/>
                <w:sz w:val="24"/>
                <w:lang w:val="en-US" w:eastAsia="zh-CN"/>
              </w:rPr>
            </w:pPr>
            <w:r>
              <w:rPr>
                <w:rFonts w:hint="eastAsia"/>
                <w:sz w:val="24"/>
                <w:lang w:val="en-US" w:eastAsia="zh-CN"/>
              </w:rPr>
              <w:t>4</w:t>
            </w:r>
          </w:p>
        </w:tc>
        <w:tc>
          <w:tcPr>
            <w:tcW w:w="5101" w:type="dxa"/>
            <w:vAlign w:val="center"/>
          </w:tcPr>
          <w:p w14:paraId="08156904">
            <w:pPr>
              <w:pStyle w:val="7"/>
              <w:ind w:left="107"/>
              <w:jc w:val="both"/>
              <w:rPr>
                <w:sz w:val="24"/>
              </w:rPr>
            </w:pPr>
            <w:r>
              <w:rPr>
                <w:rFonts w:hint="eastAsia"/>
                <w:sz w:val="24"/>
              </w:rPr>
              <w:t>生产经营单位未按照规定开展应急预案评审的</w:t>
            </w:r>
          </w:p>
        </w:tc>
        <w:tc>
          <w:tcPr>
            <w:tcW w:w="3118" w:type="dxa"/>
            <w:vAlign w:val="center"/>
          </w:tcPr>
          <w:p w14:paraId="3E4AD5B5">
            <w:pPr>
              <w:pStyle w:val="7"/>
              <w:numPr>
                <w:ilvl w:val="0"/>
                <w:numId w:val="0"/>
              </w:numPr>
              <w:tabs>
                <w:tab w:val="left" w:pos="350"/>
              </w:tabs>
              <w:spacing w:before="5" w:after="0" w:line="264" w:lineRule="auto"/>
              <w:ind w:left="108" w:leftChars="0" w:right="98" w:rightChars="0"/>
              <w:jc w:val="both"/>
              <w:rPr>
                <w:rFonts w:hint="eastAsia"/>
                <w:spacing w:val="-2"/>
                <w:sz w:val="24"/>
              </w:rPr>
            </w:pPr>
            <w:r>
              <w:rPr>
                <w:rFonts w:hint="eastAsia"/>
                <w:spacing w:val="-2"/>
                <w:sz w:val="24"/>
              </w:rPr>
              <w:t>同时满足初次违法、危害后果轻微、及时改正等情形</w:t>
            </w:r>
          </w:p>
        </w:tc>
        <w:tc>
          <w:tcPr>
            <w:tcW w:w="5007" w:type="dxa"/>
            <w:vAlign w:val="center"/>
          </w:tcPr>
          <w:p w14:paraId="45C962D8">
            <w:pPr>
              <w:pStyle w:val="7"/>
              <w:spacing w:line="280" w:lineRule="auto"/>
              <w:ind w:left="108" w:right="96"/>
              <w:jc w:val="both"/>
              <w:rPr>
                <w:sz w:val="24"/>
              </w:rPr>
            </w:pPr>
            <w:r>
              <w:rPr>
                <w:rFonts w:hint="eastAsia"/>
                <w:sz w:val="24"/>
              </w:rPr>
              <w:t>《生产安全事故应急预案管理办法》第二十一条、第四十五条第一款</w:t>
            </w:r>
          </w:p>
        </w:tc>
      </w:tr>
      <w:tr w14:paraId="0540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460ECB0B">
            <w:pPr>
              <w:pStyle w:val="7"/>
              <w:ind w:left="87" w:right="80"/>
              <w:jc w:val="center"/>
              <w:rPr>
                <w:rFonts w:hint="default"/>
                <w:sz w:val="24"/>
                <w:lang w:val="en-US" w:eastAsia="zh-CN"/>
              </w:rPr>
            </w:pPr>
            <w:r>
              <w:rPr>
                <w:rFonts w:hint="eastAsia"/>
                <w:sz w:val="24"/>
                <w:lang w:val="en-US" w:eastAsia="zh-CN"/>
              </w:rPr>
              <w:t>5</w:t>
            </w:r>
          </w:p>
        </w:tc>
        <w:tc>
          <w:tcPr>
            <w:tcW w:w="5101" w:type="dxa"/>
            <w:vAlign w:val="center"/>
          </w:tcPr>
          <w:p w14:paraId="5060DB73">
            <w:pPr>
              <w:pStyle w:val="7"/>
              <w:ind w:left="107"/>
              <w:jc w:val="both"/>
              <w:rPr>
                <w:sz w:val="24"/>
              </w:rPr>
            </w:pPr>
            <w:r>
              <w:rPr>
                <w:rFonts w:hint="eastAsia"/>
                <w:sz w:val="24"/>
              </w:rPr>
              <w:t>事故风险可能影响周边单位、人员的，生产经营单位未将事故风险的性质、影响范围和应急防范措施告知周边单位和人员的</w:t>
            </w:r>
          </w:p>
        </w:tc>
        <w:tc>
          <w:tcPr>
            <w:tcW w:w="3118" w:type="dxa"/>
            <w:vAlign w:val="center"/>
          </w:tcPr>
          <w:p w14:paraId="6CB17A53">
            <w:pPr>
              <w:pStyle w:val="7"/>
              <w:numPr>
                <w:ilvl w:val="0"/>
                <w:numId w:val="0"/>
              </w:numPr>
              <w:spacing w:before="5" w:after="0" w:line="264" w:lineRule="auto"/>
              <w:ind w:left="108" w:leftChars="0" w:right="98" w:rightChars="0"/>
              <w:jc w:val="center"/>
              <w:rPr>
                <w:rFonts w:hint="eastAsia"/>
                <w:spacing w:val="-2"/>
                <w:sz w:val="24"/>
              </w:rPr>
            </w:pPr>
            <w:r>
              <w:rPr>
                <w:rFonts w:hint="eastAsia"/>
                <w:spacing w:val="-2"/>
                <w:sz w:val="24"/>
              </w:rPr>
              <w:t>同时满足初次违法、危害后果轻微、及时改正等情形</w:t>
            </w:r>
          </w:p>
        </w:tc>
        <w:tc>
          <w:tcPr>
            <w:tcW w:w="5007" w:type="dxa"/>
            <w:vAlign w:val="center"/>
          </w:tcPr>
          <w:p w14:paraId="49008039">
            <w:pPr>
              <w:pStyle w:val="7"/>
              <w:spacing w:line="280" w:lineRule="auto"/>
              <w:ind w:left="108" w:right="96"/>
              <w:jc w:val="both"/>
              <w:rPr>
                <w:sz w:val="24"/>
              </w:rPr>
            </w:pPr>
            <w:r>
              <w:rPr>
                <w:rFonts w:hint="eastAsia"/>
                <w:sz w:val="24"/>
              </w:rPr>
              <w:t>《生产安全事故应急预案管理办法》第二十四条第二款、第四十五条第一款</w:t>
            </w:r>
          </w:p>
        </w:tc>
      </w:tr>
      <w:tr w14:paraId="7FC7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1E31357A">
            <w:pPr>
              <w:pStyle w:val="7"/>
              <w:ind w:left="87" w:right="80"/>
              <w:jc w:val="center"/>
              <w:rPr>
                <w:rFonts w:hint="default"/>
                <w:sz w:val="24"/>
                <w:lang w:val="en-US" w:eastAsia="zh-CN"/>
              </w:rPr>
            </w:pPr>
            <w:r>
              <w:rPr>
                <w:rFonts w:hint="eastAsia"/>
                <w:sz w:val="24"/>
                <w:lang w:val="en-US" w:eastAsia="zh-CN"/>
              </w:rPr>
              <w:t>6</w:t>
            </w:r>
          </w:p>
        </w:tc>
        <w:tc>
          <w:tcPr>
            <w:tcW w:w="5101" w:type="dxa"/>
            <w:vAlign w:val="center"/>
          </w:tcPr>
          <w:p w14:paraId="262A514C">
            <w:pPr>
              <w:pStyle w:val="7"/>
              <w:ind w:left="107"/>
              <w:jc w:val="both"/>
              <w:rPr>
                <w:sz w:val="24"/>
              </w:rPr>
            </w:pPr>
            <w:r>
              <w:rPr>
                <w:rFonts w:hint="eastAsia"/>
                <w:sz w:val="24"/>
              </w:rPr>
              <w:t>生产经营单位未按照规定开展应急预案评估的</w:t>
            </w:r>
          </w:p>
        </w:tc>
        <w:tc>
          <w:tcPr>
            <w:tcW w:w="3118" w:type="dxa"/>
            <w:vAlign w:val="center"/>
          </w:tcPr>
          <w:p w14:paraId="22CAFB07">
            <w:pPr>
              <w:pStyle w:val="7"/>
              <w:numPr>
                <w:ilvl w:val="0"/>
                <w:numId w:val="0"/>
              </w:numPr>
              <w:spacing w:before="5" w:after="0" w:line="264" w:lineRule="auto"/>
              <w:ind w:left="108" w:leftChars="0" w:right="98" w:rightChars="0"/>
              <w:jc w:val="center"/>
              <w:rPr>
                <w:rFonts w:hint="eastAsia"/>
                <w:spacing w:val="-2"/>
                <w:sz w:val="24"/>
              </w:rPr>
            </w:pPr>
            <w:r>
              <w:rPr>
                <w:rFonts w:hint="eastAsia"/>
                <w:spacing w:val="-2"/>
                <w:sz w:val="24"/>
              </w:rPr>
              <w:t>同时满足初次违法、危害后果轻微、及时改正等情形</w:t>
            </w:r>
          </w:p>
        </w:tc>
        <w:tc>
          <w:tcPr>
            <w:tcW w:w="5007" w:type="dxa"/>
            <w:vAlign w:val="center"/>
          </w:tcPr>
          <w:p w14:paraId="092458CD">
            <w:pPr>
              <w:pStyle w:val="7"/>
              <w:spacing w:line="280" w:lineRule="auto"/>
              <w:ind w:left="108" w:right="96"/>
              <w:jc w:val="both"/>
              <w:rPr>
                <w:sz w:val="24"/>
              </w:rPr>
            </w:pPr>
            <w:r>
              <w:rPr>
                <w:rFonts w:hint="eastAsia"/>
                <w:sz w:val="24"/>
              </w:rPr>
              <w:t>《生产安全事故应急预案管理办法》第三十五条第二款、第四十五条第一款</w:t>
            </w:r>
          </w:p>
        </w:tc>
      </w:tr>
      <w:tr w14:paraId="401DC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439D8828">
            <w:pPr>
              <w:pStyle w:val="7"/>
              <w:ind w:left="87" w:right="80"/>
              <w:jc w:val="center"/>
              <w:rPr>
                <w:rFonts w:hint="default"/>
                <w:sz w:val="24"/>
                <w:lang w:val="en-US" w:eastAsia="zh-CN"/>
              </w:rPr>
            </w:pPr>
            <w:r>
              <w:rPr>
                <w:rFonts w:hint="eastAsia"/>
                <w:sz w:val="24"/>
                <w:lang w:val="en-US" w:eastAsia="zh-CN"/>
              </w:rPr>
              <w:t>7</w:t>
            </w:r>
          </w:p>
        </w:tc>
        <w:tc>
          <w:tcPr>
            <w:tcW w:w="5101" w:type="dxa"/>
            <w:vAlign w:val="center"/>
          </w:tcPr>
          <w:p w14:paraId="7EEF40D4">
            <w:pPr>
              <w:pStyle w:val="7"/>
              <w:ind w:left="107"/>
              <w:jc w:val="both"/>
              <w:rPr>
                <w:rFonts w:hint="eastAsia"/>
                <w:sz w:val="24"/>
              </w:rPr>
            </w:pPr>
            <w:r>
              <w:rPr>
                <w:rFonts w:hint="eastAsia"/>
                <w:sz w:val="24"/>
              </w:rPr>
              <w:t>生产经营单位未落实应急预案规定的应急物资及装备的</w:t>
            </w:r>
          </w:p>
        </w:tc>
        <w:tc>
          <w:tcPr>
            <w:tcW w:w="3118" w:type="dxa"/>
            <w:vAlign w:val="center"/>
          </w:tcPr>
          <w:p w14:paraId="7313B8AC">
            <w:pPr>
              <w:pStyle w:val="7"/>
              <w:numPr>
                <w:ilvl w:val="0"/>
                <w:numId w:val="0"/>
              </w:numPr>
              <w:spacing w:before="5" w:after="0" w:line="264" w:lineRule="auto"/>
              <w:ind w:left="108" w:leftChars="0" w:right="98" w:rightChars="0"/>
              <w:jc w:val="center"/>
              <w:rPr>
                <w:rFonts w:hint="eastAsia"/>
                <w:spacing w:val="-2"/>
                <w:sz w:val="24"/>
              </w:rPr>
            </w:pPr>
            <w:r>
              <w:rPr>
                <w:rFonts w:hint="eastAsia"/>
                <w:spacing w:val="-2"/>
                <w:sz w:val="24"/>
              </w:rPr>
              <w:t>同时满足初次违法、危害后果轻微、及时改正等情形</w:t>
            </w:r>
          </w:p>
        </w:tc>
        <w:tc>
          <w:tcPr>
            <w:tcW w:w="5007" w:type="dxa"/>
            <w:vAlign w:val="center"/>
          </w:tcPr>
          <w:p w14:paraId="491A0DE8">
            <w:pPr>
              <w:pStyle w:val="7"/>
              <w:spacing w:line="280" w:lineRule="auto"/>
              <w:ind w:left="108" w:right="96"/>
              <w:jc w:val="both"/>
              <w:rPr>
                <w:sz w:val="24"/>
              </w:rPr>
            </w:pPr>
            <w:r>
              <w:rPr>
                <w:rFonts w:hint="eastAsia"/>
                <w:sz w:val="24"/>
              </w:rPr>
              <w:t>《生产安全事故应急预案管理办法》第三十八条、第四十五条第一款</w:t>
            </w:r>
          </w:p>
        </w:tc>
      </w:tr>
      <w:tr w14:paraId="4F37D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31235B24">
            <w:pPr>
              <w:pStyle w:val="7"/>
              <w:ind w:left="87" w:right="80"/>
              <w:jc w:val="center"/>
              <w:rPr>
                <w:rFonts w:hint="default"/>
                <w:sz w:val="24"/>
                <w:lang w:val="en-US" w:eastAsia="zh-CN"/>
              </w:rPr>
            </w:pPr>
            <w:r>
              <w:rPr>
                <w:rFonts w:hint="eastAsia"/>
                <w:sz w:val="24"/>
                <w:lang w:val="en-US" w:eastAsia="zh-CN"/>
              </w:rPr>
              <w:t>8</w:t>
            </w:r>
          </w:p>
        </w:tc>
        <w:tc>
          <w:tcPr>
            <w:tcW w:w="5101" w:type="dxa"/>
            <w:vAlign w:val="center"/>
          </w:tcPr>
          <w:p w14:paraId="6123545E">
            <w:pPr>
              <w:pStyle w:val="7"/>
              <w:ind w:left="107"/>
              <w:jc w:val="both"/>
              <w:rPr>
                <w:rFonts w:hint="eastAsia"/>
                <w:sz w:val="24"/>
              </w:rPr>
            </w:pPr>
            <w:r>
              <w:rPr>
                <w:rFonts w:hint="eastAsia"/>
                <w:sz w:val="24"/>
              </w:rPr>
              <w:t>生产经营单位未建立健全特种作业人员档案的</w:t>
            </w:r>
          </w:p>
        </w:tc>
        <w:tc>
          <w:tcPr>
            <w:tcW w:w="3118" w:type="dxa"/>
            <w:vAlign w:val="center"/>
          </w:tcPr>
          <w:p w14:paraId="037B6894">
            <w:pPr>
              <w:pStyle w:val="7"/>
              <w:numPr>
                <w:ilvl w:val="0"/>
                <w:numId w:val="0"/>
              </w:numPr>
              <w:spacing w:before="5" w:after="0" w:line="264" w:lineRule="auto"/>
              <w:ind w:left="108" w:leftChars="0" w:right="98" w:rightChars="0"/>
              <w:jc w:val="center"/>
              <w:rPr>
                <w:rFonts w:hint="eastAsia"/>
                <w:spacing w:val="-2"/>
                <w:sz w:val="24"/>
              </w:rPr>
            </w:pPr>
            <w:r>
              <w:rPr>
                <w:rFonts w:hint="eastAsia"/>
                <w:spacing w:val="-2"/>
                <w:sz w:val="24"/>
              </w:rPr>
              <w:t>同时满足初次违法、危害后果轻微、及时改正等情形</w:t>
            </w:r>
          </w:p>
        </w:tc>
        <w:tc>
          <w:tcPr>
            <w:tcW w:w="5007" w:type="dxa"/>
            <w:vAlign w:val="center"/>
          </w:tcPr>
          <w:p w14:paraId="3CF3AE7A">
            <w:pPr>
              <w:pStyle w:val="7"/>
              <w:spacing w:line="280" w:lineRule="auto"/>
              <w:ind w:left="108" w:right="96"/>
              <w:jc w:val="both"/>
              <w:rPr>
                <w:sz w:val="24"/>
              </w:rPr>
            </w:pPr>
            <w:r>
              <w:rPr>
                <w:rFonts w:hint="eastAsia"/>
                <w:sz w:val="24"/>
              </w:rPr>
              <w:t>《特种作业人员安全技术培训考核管理规定》第三十四条、第三十八条</w:t>
            </w:r>
          </w:p>
        </w:tc>
      </w:tr>
      <w:tr w14:paraId="340C8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858" w:type="dxa"/>
            <w:vAlign w:val="center"/>
          </w:tcPr>
          <w:p w14:paraId="5A24299A">
            <w:pPr>
              <w:pStyle w:val="7"/>
              <w:tabs>
                <w:tab w:val="left" w:pos="394"/>
              </w:tabs>
              <w:ind w:left="87" w:right="80"/>
              <w:jc w:val="left"/>
              <w:rPr>
                <w:rFonts w:hint="default"/>
                <w:sz w:val="24"/>
                <w:lang w:val="en-US" w:eastAsia="zh-CN"/>
              </w:rPr>
            </w:pPr>
            <w:r>
              <w:rPr>
                <w:rFonts w:hint="eastAsia"/>
                <w:sz w:val="24"/>
                <w:lang w:val="en-US" w:eastAsia="zh-CN"/>
              </w:rPr>
              <w:tab/>
              <w:t>9</w:t>
            </w:r>
          </w:p>
        </w:tc>
        <w:tc>
          <w:tcPr>
            <w:tcW w:w="5101" w:type="dxa"/>
            <w:vAlign w:val="center"/>
          </w:tcPr>
          <w:p w14:paraId="7CB27839">
            <w:pPr>
              <w:pStyle w:val="7"/>
              <w:ind w:left="107"/>
              <w:jc w:val="both"/>
              <w:rPr>
                <w:rFonts w:hint="eastAsia"/>
                <w:sz w:val="24"/>
              </w:rPr>
            </w:pPr>
            <w:r>
              <w:rPr>
                <w:rFonts w:hint="eastAsia"/>
                <w:sz w:val="24"/>
              </w:rPr>
              <w:t>生产经营单位未在有 1 处较大危险因素的生产经营场所和有关设施、设备上设置明显的安全警示标志的（有限空间作业场所除外）</w:t>
            </w:r>
          </w:p>
        </w:tc>
        <w:tc>
          <w:tcPr>
            <w:tcW w:w="3118" w:type="dxa"/>
            <w:vAlign w:val="center"/>
          </w:tcPr>
          <w:p w14:paraId="5FA0BC6D">
            <w:pPr>
              <w:pStyle w:val="7"/>
              <w:numPr>
                <w:ilvl w:val="0"/>
                <w:numId w:val="0"/>
              </w:numPr>
              <w:spacing w:before="5" w:after="0" w:line="264" w:lineRule="auto"/>
              <w:ind w:left="108" w:leftChars="0" w:right="98" w:rightChars="0"/>
              <w:jc w:val="center"/>
              <w:rPr>
                <w:rFonts w:hint="eastAsia"/>
                <w:spacing w:val="-2"/>
                <w:sz w:val="24"/>
              </w:rPr>
            </w:pPr>
            <w:r>
              <w:rPr>
                <w:rFonts w:hint="eastAsia"/>
                <w:spacing w:val="-2"/>
                <w:sz w:val="24"/>
              </w:rPr>
              <w:t>同时满足初次违法、危害后果轻微、及时改正等情形</w:t>
            </w:r>
          </w:p>
        </w:tc>
        <w:tc>
          <w:tcPr>
            <w:tcW w:w="5007" w:type="dxa"/>
            <w:vAlign w:val="center"/>
          </w:tcPr>
          <w:p w14:paraId="47F942C3">
            <w:pPr>
              <w:pStyle w:val="7"/>
              <w:spacing w:line="280" w:lineRule="auto"/>
              <w:ind w:left="108" w:right="96"/>
              <w:jc w:val="left"/>
              <w:rPr>
                <w:sz w:val="24"/>
              </w:rPr>
            </w:pPr>
            <w:r>
              <w:rPr>
                <w:rFonts w:hint="eastAsia"/>
                <w:sz w:val="24"/>
              </w:rPr>
              <w:t>《中华人民共和国安全生产法》第三十五条、第九十九条</w:t>
            </w:r>
          </w:p>
        </w:tc>
      </w:tr>
    </w:tbl>
    <w:p w14:paraId="0630FD93">
      <w:pPr>
        <w:pStyle w:val="2"/>
        <w:spacing w:before="64"/>
        <w:ind w:left="635"/>
      </w:pPr>
    </w:p>
    <w:sectPr>
      <w:type w:val="continuous"/>
      <w:pgSz w:w="16840" w:h="11910" w:orient="landscape"/>
      <w:pgMar w:top="1100" w:right="1260" w:bottom="280" w:left="12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108" w:hanging="241"/>
        <w:jc w:val="left"/>
      </w:pPr>
      <w:rPr>
        <w:rFonts w:hint="default" w:ascii="仿宋_GB2312" w:hAnsi="仿宋_GB2312" w:eastAsia="仿宋_GB2312" w:cs="仿宋_GB2312"/>
        <w:spacing w:val="-10"/>
        <w:w w:val="100"/>
        <w:sz w:val="22"/>
        <w:szCs w:val="22"/>
        <w:lang w:val="zh-CN" w:eastAsia="zh-CN" w:bidi="zh-CN"/>
      </w:rPr>
    </w:lvl>
    <w:lvl w:ilvl="1" w:tentative="0">
      <w:start w:val="0"/>
      <w:numFmt w:val="bullet"/>
      <w:lvlText w:val="•"/>
      <w:lvlJc w:val="left"/>
      <w:pPr>
        <w:ind w:left="589" w:hanging="241"/>
      </w:pPr>
      <w:rPr>
        <w:rFonts w:hint="default"/>
        <w:lang w:val="zh-CN" w:eastAsia="zh-CN" w:bidi="zh-CN"/>
      </w:rPr>
    </w:lvl>
    <w:lvl w:ilvl="2" w:tentative="0">
      <w:start w:val="0"/>
      <w:numFmt w:val="bullet"/>
      <w:lvlText w:val="•"/>
      <w:lvlJc w:val="left"/>
      <w:pPr>
        <w:ind w:left="1079" w:hanging="241"/>
      </w:pPr>
      <w:rPr>
        <w:rFonts w:hint="default"/>
        <w:lang w:val="zh-CN" w:eastAsia="zh-CN" w:bidi="zh-CN"/>
      </w:rPr>
    </w:lvl>
    <w:lvl w:ilvl="3" w:tentative="0">
      <w:start w:val="0"/>
      <w:numFmt w:val="bullet"/>
      <w:lvlText w:val="•"/>
      <w:lvlJc w:val="left"/>
      <w:pPr>
        <w:ind w:left="1569" w:hanging="241"/>
      </w:pPr>
      <w:rPr>
        <w:rFonts w:hint="default"/>
        <w:lang w:val="zh-CN" w:eastAsia="zh-CN" w:bidi="zh-CN"/>
      </w:rPr>
    </w:lvl>
    <w:lvl w:ilvl="4" w:tentative="0">
      <w:start w:val="0"/>
      <w:numFmt w:val="bullet"/>
      <w:lvlText w:val="•"/>
      <w:lvlJc w:val="left"/>
      <w:pPr>
        <w:ind w:left="2058" w:hanging="241"/>
      </w:pPr>
      <w:rPr>
        <w:rFonts w:hint="default"/>
        <w:lang w:val="zh-CN" w:eastAsia="zh-CN" w:bidi="zh-CN"/>
      </w:rPr>
    </w:lvl>
    <w:lvl w:ilvl="5" w:tentative="0">
      <w:start w:val="0"/>
      <w:numFmt w:val="bullet"/>
      <w:lvlText w:val="•"/>
      <w:lvlJc w:val="left"/>
      <w:pPr>
        <w:ind w:left="2548" w:hanging="241"/>
      </w:pPr>
      <w:rPr>
        <w:rFonts w:hint="default"/>
        <w:lang w:val="zh-CN" w:eastAsia="zh-CN" w:bidi="zh-CN"/>
      </w:rPr>
    </w:lvl>
    <w:lvl w:ilvl="6" w:tentative="0">
      <w:start w:val="0"/>
      <w:numFmt w:val="bullet"/>
      <w:lvlText w:val="•"/>
      <w:lvlJc w:val="left"/>
      <w:pPr>
        <w:ind w:left="3038" w:hanging="241"/>
      </w:pPr>
      <w:rPr>
        <w:rFonts w:hint="default"/>
        <w:lang w:val="zh-CN" w:eastAsia="zh-CN" w:bidi="zh-CN"/>
      </w:rPr>
    </w:lvl>
    <w:lvl w:ilvl="7" w:tentative="0">
      <w:start w:val="0"/>
      <w:numFmt w:val="bullet"/>
      <w:lvlText w:val="•"/>
      <w:lvlJc w:val="left"/>
      <w:pPr>
        <w:ind w:left="3527" w:hanging="241"/>
      </w:pPr>
      <w:rPr>
        <w:rFonts w:hint="default"/>
        <w:lang w:val="zh-CN" w:eastAsia="zh-CN" w:bidi="zh-CN"/>
      </w:rPr>
    </w:lvl>
    <w:lvl w:ilvl="8" w:tentative="0">
      <w:start w:val="0"/>
      <w:numFmt w:val="bullet"/>
      <w:lvlText w:val="•"/>
      <w:lvlJc w:val="left"/>
      <w:pPr>
        <w:ind w:left="4017" w:hanging="241"/>
      </w:pPr>
      <w:rPr>
        <w:rFonts w:hint="default"/>
        <w:lang w:val="zh-CN" w:eastAsia="zh-CN" w:bidi="zh-CN"/>
      </w:rPr>
    </w:lvl>
  </w:abstractNum>
  <w:abstractNum w:abstractNumId="1">
    <w:nsid w:val="CF092B84"/>
    <w:multiLevelType w:val="multilevel"/>
    <w:tmpl w:val="CF092B84"/>
    <w:lvl w:ilvl="0" w:tentative="0">
      <w:start w:val="1"/>
      <w:numFmt w:val="decimal"/>
      <w:lvlText w:val="%1."/>
      <w:lvlJc w:val="left"/>
      <w:pPr>
        <w:ind w:left="108" w:hanging="241"/>
        <w:jc w:val="left"/>
      </w:pPr>
      <w:rPr>
        <w:rFonts w:hint="default" w:ascii="仿宋_GB2312" w:hAnsi="仿宋_GB2312" w:eastAsia="仿宋_GB2312" w:cs="仿宋_GB2312"/>
        <w:w w:val="100"/>
        <w:sz w:val="22"/>
        <w:szCs w:val="22"/>
        <w:lang w:val="zh-CN" w:eastAsia="zh-CN" w:bidi="zh-CN"/>
      </w:rPr>
    </w:lvl>
    <w:lvl w:ilvl="1" w:tentative="0">
      <w:start w:val="0"/>
      <w:numFmt w:val="bullet"/>
      <w:lvlText w:val="•"/>
      <w:lvlJc w:val="left"/>
      <w:pPr>
        <w:ind w:left="400" w:hanging="241"/>
      </w:pPr>
      <w:rPr>
        <w:rFonts w:hint="default"/>
        <w:lang w:val="zh-CN" w:eastAsia="zh-CN" w:bidi="zh-CN"/>
      </w:rPr>
    </w:lvl>
    <w:lvl w:ilvl="2" w:tentative="0">
      <w:start w:val="0"/>
      <w:numFmt w:val="bullet"/>
      <w:lvlText w:val="•"/>
      <w:lvlJc w:val="left"/>
      <w:pPr>
        <w:ind w:left="701" w:hanging="241"/>
      </w:pPr>
      <w:rPr>
        <w:rFonts w:hint="default"/>
        <w:lang w:val="zh-CN" w:eastAsia="zh-CN" w:bidi="zh-CN"/>
      </w:rPr>
    </w:lvl>
    <w:lvl w:ilvl="3" w:tentative="0">
      <w:start w:val="0"/>
      <w:numFmt w:val="bullet"/>
      <w:lvlText w:val="•"/>
      <w:lvlJc w:val="left"/>
      <w:pPr>
        <w:ind w:left="1002" w:hanging="241"/>
      </w:pPr>
      <w:rPr>
        <w:rFonts w:hint="default"/>
        <w:lang w:val="zh-CN" w:eastAsia="zh-CN" w:bidi="zh-CN"/>
      </w:rPr>
    </w:lvl>
    <w:lvl w:ilvl="4" w:tentative="0">
      <w:start w:val="0"/>
      <w:numFmt w:val="bullet"/>
      <w:lvlText w:val="•"/>
      <w:lvlJc w:val="left"/>
      <w:pPr>
        <w:ind w:left="1303" w:hanging="241"/>
      </w:pPr>
      <w:rPr>
        <w:rFonts w:hint="default"/>
        <w:lang w:val="zh-CN" w:eastAsia="zh-CN" w:bidi="zh-CN"/>
      </w:rPr>
    </w:lvl>
    <w:lvl w:ilvl="5" w:tentative="0">
      <w:start w:val="0"/>
      <w:numFmt w:val="bullet"/>
      <w:lvlText w:val="•"/>
      <w:lvlJc w:val="left"/>
      <w:pPr>
        <w:ind w:left="1604" w:hanging="241"/>
      </w:pPr>
      <w:rPr>
        <w:rFonts w:hint="default"/>
        <w:lang w:val="zh-CN" w:eastAsia="zh-CN" w:bidi="zh-CN"/>
      </w:rPr>
    </w:lvl>
    <w:lvl w:ilvl="6" w:tentative="0">
      <w:start w:val="0"/>
      <w:numFmt w:val="bullet"/>
      <w:lvlText w:val="•"/>
      <w:lvlJc w:val="left"/>
      <w:pPr>
        <w:ind w:left="1904" w:hanging="241"/>
      </w:pPr>
      <w:rPr>
        <w:rFonts w:hint="default"/>
        <w:lang w:val="zh-CN" w:eastAsia="zh-CN" w:bidi="zh-CN"/>
      </w:rPr>
    </w:lvl>
    <w:lvl w:ilvl="7" w:tentative="0">
      <w:start w:val="0"/>
      <w:numFmt w:val="bullet"/>
      <w:lvlText w:val="•"/>
      <w:lvlJc w:val="left"/>
      <w:pPr>
        <w:ind w:left="2205" w:hanging="241"/>
      </w:pPr>
      <w:rPr>
        <w:rFonts w:hint="default"/>
        <w:lang w:val="zh-CN" w:eastAsia="zh-CN" w:bidi="zh-CN"/>
      </w:rPr>
    </w:lvl>
    <w:lvl w:ilvl="8" w:tentative="0">
      <w:start w:val="0"/>
      <w:numFmt w:val="bullet"/>
      <w:lvlText w:val="•"/>
      <w:lvlJc w:val="left"/>
      <w:pPr>
        <w:ind w:left="2506" w:hanging="241"/>
      </w:pPr>
      <w:rPr>
        <w:rFonts w:hint="default"/>
        <w:lang w:val="zh-CN" w:eastAsia="zh-CN" w:bidi="zh-CN"/>
      </w:rPr>
    </w:lvl>
  </w:abstractNum>
  <w:abstractNum w:abstractNumId="2">
    <w:nsid w:val="59ADCABA"/>
    <w:multiLevelType w:val="multilevel"/>
    <w:tmpl w:val="59ADCABA"/>
    <w:lvl w:ilvl="0" w:tentative="0">
      <w:start w:val="1"/>
      <w:numFmt w:val="decimal"/>
      <w:lvlText w:val="%1."/>
      <w:lvlJc w:val="left"/>
      <w:pPr>
        <w:ind w:left="108" w:hanging="241"/>
        <w:jc w:val="left"/>
      </w:pPr>
      <w:rPr>
        <w:rFonts w:hint="default" w:ascii="仿宋_GB2312" w:hAnsi="仿宋_GB2312" w:eastAsia="仿宋_GB2312" w:cs="仿宋_GB2312"/>
        <w:w w:val="100"/>
        <w:sz w:val="22"/>
        <w:szCs w:val="22"/>
        <w:lang w:val="zh-CN" w:eastAsia="zh-CN" w:bidi="zh-CN"/>
      </w:rPr>
    </w:lvl>
    <w:lvl w:ilvl="1" w:tentative="0">
      <w:start w:val="0"/>
      <w:numFmt w:val="bullet"/>
      <w:lvlText w:val="•"/>
      <w:lvlJc w:val="left"/>
      <w:pPr>
        <w:ind w:left="400" w:hanging="241"/>
      </w:pPr>
      <w:rPr>
        <w:rFonts w:hint="default"/>
        <w:lang w:val="zh-CN" w:eastAsia="zh-CN" w:bidi="zh-CN"/>
      </w:rPr>
    </w:lvl>
    <w:lvl w:ilvl="2" w:tentative="0">
      <w:start w:val="0"/>
      <w:numFmt w:val="bullet"/>
      <w:lvlText w:val="•"/>
      <w:lvlJc w:val="left"/>
      <w:pPr>
        <w:ind w:left="701" w:hanging="241"/>
      </w:pPr>
      <w:rPr>
        <w:rFonts w:hint="default"/>
        <w:lang w:val="zh-CN" w:eastAsia="zh-CN" w:bidi="zh-CN"/>
      </w:rPr>
    </w:lvl>
    <w:lvl w:ilvl="3" w:tentative="0">
      <w:start w:val="0"/>
      <w:numFmt w:val="bullet"/>
      <w:lvlText w:val="•"/>
      <w:lvlJc w:val="left"/>
      <w:pPr>
        <w:ind w:left="1002" w:hanging="241"/>
      </w:pPr>
      <w:rPr>
        <w:rFonts w:hint="default"/>
        <w:lang w:val="zh-CN" w:eastAsia="zh-CN" w:bidi="zh-CN"/>
      </w:rPr>
    </w:lvl>
    <w:lvl w:ilvl="4" w:tentative="0">
      <w:start w:val="0"/>
      <w:numFmt w:val="bullet"/>
      <w:lvlText w:val="•"/>
      <w:lvlJc w:val="left"/>
      <w:pPr>
        <w:ind w:left="1303" w:hanging="241"/>
      </w:pPr>
      <w:rPr>
        <w:rFonts w:hint="default"/>
        <w:lang w:val="zh-CN" w:eastAsia="zh-CN" w:bidi="zh-CN"/>
      </w:rPr>
    </w:lvl>
    <w:lvl w:ilvl="5" w:tentative="0">
      <w:start w:val="0"/>
      <w:numFmt w:val="bullet"/>
      <w:lvlText w:val="•"/>
      <w:lvlJc w:val="left"/>
      <w:pPr>
        <w:ind w:left="1604" w:hanging="241"/>
      </w:pPr>
      <w:rPr>
        <w:rFonts w:hint="default"/>
        <w:lang w:val="zh-CN" w:eastAsia="zh-CN" w:bidi="zh-CN"/>
      </w:rPr>
    </w:lvl>
    <w:lvl w:ilvl="6" w:tentative="0">
      <w:start w:val="0"/>
      <w:numFmt w:val="bullet"/>
      <w:lvlText w:val="•"/>
      <w:lvlJc w:val="left"/>
      <w:pPr>
        <w:ind w:left="1904" w:hanging="241"/>
      </w:pPr>
      <w:rPr>
        <w:rFonts w:hint="default"/>
        <w:lang w:val="zh-CN" w:eastAsia="zh-CN" w:bidi="zh-CN"/>
      </w:rPr>
    </w:lvl>
    <w:lvl w:ilvl="7" w:tentative="0">
      <w:start w:val="0"/>
      <w:numFmt w:val="bullet"/>
      <w:lvlText w:val="•"/>
      <w:lvlJc w:val="left"/>
      <w:pPr>
        <w:ind w:left="2205" w:hanging="241"/>
      </w:pPr>
      <w:rPr>
        <w:rFonts w:hint="default"/>
        <w:lang w:val="zh-CN" w:eastAsia="zh-CN" w:bidi="zh-CN"/>
      </w:rPr>
    </w:lvl>
    <w:lvl w:ilvl="8" w:tentative="0">
      <w:start w:val="0"/>
      <w:numFmt w:val="bullet"/>
      <w:lvlText w:val="•"/>
      <w:lvlJc w:val="left"/>
      <w:pPr>
        <w:ind w:left="2506" w:hanging="241"/>
      </w:pPr>
      <w:rPr>
        <w:rFonts w:hint="default"/>
        <w:lang w:val="zh-CN" w:eastAsia="zh-CN" w:bidi="zh-C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272FC"/>
    <w:rsid w:val="09DF3BF3"/>
    <w:rsid w:val="0E2230B3"/>
    <w:rsid w:val="11E365EE"/>
    <w:rsid w:val="16826719"/>
    <w:rsid w:val="20325F7E"/>
    <w:rsid w:val="2186076B"/>
    <w:rsid w:val="2A390483"/>
    <w:rsid w:val="2DE41E6C"/>
    <w:rsid w:val="2DF63AA1"/>
    <w:rsid w:val="2FE51104"/>
    <w:rsid w:val="31AF6D34"/>
    <w:rsid w:val="32963820"/>
    <w:rsid w:val="39DF4E31"/>
    <w:rsid w:val="3C5A54F0"/>
    <w:rsid w:val="3CBF7BE4"/>
    <w:rsid w:val="5C423F4D"/>
    <w:rsid w:val="7D1604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character" w:default="1" w:styleId="4">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1137</Words>
  <Characters>1244</Characters>
  <TotalTime>14</TotalTime>
  <ScaleCrop>false</ScaleCrop>
  <LinksUpToDate>false</LinksUpToDate>
  <CharactersWithSpaces>1280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2021-08-23T08:16:00Z</dcterms:created>
  <dc:creator>Administrator</dc:creator>
  <cp:lastModifiedBy>你</cp:lastModifiedBy>
  <dcterms:modified xsi:type="dcterms:W3CDTF">2026-07-21T07:29:55Z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CE897576E4C94D0493CA58EAF0DFB44E</vt:lpwstr>
  </property>
  <property fmtid="{D5CDD505-2E9C-101B-9397-08002B2CF9AE}" pid="4" name="KSOTemplateDocerSaveRecord">
    <vt:lpwstr>eyJoZGlkIjoiNmUyYjlmYzY5ZDFkZmQxZTgzNTlhMTQzNzM1MGY0MmUiLCJ1c2VySWQiOiIxNzMwMTE3MjEzIn0=</vt:lpwstr>
  </property>
</Properties>
</file>