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5A61AD">
      <w:pPr>
        <w:keepNext w:val="0"/>
        <w:keepLines w:val="0"/>
        <w:pageBreakBefore w:val="0"/>
        <w:widowControl w:val="0"/>
        <w:kinsoku/>
        <w:wordWrap/>
        <w:overflowPunct/>
        <w:topLinePunct w:val="0"/>
        <w:autoSpaceDE/>
        <w:autoSpaceDN/>
        <w:bidi w:val="0"/>
        <w:adjustRightInd/>
        <w:snapToGrid/>
        <w:spacing w:line="720" w:lineRule="exact"/>
        <w:ind w:left="0" w:leftChars="0" w:right="0" w:rightChars="0" w:firstLine="0" w:firstLineChars="0"/>
        <w:jc w:val="left"/>
        <w:textAlignment w:val="auto"/>
        <w:outlineLvl w:val="9"/>
        <w:rPr>
          <w:rStyle w:val="40"/>
          <w:rFonts w:hint="default" w:ascii="黑体" w:eastAsia="黑体"/>
          <w:b w:val="0"/>
          <w:bCs w:val="0"/>
          <w:color w:val="auto"/>
          <w:sz w:val="32"/>
          <w:szCs w:val="32"/>
          <w:u w:val="none"/>
          <w:lang w:val="en-US" w:eastAsia="zh-CN"/>
        </w:rPr>
      </w:pPr>
      <w:bookmarkStart w:id="0" w:name="_Toc207985363"/>
      <w:bookmarkStart w:id="1" w:name="_Toc207566522"/>
      <w:bookmarkStart w:id="2" w:name="_Toc207896592"/>
      <w:bookmarkStart w:id="3" w:name="_Toc207896481"/>
      <w:bookmarkStart w:id="4" w:name="_Toc27058"/>
    </w:p>
    <w:p w14:paraId="5F213021">
      <w:pPr>
        <w:tabs>
          <w:tab w:val="left" w:pos="7728"/>
          <w:tab w:val="left" w:pos="7889"/>
          <w:tab w:val="left" w:pos="8050"/>
        </w:tabs>
        <w:spacing w:line="560" w:lineRule="exact"/>
        <w:jc w:val="center"/>
        <w:rPr>
          <w:rFonts w:hint="eastAsia" w:ascii="仿宋_GB2312" w:hAnsi="仿宋_GB2312" w:eastAsia="仿宋_GB2312" w:cs="仿宋_GB2312"/>
          <w:b w:val="0"/>
          <w:bCs w:val="0"/>
          <w:sz w:val="32"/>
          <w:szCs w:val="32"/>
        </w:rPr>
      </w:pPr>
    </w:p>
    <w:p w14:paraId="7DE121EB">
      <w:pPr>
        <w:spacing w:line="560" w:lineRule="exact"/>
        <w:jc w:val="both"/>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pPr>
    </w:p>
    <w:p w14:paraId="30A18BE7">
      <w:pPr>
        <w:spacing w:line="560" w:lineRule="exact"/>
        <w:jc w:val="cente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pPr>
      <w: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t>荣成市人民政府</w:t>
      </w:r>
    </w:p>
    <w:p w14:paraId="5AD0DFE1">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pPr>
      <w: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t>关于印发荣成市国民经济和社会发展</w:t>
      </w:r>
    </w:p>
    <w:p w14:paraId="11398EC4">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pPr>
      <w: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val="en-US" w:eastAsia="zh-CN"/>
          <w14:textFill>
            <w14:solidFill>
              <w14:schemeClr w14:val="tx1"/>
            </w14:solidFill>
          </w14:textFill>
        </w:rPr>
        <w:t>第十五个五年规划纲要的通知</w:t>
      </w:r>
    </w:p>
    <w:p w14:paraId="76A58C93">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仿宋_GB2312" w:hAnsi="仿宋_GB2312" w:eastAsia="仿宋_GB2312" w:cs="仿宋_GB2312"/>
          <w:b w:val="0"/>
          <w:bCs w:val="0"/>
          <w:sz w:val="32"/>
          <w:szCs w:val="32"/>
        </w:rPr>
      </w:pPr>
      <w:r>
        <w:rPr>
          <w:rFonts w:hint="default" w:ascii="Times New Roman" w:hAnsi="Times New Roman" w:eastAsia="仿宋_GB2312" w:cs="Times New Roman"/>
          <w:b w:val="0"/>
          <w:bCs w:val="0"/>
          <w:sz w:val="32"/>
          <w:szCs w:val="32"/>
        </w:rPr>
        <w:t>荣政发〔20</w:t>
      </w:r>
      <w:r>
        <w:rPr>
          <w:rFonts w:hint="eastAsia" w:ascii="Times New Roman" w:hAnsi="Times New Roman" w:eastAsia="仿宋_GB2312" w:cs="Times New Roman"/>
          <w:b w:val="0"/>
          <w:bCs w:val="0"/>
          <w:sz w:val="32"/>
          <w:szCs w:val="32"/>
          <w:lang w:val="en-US" w:eastAsia="zh-CN"/>
        </w:rPr>
        <w:t>26</w:t>
      </w:r>
      <w:r>
        <w:rPr>
          <w:rFonts w:hint="default" w:ascii="Times New Roman" w:hAnsi="Times New Roman" w:eastAsia="仿宋_GB2312" w:cs="Times New Roman"/>
          <w:b w:val="0"/>
          <w:bCs w:val="0"/>
          <w:sz w:val="32"/>
          <w:szCs w:val="32"/>
        </w:rPr>
        <w:t>〕</w:t>
      </w:r>
      <w:r>
        <w:rPr>
          <w:rFonts w:hint="eastAsia" w:ascii="Times New Roman" w:hAnsi="Times New Roman" w:eastAsia="仿宋_GB2312" w:cs="Times New Roman"/>
          <w:b w:val="0"/>
          <w:bCs w:val="0"/>
          <w:sz w:val="32"/>
          <w:szCs w:val="32"/>
          <w:lang w:val="en-US" w:eastAsia="zh-CN"/>
        </w:rPr>
        <w:t>10</w:t>
      </w:r>
      <w:r>
        <w:rPr>
          <w:rFonts w:hint="eastAsia" w:ascii="仿宋_GB2312" w:hAnsi="仿宋_GB2312" w:eastAsia="仿宋_GB2312" w:cs="仿宋_GB2312"/>
          <w:b w:val="0"/>
          <w:bCs w:val="0"/>
          <w:sz w:val="32"/>
          <w:szCs w:val="32"/>
        </w:rPr>
        <w:t>号</w:t>
      </w:r>
    </w:p>
    <w:p w14:paraId="161AAACE">
      <w:pPr>
        <w:pStyle w:val="2"/>
        <w:rPr>
          <w:rFonts w:hint="eastAsia"/>
        </w:rPr>
      </w:pPr>
    </w:p>
    <w:p w14:paraId="6288B3FB">
      <w:pPr>
        <w:keepNext w:val="0"/>
        <w:keepLines w:val="0"/>
        <w:pageBreakBefore w:val="0"/>
        <w:widowControl w:val="0"/>
        <w:kinsoku/>
        <w:wordWrap/>
        <w:overflowPunct w:val="0"/>
        <w:topLinePunct w:val="0"/>
        <w:autoSpaceDE/>
        <w:autoSpaceDN/>
        <w:bidi w:val="0"/>
        <w:adjustRightInd w:val="0"/>
        <w:snapToGrid w:val="0"/>
        <w:spacing w:line="600" w:lineRule="exact"/>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经济开发区、石岛管理区、好运角旅游度假区管委会，各镇人民政府，各街道办事处，市人民政府各部门、单位，上级驻荣有关单位：</w:t>
      </w:r>
    </w:p>
    <w:p w14:paraId="6F1B0708">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《荣成市国民经济和社会发展第十五个五年规划纲要》（以下简称《纲要》）已经市十九届人大六次会议审查批准，现印发给你们，请认真贯彻实施。</w:t>
      </w:r>
    </w:p>
    <w:p w14:paraId="183B2515">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纲要》坚持以习近平新时代中国特色社会主义思想为指导，深入贯彻党的二十大和二十届历次全会精神，认真落实习近平总书记视察山东重要讲话和重要指示批示精神，完整准确全面贯彻新发展理念，主动服务和融入新发展格局，以推动高质量发展为主题，系统总结“十四五”时期发展成就，明确未来五年经济社会发展总体目标、主要任务和重大举措，是加快建设更具创新力的深蓝之城、更具引领力的零碳之城、更具影响力的精致之城、更具感知力的幸福之城，确保“深蓝、零碳、精致、幸福”现代化新荣成建设取得决定性进展的行动纲领。</w:t>
      </w:r>
    </w:p>
    <w:p w14:paraId="6869BB8D">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各级各部门、单位要坚定扛牢“走在前、挑大梁”使命担当，锚定“八个质量更高”目标定位，结合本区域、本部门、本单位实际，认真抓好任务落实，保障《纲要》顺利实施，为争当新时代社会主义现代化强省建设县域范例而团结奋斗。</w:t>
      </w:r>
    </w:p>
    <w:p w14:paraId="4FA0900D">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p>
    <w:p w14:paraId="5FA77717">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p>
    <w:p w14:paraId="7B3C3043">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center"/>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 xml:space="preserve">                     </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荣成市人民政府</w:t>
      </w:r>
    </w:p>
    <w:p w14:paraId="5726D8D7">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center"/>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 xml:space="preserve">                     2026年10月22日</w:t>
      </w:r>
    </w:p>
    <w:p w14:paraId="225E468A">
      <w:pPr>
        <w:keepNext w:val="0"/>
        <w:keepLines w:val="0"/>
        <w:pageBreakBefore w:val="0"/>
        <w:widowControl w:val="0"/>
        <w:kinsoku/>
        <w:wordWrap/>
        <w:overflowPunct w:val="0"/>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（此件公开发布）</w:t>
      </w:r>
    </w:p>
    <w:p w14:paraId="7E7FAF92">
      <w:pP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pPr>
      <w: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br w:type="page"/>
      </w:r>
    </w:p>
    <w:p w14:paraId="26BF1AE0">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pPr>
      <w:r>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t>荣成市</w:t>
      </w:r>
      <w:r>
        <w:rPr>
          <w:rFonts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t>国民经济和社会发展</w:t>
      </w:r>
      <w:bookmarkEnd w:id="0"/>
      <w:bookmarkEnd w:id="1"/>
      <w:bookmarkEnd w:id="2"/>
      <w:bookmarkEnd w:id="3"/>
    </w:p>
    <w:p w14:paraId="3DEE3AF1">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Times New Roman" w:hAnsi="Times New Roman" w:eastAsia="方正小标宋简体" w:cs="方正小标宋简体"/>
          <w:b w:val="0"/>
          <w:bCs w:val="0"/>
          <w:strike w:val="0"/>
          <w:dstrike w:val="0"/>
          <w:color w:val="000000" w:themeColor="text1"/>
          <w:kern w:val="21"/>
          <w:sz w:val="44"/>
          <w:szCs w:val="44"/>
          <w:highlight w:val="none"/>
          <w:u w:val="none"/>
          <w:lang w:eastAsia="zh-CN"/>
          <w14:textFill>
            <w14:solidFill>
              <w14:schemeClr w14:val="tx1"/>
            </w14:solidFill>
          </w14:textFill>
        </w:rPr>
      </w:pPr>
      <w:r>
        <w:rPr>
          <w:rFonts w:ascii="Times New Roman" w:hAnsi="Times New Roman" w:eastAsia="方正小标宋简体" w:cs="方正小标宋简体"/>
          <w:b w:val="0"/>
          <w:bCs w:val="0"/>
          <w:strike w:val="0"/>
          <w:dstrike w:val="0"/>
          <w:color w:val="000000" w:themeColor="text1"/>
          <w:kern w:val="21"/>
          <w:sz w:val="44"/>
          <w:szCs w:val="44"/>
          <w:highlight w:val="none"/>
          <w:u w:val="none"/>
          <w14:textFill>
            <w14:solidFill>
              <w14:schemeClr w14:val="tx1"/>
            </w14:solidFill>
          </w14:textFill>
        </w:rPr>
        <w:t>第十五个五年规划纲要</w:t>
      </w:r>
    </w:p>
    <w:p w14:paraId="4E982298">
      <w:pPr>
        <w:keepNext w:val="0"/>
        <w:keepLines w:val="0"/>
        <w:pageBreakBefore w:val="0"/>
        <w:widowControl w:val="0"/>
        <w:kinsoku/>
        <w:wordWrap/>
        <w:overflowPunct w:val="0"/>
        <w:topLinePunct w:val="0"/>
        <w:autoSpaceDE/>
        <w:autoSpaceDN/>
        <w:bidi w:val="0"/>
        <w:adjustRightInd w:val="0"/>
        <w:snapToGrid w:val="0"/>
        <w:spacing w:line="600" w:lineRule="exact"/>
        <w:jc w:val="center"/>
        <w:textAlignment w:val="auto"/>
        <w:rPr>
          <w:rFonts w:hint="eastAsia" w:ascii="Times New Roman" w:hAnsi="Times New Roman" w:eastAsia="楷体_GB2312" w:cs="楷体_GB2312"/>
          <w:b w:val="0"/>
          <w:bCs w:val="0"/>
          <w:strike w:val="0"/>
          <w:dstrike w:val="0"/>
          <w:color w:val="000000" w:themeColor="text1"/>
          <w:kern w:val="21"/>
          <w:sz w:val="44"/>
          <w:szCs w:val="44"/>
          <w:highlight w:val="none"/>
          <w:u w:val="none"/>
          <w14:textFill>
            <w14:solidFill>
              <w14:schemeClr w14:val="tx1"/>
            </w14:solidFill>
          </w14:textFill>
        </w:rPr>
      </w:pPr>
    </w:p>
    <w:bookmarkEnd w:id="4"/>
    <w:p w14:paraId="1F028BD5">
      <w:pPr>
        <w:pStyle w:val="37"/>
        <w:keepNext w:val="0"/>
        <w:keepLines w:val="0"/>
        <w:pageBreakBefore w:val="0"/>
        <w:widowControl w:val="0"/>
        <w:kinsoku/>
        <w:wordWrap/>
        <w:overflowPunct w:val="0"/>
        <w:topLinePunct w:val="0"/>
        <w:autoSpaceDE/>
        <w:autoSpaceDN/>
        <w:bidi w:val="0"/>
        <w:adjustRightInd/>
        <w:snapToGrid/>
        <w:spacing w:before="0" w:line="560" w:lineRule="exact"/>
        <w:ind w:left="0"/>
        <w:jc w:val="center"/>
        <w:textAlignment w:val="auto"/>
        <w:rPr>
          <w:rFonts w:hint="eastAsia" w:ascii="Times New Roman" w:hAnsi="Times New Roman" w:eastAsia="黑体" w:cs="黑体"/>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黑体" w:cs="黑体"/>
          <w:b w:val="0"/>
          <w:bCs w:val="0"/>
          <w:strike w:val="0"/>
          <w:dstrike w:val="0"/>
          <w:color w:val="000000" w:themeColor="text1"/>
          <w:sz w:val="32"/>
          <w:szCs w:val="32"/>
          <w:highlight w:val="none"/>
          <w:u w:val="none"/>
          <w:lang w:eastAsia="zh-CN"/>
          <w14:textFill>
            <w14:solidFill>
              <w14:schemeClr w14:val="tx1"/>
            </w14:solidFill>
          </w14:textFill>
        </w:rPr>
        <w:t>目</w:t>
      </w:r>
      <w:r>
        <w:rPr>
          <w:rFonts w:hint="eastAsia" w:ascii="Times New Roman" w:hAnsi="Times New Roman" w:eastAsia="黑体" w:cs="黑体"/>
          <w:b w:val="0"/>
          <w:bCs w:val="0"/>
          <w:strike w:val="0"/>
          <w:dstrike w:val="0"/>
          <w:color w:val="000000" w:themeColor="text1"/>
          <w:sz w:val="32"/>
          <w:szCs w:val="32"/>
          <w:highlight w:val="none"/>
          <w:u w:val="none"/>
          <w:lang w:val="en-US" w:eastAsia="zh-CN"/>
          <w14:textFill>
            <w14:solidFill>
              <w14:schemeClr w14:val="tx1"/>
            </w14:solidFill>
          </w14:textFill>
        </w:rPr>
        <w:t xml:space="preserve">  </w:t>
      </w:r>
      <w:r>
        <w:rPr>
          <w:rFonts w:hint="eastAsia" w:ascii="Times New Roman" w:hAnsi="Times New Roman" w:eastAsia="黑体" w:cs="黑体"/>
          <w:b w:val="0"/>
          <w:bCs w:val="0"/>
          <w:strike w:val="0"/>
          <w:dstrike w:val="0"/>
          <w:color w:val="000000" w:themeColor="text1"/>
          <w:sz w:val="32"/>
          <w:szCs w:val="32"/>
          <w:highlight w:val="none"/>
          <w:u w:val="none"/>
          <w:lang w:eastAsia="zh-CN"/>
          <w14:textFill>
            <w14:solidFill>
              <w14:schemeClr w14:val="tx1"/>
            </w14:solidFill>
          </w14:textFill>
        </w:rPr>
        <w:t>录</w:t>
      </w:r>
    </w:p>
    <w:p w14:paraId="736924C2">
      <w:pPr>
        <w:keepNext w:val="0"/>
        <w:keepLines w:val="0"/>
        <w:pageBreakBefore w:val="0"/>
        <w:widowControl w:val="0"/>
        <w:kinsoku/>
        <w:wordWrap/>
        <w:overflowPunct w:val="0"/>
        <w:topLinePunct w:val="0"/>
        <w:autoSpaceDE/>
        <w:autoSpaceDN/>
        <w:bidi w:val="0"/>
        <w:adjustRightInd/>
        <w:snapToGrid/>
        <w:spacing w:line="560" w:lineRule="exact"/>
        <w:textAlignment w:val="auto"/>
        <w:rPr>
          <w:rFonts w:hint="eastAsia" w:ascii="Times New Roman" w:hAnsi="Times New Roman"/>
          <w:b w:val="0"/>
          <w:bCs w:val="0"/>
          <w:strike w:val="0"/>
          <w:dstrike w:val="0"/>
          <w:color w:val="000000" w:themeColor="text1"/>
          <w:highlight w:val="none"/>
          <w:u w:val="none"/>
          <w:shd w:val="clear" w:color="auto" w:fill="auto"/>
          <w:lang w:eastAsia="zh-CN"/>
          <w14:textFill>
            <w14:solidFill>
              <w14:schemeClr w14:val="tx1"/>
            </w14:solidFill>
          </w14:textFill>
        </w:rPr>
      </w:pPr>
    </w:p>
    <w:p w14:paraId="1F5D102D">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FFFFFF" w:fill="D9D9D9"/>
          <w14:textFill>
            <w14:solidFill>
              <w14:schemeClr w14:val="tx1"/>
            </w14:solidFill>
          </w14:textFill>
        </w:rPr>
        <w:fldChar w:fldCharType="begin"/>
      </w:r>
      <w:r>
        <w:rPr>
          <w:rFonts w:hint="eastAsia" w:ascii="Times New Roman" w:hAnsi="Times New Roman" w:eastAsia="仿宋_GB2312" w:cs="仿宋_GB2312"/>
          <w:b w:val="0"/>
          <w:bCs w:val="0"/>
          <w:strike w:val="0"/>
          <w:dstrike w:val="0"/>
          <w:color w:val="000000" w:themeColor="text1"/>
          <w:sz w:val="32"/>
          <w:szCs w:val="32"/>
          <w:highlight w:val="none"/>
          <w:u w:val="none"/>
          <w:shd w:val="clear" w:color="FFFFFF" w:fill="D9D9D9"/>
          <w14:textFill>
            <w14:solidFill>
              <w14:schemeClr w14:val="tx1"/>
            </w14:solidFill>
          </w14:textFill>
        </w:rPr>
        <w:instrText xml:space="preserve"> TOC \o "1-3" \h \z \u </w:instrText>
      </w:r>
      <w:r>
        <w:rPr>
          <w:rFonts w:hint="eastAsia" w:ascii="Times New Roman" w:hAnsi="Times New Roman" w:eastAsia="仿宋_GB2312" w:cs="仿宋_GB2312"/>
          <w:b w:val="0"/>
          <w:bCs w:val="0"/>
          <w:strike w:val="0"/>
          <w:dstrike w:val="0"/>
          <w:color w:val="000000" w:themeColor="text1"/>
          <w:sz w:val="32"/>
          <w:szCs w:val="32"/>
          <w:highlight w:val="none"/>
          <w:u w:val="none"/>
          <w:shd w:val="clear" w:color="FFFFFF" w:fill="D9D9D9"/>
          <w14:textFill>
            <w14:solidFill>
              <w14:schemeClr w14:val="tx1"/>
            </w14:solidFill>
          </w14:textFill>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fldChar w:fldCharType="begin"/>
      </w:r>
      <w:r>
        <w:rPr>
          <w:rFonts w:hint="eastAsia" w:ascii="黑体" w:hAnsi="黑体" w:eastAsia="黑体" w:cs="黑体"/>
          <w:b w:val="0"/>
          <w:bCs w:val="0"/>
          <w:strike w:val="0"/>
          <w:dstrike w:val="0"/>
          <w:spacing w:val="-6"/>
          <w:w w:val="100"/>
          <w:sz w:val="32"/>
          <w:szCs w:val="32"/>
          <w:highlight w:val="none"/>
          <w:shd w:val="clear" w:color="auto" w:fill="auto"/>
        </w:rPr>
        <w:instrText xml:space="preserve"> HYPERLINK \l _Toc4086 </w:instrText>
      </w:r>
      <w:r>
        <w:rPr>
          <w:rFonts w:hint="eastAsia" w:ascii="黑体" w:hAnsi="黑体" w:eastAsia="黑体" w:cs="黑体"/>
          <w:b w:val="0"/>
          <w:bCs w:val="0"/>
          <w:strike w:val="0"/>
          <w:dstrike w:val="0"/>
          <w:spacing w:val="-6"/>
          <w:w w:val="100"/>
          <w:sz w:val="32"/>
          <w:szCs w:val="32"/>
          <w:highlight w:val="none"/>
          <w:shd w:val="clear" w:color="auto" w:fill="auto"/>
        </w:rPr>
        <w:fldChar w:fldCharType="separate"/>
      </w:r>
      <w:r>
        <w:rPr>
          <w:rFonts w:hint="eastAsia" w:ascii="黑体" w:hAnsi="黑体" w:eastAsia="黑体" w:cs="黑体"/>
          <w:b w:val="0"/>
          <w:bCs w:val="0"/>
          <w:strike w:val="0"/>
          <w:dstrike w:val="0"/>
          <w:spacing w:val="-6"/>
          <w:w w:val="100"/>
          <w:sz w:val="32"/>
          <w:szCs w:val="32"/>
          <w:highlight w:val="none"/>
          <w:shd w:val="clear" w:color="auto" w:fill="auto"/>
          <w:lang w:val="en-US" w:eastAsia="zh-CN"/>
        </w:rPr>
        <w:t>第一章  锚定中国式现代化目标，确保基本实现社会主义现代化取得决定性进展</w:t>
      </w:r>
      <w:r>
        <w:rPr>
          <w:rFonts w:hint="eastAsia" w:ascii="黑体" w:hAnsi="黑体" w:eastAsia="黑体" w:cs="黑体"/>
          <w:b w:val="0"/>
          <w:bCs w:val="0"/>
          <w:spacing w:val="-6"/>
          <w:w w:val="100"/>
          <w:sz w:val="32"/>
          <w:szCs w:val="32"/>
          <w:highlight w:val="none"/>
          <w:shd w:val="clear" w:color="auto" w:fill="auto"/>
        </w:rPr>
        <w:tab/>
      </w:r>
      <w:r>
        <w:rPr>
          <w:rFonts w:hint="default" w:ascii="Times New Roman" w:hAnsi="Times New Roman" w:eastAsia="黑体" w:cs="Times New Roman"/>
          <w:b w:val="0"/>
          <w:bCs w:val="0"/>
          <w:spacing w:val="-6"/>
          <w:w w:val="100"/>
          <w:sz w:val="32"/>
          <w:szCs w:val="32"/>
          <w:highlight w:val="none"/>
          <w:shd w:val="clear" w:color="auto" w:fill="auto"/>
        </w:rPr>
        <w:fldChar w:fldCharType="begin"/>
      </w:r>
      <w:r>
        <w:rPr>
          <w:rFonts w:hint="default" w:ascii="Times New Roman" w:hAnsi="Times New Roman" w:eastAsia="黑体" w:cs="Times New Roman"/>
          <w:b w:val="0"/>
          <w:bCs w:val="0"/>
          <w:spacing w:val="-6"/>
          <w:w w:val="100"/>
          <w:sz w:val="32"/>
          <w:szCs w:val="32"/>
          <w:highlight w:val="none"/>
          <w:shd w:val="clear" w:color="auto" w:fill="auto"/>
        </w:rPr>
        <w:instrText xml:space="preserve"> PAGEREF _Toc4086 \h </w:instrText>
      </w:r>
      <w:r>
        <w:rPr>
          <w:rFonts w:hint="default" w:ascii="Times New Roman" w:hAnsi="Times New Roman" w:eastAsia="黑体" w:cs="Times New Roman"/>
          <w:b w:val="0"/>
          <w:bCs w:val="0"/>
          <w:spacing w:val="-6"/>
          <w:w w:val="100"/>
          <w:sz w:val="32"/>
          <w:szCs w:val="32"/>
          <w:highlight w:val="none"/>
          <w:shd w:val="clear" w:color="auto" w:fill="auto"/>
        </w:rPr>
        <w:fldChar w:fldCharType="separate"/>
      </w:r>
      <w:r>
        <w:rPr>
          <w:rFonts w:hint="default" w:ascii="Times New Roman" w:hAnsi="Times New Roman" w:eastAsia="黑体" w:cs="Times New Roman"/>
          <w:b w:val="0"/>
          <w:bCs w:val="0"/>
          <w:spacing w:val="-6"/>
          <w:w w:val="100"/>
          <w:sz w:val="32"/>
          <w:szCs w:val="32"/>
          <w:highlight w:val="none"/>
          <w:shd w:val="clear" w:color="auto" w:fill="auto"/>
        </w:rPr>
        <w:t>1</w:t>
      </w:r>
      <w:r>
        <w:rPr>
          <w:rFonts w:hint="default" w:ascii="Times New Roman" w:hAnsi="Times New Roman" w:eastAsia="黑体" w:cs="Times New Roman"/>
          <w:b w:val="0"/>
          <w:bCs w:val="0"/>
          <w:spacing w:val="-6"/>
          <w:w w:val="100"/>
          <w:sz w:val="32"/>
          <w:szCs w:val="32"/>
          <w:highlight w:val="none"/>
          <w:shd w:val="clear" w:color="auto" w:fill="auto"/>
        </w:rPr>
        <w:fldChar w:fldCharType="end"/>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fldChar w:fldCharType="end"/>
      </w:r>
    </w:p>
    <w:p w14:paraId="046B81BB">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_Toc8958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第一节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w:t>
      </w:r>
      <w:r>
        <w:rPr>
          <w:rFonts w:hint="eastAsia" w:ascii="Times New Roman" w:hAnsi="Times New Roman" w:eastAsia="仿宋_GB2312" w:cs="仿宋_GB2312"/>
          <w:b w:val="0"/>
          <w:bCs w:val="0"/>
          <w:strike w:val="0"/>
          <w:dstrike w:val="0"/>
          <w:sz w:val="32"/>
          <w:szCs w:val="32"/>
          <w:highlight w:val="none"/>
          <w:shd w:val="clear" w:color="auto" w:fill="auto"/>
        </w:rPr>
        <w:t>十四五</w:t>
      </w:r>
      <w:r>
        <w:rPr>
          <w:rFonts w:hint="eastAsia" w:ascii="Times New Roman" w:hAnsi="Times New Roman" w:eastAsia="仿宋_GB2312" w:cs="仿宋_GB2312"/>
          <w:b w:val="0"/>
          <w:bCs w:val="0"/>
          <w:strike w:val="0"/>
          <w:dstrike w:val="0"/>
          <w:sz w:val="32"/>
          <w:szCs w:val="32"/>
          <w:highlight w:val="none"/>
          <w:shd w:val="clear" w:color="auto" w:fill="auto"/>
          <w:lang w:eastAsia="zh-CN"/>
        </w:rPr>
        <w:t>”</w:t>
      </w:r>
      <w:r>
        <w:rPr>
          <w:rFonts w:hint="eastAsia" w:ascii="Times New Roman" w:hAnsi="Times New Roman" w:eastAsia="仿宋_GB2312" w:cs="仿宋_GB2312"/>
          <w:b w:val="0"/>
          <w:bCs w:val="0"/>
          <w:strike w:val="0"/>
          <w:dstrike w:val="0"/>
          <w:sz w:val="32"/>
          <w:szCs w:val="32"/>
          <w:highlight w:val="none"/>
          <w:shd w:val="clear" w:color="auto" w:fill="auto"/>
        </w:rPr>
        <w:t>时期发展成就与经验启示</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_Toc8958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C8A8FB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_Toc2239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新发展阶段面临的机遇与挑战</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_Toc2239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C357367">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_Toc30686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第三节 指导思想与基本原则</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_Toc30686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DDFF599">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_Toc4752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第四节 发展定位</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_Toc4752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13A275B">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_Toc28349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第五节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w:t>
      </w:r>
      <w:r>
        <w:rPr>
          <w:rFonts w:hint="eastAsia" w:ascii="Times New Roman" w:hAnsi="Times New Roman" w:eastAsia="仿宋_GB2312" w:cs="仿宋_GB2312"/>
          <w:b w:val="0"/>
          <w:bCs w:val="0"/>
          <w:strike w:val="0"/>
          <w:dstrike w:val="0"/>
          <w:sz w:val="32"/>
          <w:szCs w:val="32"/>
          <w:highlight w:val="none"/>
          <w:shd w:val="clear" w:color="auto" w:fill="auto"/>
        </w:rPr>
        <w:t>十五五</w:t>
      </w:r>
      <w:r>
        <w:rPr>
          <w:rFonts w:hint="eastAsia" w:ascii="Times New Roman" w:hAnsi="Times New Roman" w:eastAsia="仿宋_GB2312" w:cs="仿宋_GB2312"/>
          <w:b w:val="0"/>
          <w:bCs w:val="0"/>
          <w:strike w:val="0"/>
          <w:dstrike w:val="0"/>
          <w:sz w:val="32"/>
          <w:szCs w:val="32"/>
          <w:highlight w:val="none"/>
          <w:shd w:val="clear" w:color="auto" w:fill="auto"/>
          <w:lang w:eastAsia="zh-CN"/>
        </w:rPr>
        <w:t>”</w:t>
      </w:r>
      <w:r>
        <w:rPr>
          <w:rFonts w:hint="eastAsia" w:ascii="Times New Roman" w:hAnsi="Times New Roman" w:eastAsia="仿宋_GB2312" w:cs="仿宋_GB2312"/>
          <w:b w:val="0"/>
          <w:bCs w:val="0"/>
          <w:strike w:val="0"/>
          <w:dstrike w:val="0"/>
          <w:sz w:val="32"/>
          <w:szCs w:val="32"/>
          <w:highlight w:val="none"/>
          <w:shd w:val="clear" w:color="auto" w:fill="auto"/>
        </w:rPr>
        <w:t>时期主要目标</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_Toc28349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F9BA56E">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_Toc26647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val="en-US" w:eastAsia="zh-CN"/>
          <w14:textFill>
            <w14:solidFill>
              <w14:schemeClr w14:val="tx1"/>
            </w14:solidFill>
          </w14:textFill>
        </w:rPr>
        <w:t>第二章  建设现代化产业体系，巩固壮大实体经济根基</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_Toc26647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9D438A0">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_Toc23126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第一节 做大做强优势产业</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_Toc23126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28FF38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_Toc4324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第二节 前沿布局未来产业</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_Toc4324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24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D2AC7CC">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_Toc3274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第三节 提质升级现代服务业</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_Toc3274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26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A60AB3E">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_Toc9242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第四节 构建全域产业生态圈</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_Toc9242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086AB41">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_Toc16398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val="en-US" w:eastAsia="zh-CN"/>
          <w14:textFill>
            <w14:solidFill>
              <w14:schemeClr w14:val="tx1"/>
            </w14:solidFill>
          </w14:textFill>
        </w:rPr>
        <w:t>第三章  深化创新驱动战略，引领发展新质生产力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_Toc16398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04F08F3">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_Toc32183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第一节 夯</w:t>
      </w:r>
      <w:r>
        <w:rPr>
          <w:rFonts w:hint="eastAsia" w:ascii="Times New Roman" w:hAnsi="Times New Roman" w:eastAsia="仿宋_GB2312" w:cs="仿宋_GB2312"/>
          <w:b w:val="0"/>
          <w:bCs w:val="0"/>
          <w:strike w:val="0"/>
          <w:dstrike w:val="0"/>
          <w:kern w:val="21"/>
          <w:sz w:val="32"/>
          <w:szCs w:val="32"/>
          <w:highlight w:val="none"/>
          <w:shd w:val="clear" w:color="auto" w:fill="auto"/>
          <w:lang w:val="en-US" w:eastAsia="zh-CN"/>
          <w14:ligatures w14:val="standardContextual"/>
        </w:rPr>
        <w:t>实产业升级创新基础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_Toc32183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1CB995B">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_Toc10911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第二节 激活科技创新主体动能</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_Toc10911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5185709">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_Toc25322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第三节 深化科教才三位一体格局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_Toc25322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C971383">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_Toc27378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第四节 打造一流科技创新生态</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_Toc27378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FDFFF83">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_Toc13907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第四章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推动</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实数</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深度融合，激发数字经济创新活力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_Toc13907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38</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5B70B93">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_Toc1846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第一节 夯实数字产业化根基</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_Toc1846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38</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4355CCE">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_Toc9001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第二节 推进产业数字化转型</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_Toc9001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EBA6C68">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_Toc27753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第三节 加速数据价值化进程</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_Toc27753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43</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4CA1724">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_Toc7826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第四节 深化治理服务数字化</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_Toc7826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E5E39D9">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_Toc28364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五章  推进海洋强市建设，打造现代海洋经济发展高地</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_Toc28364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0273D8A6">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_Toc22704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 激</w:t>
      </w:r>
      <w:r>
        <w:rPr>
          <w:rFonts w:hint="eastAsia" w:ascii="Times New Roman" w:hAnsi="Times New Roman" w:eastAsia="仿宋_GB2312" w:cs="仿宋_GB2312"/>
          <w:b w:val="0"/>
          <w:bCs w:val="0"/>
          <w:strike w:val="0"/>
          <w:dstrike w:val="0"/>
          <w:sz w:val="32"/>
          <w:szCs w:val="32"/>
          <w:highlight w:val="none"/>
          <w:shd w:val="clear" w:color="auto" w:fill="auto"/>
          <w:lang w:eastAsia="zh-CN"/>
        </w:rPr>
        <w:t>活</w:t>
      </w:r>
      <w:r>
        <w:rPr>
          <w:rFonts w:hint="eastAsia" w:ascii="Times New Roman" w:hAnsi="Times New Roman" w:eastAsia="仿宋_GB2312" w:cs="仿宋_GB2312"/>
          <w:b w:val="0"/>
          <w:bCs w:val="0"/>
          <w:strike w:val="0"/>
          <w:dstrike w:val="0"/>
          <w:sz w:val="32"/>
          <w:szCs w:val="32"/>
          <w:highlight w:val="none"/>
          <w:shd w:val="clear" w:color="auto" w:fill="auto"/>
        </w:rPr>
        <w:t>海洋产业发展潜力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_Toc22704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3AFE4B7">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_Toc7992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做优做强现代港口经济</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_Toc7992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49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1B8772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_Toc17208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第三节 深化海洋开发利用保护</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_Toc17208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C27868D">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_Toc9189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第四节 优化海洋综合治理格局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_Toc9189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16C92A0">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_Toc16772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第六章</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val="en-US" w:eastAsia="zh-CN"/>
          <w14:textFill>
            <w14:solidFill>
              <w14:schemeClr w14:val="tx1"/>
            </w14:solidFill>
          </w14:textFill>
        </w:rPr>
        <w:t xml:space="preserve">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深化体制机制改革，增强高质量发展动力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_Toc16772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0B309FBD">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_Toc30883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第一节 激发市场运行新动能</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_Toc30883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20C58C7">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_Toc30341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第二节 提振市场主体新活力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_Toc30341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AF86BF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_Toc1797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第三节 实现营商环境新突破</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_Toc1797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59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378FF05">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_Toc29908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第四节 开创信用赋能新局面</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_Toc29908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61</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AB30A06">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_Toc6923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七</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统筹扩大内需和高水平对外开放</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val="en-US" w:eastAsia="zh-CN"/>
          <w14:textFill>
            <w14:solidFill>
              <w14:schemeClr w14:val="tx1"/>
            </w14:solidFill>
          </w14:textFill>
        </w:rPr>
        <w:t>，</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服务和融入新发展格局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_Toc6923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0CC667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_Toc8940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第一节 坚定不移推动扩大内需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_Toc8940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E9B1229">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_Toc32617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第二节 培育壮大外贸发展动能</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_Toc32617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D6AF05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_Toc8833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第三节 扩大对外开放合作空间</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_Toc8833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D8BDE4D">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_Toc4286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第四节 加快推动品质荣成建设</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_Toc4286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69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BE9B663">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_Toc31723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八</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章  加快绿色低碳转型，</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建设更高水平美丽荣成</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_Toc31723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71</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1C515F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_Toc9065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第一节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推动</w:t>
      </w:r>
      <w:r>
        <w:rPr>
          <w:rFonts w:hint="eastAsia" w:ascii="Times New Roman" w:hAnsi="Times New Roman" w:eastAsia="仿宋_GB2312" w:cs="仿宋_GB2312"/>
          <w:b w:val="0"/>
          <w:bCs w:val="0"/>
          <w:strike w:val="0"/>
          <w:dstrike w:val="0"/>
          <w:sz w:val="32"/>
          <w:szCs w:val="32"/>
          <w:highlight w:val="none"/>
          <w:shd w:val="clear" w:color="auto" w:fill="auto"/>
        </w:rPr>
        <w:t>产业绿色转型</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_Toc9065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71</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360622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_Toc4554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第二节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开展</w:t>
      </w:r>
      <w:r>
        <w:rPr>
          <w:rFonts w:hint="eastAsia" w:ascii="Times New Roman" w:hAnsi="Times New Roman" w:eastAsia="仿宋_GB2312" w:cs="仿宋_GB2312"/>
          <w:b w:val="0"/>
          <w:bCs w:val="0"/>
          <w:strike w:val="0"/>
          <w:dstrike w:val="0"/>
          <w:sz w:val="32"/>
          <w:szCs w:val="32"/>
          <w:highlight w:val="none"/>
          <w:shd w:val="clear" w:color="auto" w:fill="auto"/>
        </w:rPr>
        <w:t>环境综合治理</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_Toc4554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74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564B900">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_Toc30794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第三节 优化生态涵养修复</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_Toc30794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77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84CEA38">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_Toc20310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第四节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倡导绿色生活方式</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_Toc20310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78</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093C48E7">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_Toc3130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九</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统筹城乡融合发展</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推动以人为本的新型城镇化</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_Toc3130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82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7F273C4">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_Toc10848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 优化全域空间发展格局</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_Toc10848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82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328004A">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_Toc16553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推动城乡深度融合发展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_Toc16553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85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038757FD">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_Toc7698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第三节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积极</w:t>
      </w:r>
      <w:r>
        <w:rPr>
          <w:rFonts w:hint="eastAsia" w:ascii="Times New Roman" w:hAnsi="Times New Roman" w:eastAsia="仿宋_GB2312" w:cs="仿宋_GB2312"/>
          <w:b w:val="0"/>
          <w:bCs w:val="0"/>
          <w:strike w:val="0"/>
          <w:dstrike w:val="0"/>
          <w:sz w:val="32"/>
          <w:szCs w:val="32"/>
          <w:highlight w:val="none"/>
          <w:shd w:val="clear" w:color="auto" w:fill="auto"/>
        </w:rPr>
        <w:t>融入上级重大战略</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_Toc7698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87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A2D606E">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_Toc3519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第四节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增强</w:t>
      </w:r>
      <w:r>
        <w:rPr>
          <w:rFonts w:hint="eastAsia" w:ascii="Times New Roman" w:hAnsi="Times New Roman" w:eastAsia="仿宋_GB2312" w:cs="仿宋_GB2312"/>
          <w:b w:val="0"/>
          <w:bCs w:val="0"/>
          <w:strike w:val="0"/>
          <w:dstrike w:val="0"/>
          <w:sz w:val="32"/>
          <w:szCs w:val="32"/>
          <w:highlight w:val="none"/>
          <w:shd w:val="clear" w:color="auto" w:fill="auto"/>
        </w:rPr>
        <w:t>城市发展长效韧性</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_Toc3519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89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06943EE">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_Toc11500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章 全面推进乡村振兴，绘就业荣村美民富图景</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_Toc11500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AA8F72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_Toc13044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 推动农业高质量发展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_Toc13044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CD54AE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_Toc11169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打造和美乡村</w:t>
      </w:r>
      <w:r>
        <w:rPr>
          <w:rFonts w:hint="eastAsia" w:ascii="Times New Roman" w:hAnsi="Times New Roman" w:eastAsia="仿宋_GB2312" w:cs="仿宋_GB2312"/>
          <w:b w:val="0"/>
          <w:bCs w:val="0"/>
          <w:strike w:val="0"/>
          <w:dstrike w:val="0"/>
          <w:sz w:val="32"/>
          <w:szCs w:val="32"/>
          <w:highlight w:val="none"/>
          <w:shd w:val="clear" w:color="auto" w:fill="auto"/>
          <w:lang w:eastAsia="zh-CN"/>
        </w:rPr>
        <w:t>荣成</w:t>
      </w:r>
      <w:r>
        <w:rPr>
          <w:rFonts w:hint="eastAsia" w:ascii="Times New Roman" w:hAnsi="Times New Roman" w:eastAsia="仿宋_GB2312" w:cs="仿宋_GB2312"/>
          <w:b w:val="0"/>
          <w:bCs w:val="0"/>
          <w:strike w:val="0"/>
          <w:dstrike w:val="0"/>
          <w:sz w:val="32"/>
          <w:szCs w:val="32"/>
          <w:highlight w:val="none"/>
          <w:shd w:val="clear" w:color="auto" w:fill="auto"/>
        </w:rPr>
        <w:t>样板</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_Toc11169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3262B0A0">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_Toc16637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第三节 提升农业生产保障能力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_Toc16637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84DC49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_Toc25519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第四节 激活乡村发展内生动力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_Toc25519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99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976383B">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_Toc28793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一</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章  创新发展优秀文化，提升城市文化软实力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_Toc28793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E89CAC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_Toc21483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 持续提升全域文明程度</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_Toc21483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084CAA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_Toc4815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完善公共文化服务体系</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_Toc4815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3A9C5A7">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_Toc18021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第三节 传承弘扬优秀传统文化</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_Toc18021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156B804">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_Toc5903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第四节 推动文化产业高质量发展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_Toc5903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107</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6F8C27C">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_Toc28223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二</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着力保障改善民生</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促进全体人民共同富裕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_Toc28223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110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7B0FB58">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_Toc10971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w:t>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 xml:space="preserve"> </w:t>
      </w:r>
      <w:r>
        <w:rPr>
          <w:rFonts w:hint="eastAsia" w:ascii="Times New Roman" w:hAnsi="Times New Roman" w:eastAsia="仿宋_GB2312" w:cs="仿宋_GB2312"/>
          <w:b w:val="0"/>
          <w:bCs w:val="0"/>
          <w:strike w:val="0"/>
          <w:dstrike w:val="0"/>
          <w:sz w:val="32"/>
          <w:szCs w:val="32"/>
          <w:highlight w:val="none"/>
          <w:shd w:val="clear" w:color="auto" w:fill="auto"/>
          <w:lang w:eastAsia="zh-CN"/>
        </w:rPr>
        <w:t>促进高质量充分就业</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_Toc10971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110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B1919DF">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_Toc5488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第二节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办好人民满意的</w:t>
      </w:r>
      <w:r>
        <w:rPr>
          <w:rFonts w:hint="eastAsia" w:ascii="Times New Roman" w:hAnsi="Times New Roman" w:eastAsia="仿宋_GB2312" w:cs="仿宋_GB2312"/>
          <w:b w:val="0"/>
          <w:bCs w:val="0"/>
          <w:strike w:val="0"/>
          <w:dstrike w:val="0"/>
          <w:sz w:val="32"/>
          <w:szCs w:val="32"/>
          <w:highlight w:val="none"/>
          <w:shd w:val="clear" w:color="auto" w:fill="auto"/>
        </w:rPr>
        <w:t>教育</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_Toc5488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112</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2A4CD03">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_Toc32678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w:t>
      </w:r>
      <w:r>
        <w:rPr>
          <w:rFonts w:hint="eastAsia" w:ascii="Times New Roman" w:hAnsi="Times New Roman" w:eastAsia="仿宋_GB2312" w:cs="仿宋_GB2312"/>
          <w:b w:val="0"/>
          <w:bCs w:val="0"/>
          <w:strike w:val="0"/>
          <w:dstrike w:val="0"/>
          <w:sz w:val="32"/>
          <w:szCs w:val="32"/>
          <w:highlight w:val="none"/>
          <w:shd w:val="clear" w:color="auto" w:fill="auto"/>
          <w:lang w:eastAsia="zh-CN"/>
        </w:rPr>
        <w:t>三</w:t>
      </w:r>
      <w:r>
        <w:rPr>
          <w:rFonts w:hint="eastAsia" w:ascii="Times New Roman" w:hAnsi="Times New Roman" w:eastAsia="仿宋_GB2312" w:cs="仿宋_GB2312"/>
          <w:b w:val="0"/>
          <w:bCs w:val="0"/>
          <w:strike w:val="0"/>
          <w:dstrike w:val="0"/>
          <w:sz w:val="32"/>
          <w:szCs w:val="32"/>
          <w:highlight w:val="none"/>
          <w:shd w:val="clear" w:color="auto" w:fill="auto"/>
        </w:rPr>
        <w:t>节 深化健康荣成</w:t>
      </w:r>
      <w:r>
        <w:rPr>
          <w:rFonts w:hint="eastAsia" w:ascii="Times New Roman" w:hAnsi="Times New Roman" w:eastAsia="仿宋_GB2312" w:cs="仿宋_GB2312"/>
          <w:b w:val="0"/>
          <w:bCs w:val="0"/>
          <w:strike w:val="0"/>
          <w:dstrike w:val="0"/>
          <w:sz w:val="32"/>
          <w:szCs w:val="32"/>
          <w:highlight w:val="none"/>
          <w:shd w:val="clear" w:color="auto" w:fill="auto"/>
          <w:lang w:eastAsia="zh-CN"/>
        </w:rPr>
        <w:t>建设</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_Toc32678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115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57E9C8A">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_Toc24981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w:t>
      </w:r>
      <w:r>
        <w:rPr>
          <w:rFonts w:hint="eastAsia" w:ascii="Times New Roman" w:hAnsi="Times New Roman" w:eastAsia="仿宋_GB2312" w:cs="仿宋_GB2312"/>
          <w:b w:val="0"/>
          <w:bCs w:val="0"/>
          <w:strike w:val="0"/>
          <w:dstrike w:val="0"/>
          <w:sz w:val="32"/>
          <w:szCs w:val="32"/>
          <w:highlight w:val="none"/>
          <w:shd w:val="clear" w:color="auto" w:fill="auto"/>
          <w:lang w:eastAsia="zh-CN"/>
        </w:rPr>
        <w:t>四</w:t>
      </w:r>
      <w:r>
        <w:rPr>
          <w:rFonts w:hint="eastAsia" w:ascii="Times New Roman" w:hAnsi="Times New Roman" w:eastAsia="仿宋_GB2312" w:cs="仿宋_GB2312"/>
          <w:b w:val="0"/>
          <w:bCs w:val="0"/>
          <w:strike w:val="0"/>
          <w:dstrike w:val="0"/>
          <w:sz w:val="32"/>
          <w:szCs w:val="32"/>
          <w:highlight w:val="none"/>
          <w:shd w:val="clear" w:color="auto" w:fill="auto"/>
        </w:rPr>
        <w:t>节</w:t>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 xml:space="preserve"> 推动人口长期均衡发展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_Toc24981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119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00FEED18">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_Toc16068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lang w:eastAsia="zh-CN"/>
        </w:rPr>
        <w:t>第五节</w:t>
      </w:r>
      <w:r>
        <w:rPr>
          <w:rFonts w:hint="eastAsia" w:ascii="Times New Roman" w:hAnsi="Times New Roman" w:eastAsia="仿宋_GB2312" w:cs="仿宋_GB2312"/>
          <w:b w:val="0"/>
          <w:bCs w:val="0"/>
          <w:strike w:val="0"/>
          <w:dstrike w:val="0"/>
          <w:sz w:val="32"/>
          <w:szCs w:val="32"/>
          <w:highlight w:val="none"/>
          <w:shd w:val="clear" w:color="auto" w:fill="auto"/>
          <w:lang w:val="en-US" w:eastAsia="zh-CN"/>
        </w:rPr>
        <w:t xml:space="preserve"> </w:t>
      </w:r>
      <w:r>
        <w:rPr>
          <w:rFonts w:hint="eastAsia" w:ascii="Times New Roman" w:hAnsi="Times New Roman" w:eastAsia="仿宋_GB2312" w:cs="仿宋_GB2312"/>
          <w:b w:val="0"/>
          <w:bCs w:val="0"/>
          <w:strike w:val="0"/>
          <w:dstrike w:val="0"/>
          <w:sz w:val="32"/>
          <w:szCs w:val="32"/>
          <w:highlight w:val="none"/>
          <w:shd w:val="clear" w:color="auto" w:fill="auto"/>
        </w:rPr>
        <w:t>健全多层次社会保障体系</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_Toc16068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121</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1517645">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_Toc12338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三</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贯彻总体国家安全观，以新安全格局保障高质量发展</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_Toc12338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6A044AFE">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_Toc19234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w:t>
      </w:r>
      <w:r>
        <w:rPr>
          <w:rFonts w:hint="eastAsia" w:ascii="Times New Roman" w:hAnsi="Times New Roman" w:eastAsia="仿宋_GB2312" w:cs="仿宋_GB2312"/>
          <w:b w:val="0"/>
          <w:bCs w:val="0"/>
          <w:strike w:val="0"/>
          <w:dstrike w:val="0"/>
          <w:sz w:val="32"/>
          <w:szCs w:val="32"/>
          <w:highlight w:val="none"/>
          <w:shd w:val="clear" w:color="auto" w:fill="auto"/>
          <w:lang w:eastAsia="zh-CN"/>
        </w:rPr>
        <w:t>一</w:t>
      </w:r>
      <w:r>
        <w:rPr>
          <w:rFonts w:hint="eastAsia" w:ascii="Times New Roman" w:hAnsi="Times New Roman" w:eastAsia="仿宋_GB2312" w:cs="仿宋_GB2312"/>
          <w:b w:val="0"/>
          <w:bCs w:val="0"/>
          <w:strike w:val="0"/>
          <w:dstrike w:val="0"/>
          <w:sz w:val="32"/>
          <w:szCs w:val="32"/>
          <w:highlight w:val="none"/>
          <w:shd w:val="clear" w:color="auto" w:fill="auto"/>
        </w:rPr>
        <w:t>节 构建全域安全责任体系</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_Toc19234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F8A1A9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_Toc19990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第二节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提升</w:t>
      </w:r>
      <w:r>
        <w:rPr>
          <w:rFonts w:hint="eastAsia" w:ascii="Times New Roman" w:hAnsi="Times New Roman" w:eastAsia="仿宋_GB2312" w:cs="仿宋_GB2312"/>
          <w:b w:val="0"/>
          <w:bCs w:val="0"/>
          <w:strike w:val="0"/>
          <w:dstrike w:val="0"/>
          <w:sz w:val="32"/>
          <w:szCs w:val="32"/>
          <w:highlight w:val="none"/>
          <w:shd w:val="clear" w:color="auto" w:fill="auto"/>
        </w:rPr>
        <w:t>基层治理能力</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_Toc19990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126</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21965FC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_Toc9634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w:t>
      </w:r>
      <w:r>
        <w:rPr>
          <w:rFonts w:hint="eastAsia" w:ascii="Times New Roman" w:hAnsi="Times New Roman" w:eastAsia="仿宋_GB2312" w:cs="仿宋_GB2312"/>
          <w:b w:val="0"/>
          <w:bCs w:val="0"/>
          <w:strike w:val="0"/>
          <w:dstrike w:val="0"/>
          <w:sz w:val="32"/>
          <w:szCs w:val="32"/>
          <w:highlight w:val="none"/>
          <w:shd w:val="clear" w:color="auto" w:fill="auto"/>
          <w:lang w:eastAsia="zh-CN"/>
        </w:rPr>
        <w:t>三</w:t>
      </w:r>
      <w:r>
        <w:rPr>
          <w:rFonts w:hint="eastAsia" w:ascii="Times New Roman" w:hAnsi="Times New Roman" w:eastAsia="仿宋_GB2312" w:cs="仿宋_GB2312"/>
          <w:b w:val="0"/>
          <w:bCs w:val="0"/>
          <w:strike w:val="0"/>
          <w:dstrike w:val="0"/>
          <w:sz w:val="32"/>
          <w:szCs w:val="32"/>
          <w:highlight w:val="none"/>
          <w:shd w:val="clear" w:color="auto" w:fill="auto"/>
        </w:rPr>
        <w:t>节 推进法治荣成建设</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_Toc9634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129</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B1B73B2">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_Toc10939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w:t>
      </w:r>
      <w:r>
        <w:rPr>
          <w:rFonts w:hint="eastAsia" w:ascii="Times New Roman" w:hAnsi="Times New Roman" w:eastAsia="仿宋_GB2312" w:cs="仿宋_GB2312"/>
          <w:b w:val="0"/>
          <w:bCs w:val="0"/>
          <w:strike w:val="0"/>
          <w:dstrike w:val="0"/>
          <w:sz w:val="32"/>
          <w:szCs w:val="32"/>
          <w:highlight w:val="none"/>
          <w:shd w:val="clear" w:color="auto" w:fill="auto"/>
          <w:lang w:eastAsia="zh-CN"/>
        </w:rPr>
        <w:t>四</w:t>
      </w:r>
      <w:r>
        <w:rPr>
          <w:rFonts w:hint="eastAsia" w:ascii="Times New Roman" w:hAnsi="Times New Roman" w:eastAsia="仿宋_GB2312" w:cs="仿宋_GB2312"/>
          <w:b w:val="0"/>
          <w:bCs w:val="0"/>
          <w:strike w:val="0"/>
          <w:dstrike w:val="0"/>
          <w:sz w:val="32"/>
          <w:szCs w:val="32"/>
          <w:highlight w:val="none"/>
          <w:shd w:val="clear" w:color="auto" w:fill="auto"/>
        </w:rPr>
        <w:t>节 强化应急保障体系</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_Toc10939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130</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5E813AC8">
      <w:pPr>
        <w:pStyle w:val="13"/>
        <w:keepNext w:val="0"/>
        <w:keepLines w:val="0"/>
        <w:pageBreakBefore w:val="0"/>
        <w:widowControl w:val="0"/>
        <w:tabs>
          <w:tab w:val="right" w:leader="dot" w:pos="9015"/>
        </w:tabs>
        <w:kinsoku/>
        <w:wordWrap/>
        <w:overflowPunct w:val="0"/>
        <w:topLinePunct w:val="0"/>
        <w:autoSpaceDE/>
        <w:autoSpaceDN/>
        <w:bidi w:val="0"/>
        <w:adjustRightInd/>
        <w:snapToGrid/>
        <w:spacing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_Toc12650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第十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四</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 xml:space="preserve">章  </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坚持</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14:textFill>
            <w14:solidFill>
              <w14:schemeClr w14:val="tx1"/>
            </w14:solidFill>
          </w14:textFill>
        </w:rPr>
        <w:t>党的全面领导，确保</w:t>
      </w:r>
      <w:r>
        <w:rPr>
          <w:rFonts w:hint="eastAsia" w:ascii="黑体" w:hAnsi="黑体" w:eastAsia="黑体" w:cs="黑体"/>
          <w:b w:val="0"/>
          <w:bCs w:val="0"/>
          <w:strike w:val="0"/>
          <w:dstrike w:val="0"/>
          <w:color w:val="000000" w:themeColor="text1"/>
          <w:spacing w:val="-6"/>
          <w:w w:val="100"/>
          <w:sz w:val="32"/>
          <w:szCs w:val="32"/>
          <w:highlight w:val="none"/>
          <w:u w:val="none"/>
          <w:shd w:val="clear" w:color="auto" w:fill="auto"/>
          <w:lang w:eastAsia="zh-CN"/>
          <w14:textFill>
            <w14:solidFill>
              <w14:schemeClr w14:val="tx1"/>
            </w14:solidFill>
          </w14:textFill>
        </w:rPr>
        <w:t>高质效完成“十五五”各项目标任务</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_Toc12650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133</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18322BE">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_Toc28638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第一节 强化党的全面领导</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_Toc28638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133</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4044AD61">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_Toc16303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第二节 完善规划衔接机制</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_Toc16303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134</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7BCFBA80">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auto" w:fill="auto"/>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_Toc26276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 xml:space="preserve">第三节 </w:t>
      </w:r>
      <w:r>
        <w:rPr>
          <w:rFonts w:hint="eastAsia" w:ascii="Times New Roman" w:hAnsi="Times New Roman" w:eastAsia="仿宋_GB2312" w:cs="仿宋_GB2312"/>
          <w:b w:val="0"/>
          <w:bCs w:val="0"/>
          <w:strike w:val="0"/>
          <w:dstrike w:val="0"/>
          <w:sz w:val="32"/>
          <w:szCs w:val="32"/>
          <w:highlight w:val="none"/>
          <w:shd w:val="clear" w:color="auto" w:fill="auto"/>
          <w:lang w:eastAsia="zh-CN"/>
        </w:rPr>
        <w:t>创新规划实施机制</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_Toc26276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DB9ACBD">
      <w:pPr>
        <w:pStyle w:val="15"/>
        <w:keepNext w:val="0"/>
        <w:keepLines w:val="0"/>
        <w:pageBreakBefore w:val="0"/>
        <w:widowControl w:val="0"/>
        <w:tabs>
          <w:tab w:val="right" w:leader="dot" w:pos="9015"/>
        </w:tabs>
        <w:kinsoku/>
        <w:wordWrap/>
        <w:overflowPunct w:val="0"/>
        <w:topLinePunct w:val="0"/>
        <w:autoSpaceDE/>
        <w:autoSpaceDN/>
        <w:bidi w:val="0"/>
        <w:adjustRightInd/>
        <w:snapToGrid/>
        <w:spacing w:after="0" w:line="600" w:lineRule="exact"/>
        <w:textAlignment w:val="auto"/>
        <w:rPr>
          <w:rFonts w:hint="eastAsia" w:ascii="Times New Roman" w:hAnsi="Times New Roman" w:eastAsia="仿宋_GB2312" w:cs="仿宋_GB2312"/>
          <w:b w:val="0"/>
          <w:bCs w:val="0"/>
          <w:sz w:val="32"/>
          <w:szCs w:val="32"/>
          <w:highlight w:val="none"/>
          <w:shd w:val="clear" w:color="FFFFFF" w:fill="D9D9D9"/>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begin"/>
      </w:r>
      <w:r>
        <w:rPr>
          <w:rFonts w:hint="eastAsia" w:ascii="Times New Roman" w:hAnsi="Times New Roman" w:eastAsia="仿宋_GB2312" w:cs="仿宋_GB2312"/>
          <w:b w:val="0"/>
          <w:bCs w:val="0"/>
          <w:strike w:val="0"/>
          <w:dstrike w:val="0"/>
          <w:sz w:val="32"/>
          <w:szCs w:val="32"/>
          <w:highlight w:val="none"/>
          <w:shd w:val="clear" w:color="auto" w:fill="auto"/>
          <w:lang w:val="zh-CN"/>
        </w:rPr>
        <w:instrText xml:space="preserve"> HYPERLINK \l _Toc18107 </w:instrText>
      </w:r>
      <w:r>
        <w:rPr>
          <w:rFonts w:hint="eastAsia" w:ascii="Times New Roman" w:hAnsi="Times New Roman" w:eastAsia="仿宋_GB2312" w:cs="仿宋_GB2312"/>
          <w:b w:val="0"/>
          <w:bCs w:val="0"/>
          <w:strike w:val="0"/>
          <w:dstrike w:val="0"/>
          <w:sz w:val="32"/>
          <w:szCs w:val="32"/>
          <w:highlight w:val="none"/>
          <w:shd w:val="clear" w:color="auto" w:fill="auto"/>
          <w:lang w:val="zh-CN"/>
        </w:rPr>
        <w:fldChar w:fldCharType="separate"/>
      </w:r>
      <w:r>
        <w:rPr>
          <w:rFonts w:hint="eastAsia" w:ascii="Times New Roman" w:hAnsi="Times New Roman" w:eastAsia="仿宋_GB2312" w:cs="仿宋_GB2312"/>
          <w:b w:val="0"/>
          <w:bCs w:val="0"/>
          <w:strike w:val="0"/>
          <w:dstrike w:val="0"/>
          <w:sz w:val="32"/>
          <w:szCs w:val="32"/>
          <w:highlight w:val="none"/>
          <w:shd w:val="clear" w:color="auto" w:fill="auto"/>
        </w:rPr>
        <w:t>第四节 健全</w:t>
      </w:r>
      <w:r>
        <w:rPr>
          <w:rFonts w:hint="eastAsia" w:ascii="Times New Roman" w:hAnsi="Times New Roman" w:eastAsia="仿宋_GB2312" w:cs="仿宋_GB2312"/>
          <w:b w:val="0"/>
          <w:bCs w:val="0"/>
          <w:strike w:val="0"/>
          <w:dstrike w:val="0"/>
          <w:sz w:val="32"/>
          <w:szCs w:val="32"/>
          <w:highlight w:val="none"/>
          <w:shd w:val="clear" w:color="auto" w:fill="auto"/>
          <w:lang w:eastAsia="zh-CN"/>
        </w:rPr>
        <w:t>督导评估</w:t>
      </w:r>
      <w:r>
        <w:rPr>
          <w:rFonts w:hint="eastAsia" w:ascii="Times New Roman" w:hAnsi="Times New Roman" w:eastAsia="仿宋_GB2312" w:cs="仿宋_GB2312"/>
          <w:b w:val="0"/>
          <w:bCs w:val="0"/>
          <w:strike w:val="0"/>
          <w:dstrike w:val="0"/>
          <w:sz w:val="32"/>
          <w:szCs w:val="32"/>
          <w:highlight w:val="none"/>
          <w:shd w:val="clear" w:color="auto" w:fill="auto"/>
        </w:rPr>
        <w:t>机制</w:t>
      </w:r>
      <w:r>
        <w:rPr>
          <w:rFonts w:hint="eastAsia" w:ascii="Times New Roman" w:hAnsi="Times New Roman" w:eastAsia="仿宋_GB2312" w:cs="仿宋_GB2312"/>
          <w:b w:val="0"/>
          <w:bCs w:val="0"/>
          <w:sz w:val="32"/>
          <w:szCs w:val="32"/>
          <w:highlight w:val="none"/>
          <w:shd w:val="clear" w:color="auto" w:fill="auto"/>
        </w:rPr>
        <w:tab/>
      </w:r>
      <w:r>
        <w:rPr>
          <w:rFonts w:hint="eastAsia" w:ascii="Times New Roman" w:hAnsi="Times New Roman" w:eastAsia="仿宋_GB2312" w:cs="仿宋_GB2312"/>
          <w:b w:val="0"/>
          <w:bCs w:val="0"/>
          <w:sz w:val="32"/>
          <w:szCs w:val="32"/>
          <w:highlight w:val="none"/>
          <w:shd w:val="clear" w:color="auto" w:fill="auto"/>
        </w:rPr>
        <w:fldChar w:fldCharType="begin"/>
      </w:r>
      <w:r>
        <w:rPr>
          <w:rFonts w:hint="eastAsia" w:ascii="Times New Roman" w:hAnsi="Times New Roman" w:eastAsia="仿宋_GB2312" w:cs="仿宋_GB2312"/>
          <w:b w:val="0"/>
          <w:bCs w:val="0"/>
          <w:sz w:val="32"/>
          <w:szCs w:val="32"/>
          <w:highlight w:val="none"/>
          <w:shd w:val="clear" w:color="auto" w:fill="auto"/>
        </w:rPr>
        <w:instrText xml:space="preserve"> PAGEREF _Toc18107 \h </w:instrText>
      </w:r>
      <w:r>
        <w:rPr>
          <w:rFonts w:hint="eastAsia" w:ascii="Times New Roman" w:hAnsi="Times New Roman" w:eastAsia="仿宋_GB2312" w:cs="仿宋_GB2312"/>
          <w:b w:val="0"/>
          <w:bCs w:val="0"/>
          <w:sz w:val="32"/>
          <w:szCs w:val="32"/>
          <w:highlight w:val="none"/>
          <w:shd w:val="clear" w:color="auto" w:fill="auto"/>
        </w:rPr>
        <w:fldChar w:fldCharType="separate"/>
      </w:r>
      <w:r>
        <w:rPr>
          <w:rFonts w:hint="eastAsia" w:ascii="Times New Roman" w:hAnsi="Times New Roman" w:eastAsia="仿宋_GB2312" w:cs="仿宋_GB2312"/>
          <w:b w:val="0"/>
          <w:bCs w:val="0"/>
          <w:sz w:val="32"/>
          <w:szCs w:val="32"/>
          <w:highlight w:val="none"/>
          <w:shd w:val="clear" w:color="auto" w:fill="auto"/>
        </w:rPr>
        <w:t>135</w:t>
      </w:r>
      <w:r>
        <w:rPr>
          <w:rFonts w:hint="eastAsia" w:ascii="Times New Roman" w:hAnsi="Times New Roman" w:eastAsia="仿宋_GB2312" w:cs="仿宋_GB2312"/>
          <w:b w:val="0"/>
          <w:bCs w:val="0"/>
          <w:sz w:val="32"/>
          <w:szCs w:val="32"/>
          <w:highlight w:val="none"/>
          <w:shd w:val="clear" w:color="auto" w:fill="auto"/>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shd w:val="clear" w:color="auto" w:fill="auto"/>
          <w:lang w:val="zh-CN"/>
          <w14:textFill>
            <w14:solidFill>
              <w14:schemeClr w14:val="tx1"/>
            </w14:solidFill>
          </w14:textFill>
        </w:rPr>
        <w:fldChar w:fldCharType="end"/>
      </w:r>
    </w:p>
    <w:p w14:paraId="1963D3F0">
      <w:pPr>
        <w:keepNext w:val="0"/>
        <w:keepLines w:val="0"/>
        <w:pageBreakBefore w:val="0"/>
        <w:widowControl w:val="0"/>
        <w:kinsoku/>
        <w:wordWrap/>
        <w:overflowPunct w:val="0"/>
        <w:topLinePunct w:val="0"/>
        <w:autoSpaceDE/>
        <w:autoSpaceDN/>
        <w:bidi w:val="0"/>
        <w:adjustRightInd/>
        <w:snapToGrid/>
        <w:spacing w:line="600" w:lineRule="exact"/>
        <w:ind w:left="0"/>
        <w:jc w:val="both"/>
        <w:textAlignment w:val="auto"/>
        <w:rPr>
          <w:rFonts w:hint="eastAsia" w:ascii="Times New Roman" w:hAnsi="Times New Roman" w:eastAsia="宋体" w:cs="宋体"/>
          <w:b w:val="0"/>
          <w:bCs w:val="0"/>
          <w:strike w:val="0"/>
          <w:dstrike w:val="0"/>
          <w:color w:val="000000" w:themeColor="text1"/>
          <w:sz w:val="28"/>
          <w:szCs w:val="28"/>
          <w:highlight w:val="none"/>
          <w:u w:val="none"/>
          <w:lang w:val="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sz w:val="32"/>
          <w:szCs w:val="32"/>
          <w:highlight w:val="none"/>
          <w:u w:val="none"/>
          <w:shd w:val="clear" w:color="FFFFFF" w:fill="D9D9D9"/>
          <w:lang w:val="zh-CN"/>
          <w14:textFill>
            <w14:solidFill>
              <w14:schemeClr w14:val="tx1"/>
            </w14:solidFill>
          </w14:textFill>
        </w:rPr>
        <w:fldChar w:fldCharType="end"/>
      </w:r>
    </w:p>
    <w:p w14:paraId="68E9DCA2">
      <w:pPr>
        <w:rPr>
          <w:rFonts w:hint="eastAsia" w:ascii="Times New Roman" w:hAnsi="Times New Roman" w:eastAsia="宋体" w:cs="宋体"/>
          <w:b w:val="0"/>
          <w:bCs w:val="0"/>
          <w:strike w:val="0"/>
          <w:dstrike w:val="0"/>
          <w:color w:val="000000" w:themeColor="text1"/>
          <w:sz w:val="28"/>
          <w:szCs w:val="28"/>
          <w:highlight w:val="none"/>
          <w:u w:val="none"/>
          <w:lang w:val="zh-CN" w:eastAsia="zh-CN"/>
          <w14:textFill>
            <w14:solidFill>
              <w14:schemeClr w14:val="tx1"/>
            </w14:solidFill>
          </w14:textFill>
        </w:rPr>
        <w:sectPr>
          <w:headerReference r:id="rId3" w:type="default"/>
          <w:footerReference r:id="rId4" w:type="default"/>
          <w:pgSz w:w="11906" w:h="16838"/>
          <w:pgMar w:top="2098" w:right="1474" w:bottom="1984" w:left="1587"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r>
        <w:rPr>
          <w:rFonts w:hint="eastAsia" w:ascii="Times New Roman" w:hAnsi="Times New Roman" w:eastAsia="宋体" w:cs="宋体"/>
          <w:b w:val="0"/>
          <w:bCs w:val="0"/>
          <w:strike w:val="0"/>
          <w:dstrike w:val="0"/>
          <w:color w:val="000000" w:themeColor="text1"/>
          <w:sz w:val="28"/>
          <w:szCs w:val="28"/>
          <w:highlight w:val="none"/>
          <w:u w:val="none"/>
          <w:lang w:val="zh-CN"/>
          <w14:textFill>
            <w14:solidFill>
              <w14:schemeClr w14:val="tx1"/>
            </w14:solidFill>
          </w14:textFill>
        </w:rPr>
        <w:br w:type="page"/>
      </w:r>
    </w:p>
    <w:p w14:paraId="17E383F8">
      <w:pPr>
        <w:pStyle w:val="28"/>
        <w:keepNext w:val="0"/>
        <w:keepLines w:val="0"/>
        <w:pageBreakBefore w:val="0"/>
        <w:widowControl w:val="0"/>
        <w:kinsoku/>
        <w:wordWrap/>
        <w:overflowPunct w:val="0"/>
        <w:topLinePunct w:val="0"/>
        <w:autoSpaceDE/>
        <w:autoSpaceDN/>
        <w:bidi w:val="0"/>
        <w:adjustRightInd/>
        <w:snapToGrid/>
        <w:spacing w:line="574" w:lineRule="exact"/>
        <w:ind w:left="0" w:leftChars="0" w:firstLine="640" w:firstLineChars="200"/>
        <w:textAlignment w:val="auto"/>
        <w:rPr>
          <w:rFonts w:hint="eastAsia" w:ascii="Times New Roman" w:hAnsi="Times New Roman" w:cs="宋体"/>
          <w:b w:val="0"/>
          <w:bCs w:val="0"/>
          <w:strike w:val="0"/>
          <w:dstrike w:val="0"/>
          <w:color w:val="000000" w:themeColor="text1"/>
          <w:highlight w:val="none"/>
          <w:u w:val="none"/>
          <w:lang w:val="zh-CN"/>
          <w14:textFill>
            <w14:solidFill>
              <w14:schemeClr w14:val="tx1"/>
            </w14:solidFill>
          </w14:textFill>
        </w:rPr>
      </w:pP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cs="宋体"/>
          <w:b w:val="0"/>
          <w:bCs w:val="0"/>
          <w:strike w:val="0"/>
          <w:dstrike w:val="0"/>
          <w:color w:val="000000" w:themeColor="text1"/>
          <w:highlight w:val="none"/>
          <w:u w:val="none"/>
          <w14:textFill>
            <w14:solidFill>
              <w14:schemeClr w14:val="tx1"/>
            </w14:solidFill>
          </w14:textFill>
        </w:rPr>
        <w:t>荣成市国民经济和社会发展第十五个五年规划</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纲要》</w:t>
      </w:r>
      <w:r>
        <w:rPr>
          <w:rFonts w:hint="eastAsia" w:ascii="Times New Roman" w:hAnsi="Times New Roman" w:cs="宋体"/>
          <w:b w:val="0"/>
          <w:bCs w:val="0"/>
          <w:strike w:val="0"/>
          <w:dstrike w:val="0"/>
          <w:color w:val="000000" w:themeColor="text1"/>
          <w:highlight w:val="none"/>
          <w:u w:val="none"/>
          <w14:textFill>
            <w14:solidFill>
              <w14:schemeClr w14:val="tx1"/>
            </w14:solidFill>
          </w14:textFill>
        </w:rPr>
        <w:t>，以习近平新时代中国特色社会主义思想为指导，深入贯彻党的</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二十</w:t>
      </w:r>
      <w:r>
        <w:rPr>
          <w:rFonts w:hint="eastAsia" w:ascii="Times New Roman" w:hAnsi="Times New Roman" w:cs="宋体"/>
          <w:b w:val="0"/>
          <w:bCs w:val="0"/>
          <w:strike w:val="0"/>
          <w:dstrike w:val="0"/>
          <w:color w:val="000000" w:themeColor="text1"/>
          <w:highlight w:val="none"/>
          <w:u w:val="none"/>
          <w14:textFill>
            <w14:solidFill>
              <w14:schemeClr w14:val="tx1"/>
            </w14:solidFill>
          </w14:textFill>
        </w:rPr>
        <w:t>届</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四中</w:t>
      </w:r>
      <w:r>
        <w:rPr>
          <w:rFonts w:hint="eastAsia" w:ascii="Times New Roman" w:hAnsi="Times New Roman" w:cs="宋体"/>
          <w:b w:val="0"/>
          <w:bCs w:val="0"/>
          <w:strike w:val="0"/>
          <w:dstrike w:val="0"/>
          <w:color w:val="000000" w:themeColor="text1"/>
          <w:highlight w:val="none"/>
          <w:u w:val="none"/>
          <w14:textFill>
            <w14:solidFill>
              <w14:schemeClr w14:val="tx1"/>
            </w14:solidFill>
          </w14:textFill>
        </w:rPr>
        <w:t>全会精神，</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依据《中共荣成市委关于制定荣成市国民经济和社会发展第十五个五年规划的建议》编制，</w:t>
      </w:r>
      <w:r>
        <w:rPr>
          <w:rFonts w:hint="eastAsia" w:ascii="Times New Roman" w:hAnsi="Times New Roman" w:cs="宋体"/>
          <w:b w:val="0"/>
          <w:bCs w:val="0"/>
          <w:strike w:val="0"/>
          <w:dstrike w:val="0"/>
          <w:color w:val="000000" w:themeColor="text1"/>
          <w:highlight w:val="none"/>
          <w:u w:val="none"/>
          <w14:textFill>
            <w14:solidFill>
              <w14:schemeClr w14:val="tx1"/>
            </w14:solidFill>
          </w14:textFill>
        </w:rPr>
        <w:t>主要明确未来五年经济社会发展总体目标、主要任务和重大举措，提出事关长远发展的重大事项和重点项目，为政府依法履行职责、社会共建共治共享、引导市场主体行为，以及制订实施各类规划和相关政策提供重要依据，凝聚全社会智慧力量和共识，是全市人民共同的行动纲领。</w:t>
      </w:r>
    </w:p>
    <w:p w14:paraId="30FF08C9">
      <w:pPr>
        <w:pStyle w:val="31"/>
        <w:keepNext w:val="0"/>
        <w:keepLines w:val="0"/>
        <w:pageBreakBefore w:val="0"/>
        <w:widowControl w:val="0"/>
        <w:kinsoku/>
        <w:wordWrap/>
        <w:overflowPunct w:val="0"/>
        <w:topLinePunct w:val="0"/>
        <w:autoSpaceDE/>
        <w:autoSpaceDN/>
        <w:bidi w:val="0"/>
        <w:adjustRightInd w:val="0"/>
        <w:snapToGrid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5" w:name="_Toc4086"/>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第一章  锚定中国式现代化目标，确保基本  实现社会主义现代化取得决定性进展</w:t>
      </w:r>
      <w:bookmarkEnd w:id="5"/>
    </w:p>
    <w:p w14:paraId="751E734B">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时期是基本实现社会主义现代化夯实基础、全面发力的关键时期，是承前启后衔接</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十四五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发展成果、建成社会主义现代化强国、实现第二个百年奋斗目标，以中国式现代化全面推进中华民族伟大复兴纵深推进的重要五年。科学谋划并扎实推进</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时期荣成市经济社会各项事业发展，对全市立足新发展阶段</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，完整、准确、全面贯彻新发展理念，</w:t>
      </w:r>
      <w:r>
        <w:rPr>
          <w:rFonts w:hint="eastAsia" w:ascii="Times New Roman" w:hAnsi="Times New Roman"/>
          <w:b w:val="0"/>
          <w:bCs w:val="0"/>
          <w:strike w:val="0"/>
          <w:dstrike w:val="0"/>
          <w:color w:val="000000" w:themeColor="text1"/>
          <w:highlight w:val="none"/>
          <w:u w:val="none"/>
          <w14:textFill>
            <w14:solidFill>
              <w14:schemeClr w14:val="tx1"/>
            </w14:solidFill>
          </w14:textFill>
        </w:rPr>
        <w:t>主动服务和融入新发展格局，在高质量发展轨道上持续走在更前列</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加快建设</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“深蓝、零碳、精致、幸福”现代化新荣成，</w:t>
      </w:r>
      <w:r>
        <w:rPr>
          <w:rFonts w:hint="eastAsia" w:ascii="Times New Roman" w:hAnsi="Times New Roman"/>
          <w:b w:val="0"/>
          <w:bCs w:val="0"/>
          <w:strike w:val="0"/>
          <w:dstrike w:val="0"/>
          <w:color w:val="000000" w:themeColor="text1"/>
          <w:highlight w:val="none"/>
          <w:u w:val="none"/>
          <w14:textFill>
            <w14:solidFill>
              <w14:schemeClr w14:val="tx1"/>
            </w14:solidFill>
          </w14:textFill>
        </w:rPr>
        <w:t>具有重大而深远的意义。</w:t>
      </w:r>
    </w:p>
    <w:p w14:paraId="4A46E7F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6" w:name="_Toc8958"/>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第一节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十四五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时期发展成就与经验启示</w:t>
      </w:r>
      <w:bookmarkEnd w:id="6"/>
    </w:p>
    <w:p w14:paraId="022A8C93">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楷体_GB2312" w:cs="宋体"/>
          <w:b w:val="0"/>
          <w:bCs w:val="0"/>
          <w:strike w:val="0"/>
          <w:dstrike w:val="0"/>
          <w:color w:val="auto"/>
          <w:spacing w:val="0"/>
          <w:kern w:val="2"/>
          <w:sz w:val="32"/>
          <w:szCs w:val="32"/>
          <w:highlight w:val="none"/>
          <w:u w:val="none"/>
        </w:rPr>
      </w:pPr>
      <w:bookmarkStart w:id="7" w:name="_Toc15450"/>
      <w:bookmarkStart w:id="8" w:name="_Toc4548"/>
      <w:r>
        <w:rPr>
          <w:rFonts w:hint="eastAsia" w:ascii="Times New Roman" w:hAnsi="Times New Roman"/>
          <w:b w:val="0"/>
          <w:bCs w:val="0"/>
          <w:strike w:val="0"/>
          <w:dstrike w:val="0"/>
          <w:color w:val="auto"/>
          <w:highlight w:val="none"/>
          <w:lang w:eastAsia="zh-CN"/>
        </w:rPr>
        <w:t>“</w:t>
      </w:r>
      <w:r>
        <w:rPr>
          <w:rFonts w:hint="eastAsia" w:ascii="Times New Roman" w:hAnsi="Times New Roman"/>
          <w:b w:val="0"/>
          <w:bCs w:val="0"/>
          <w:strike w:val="0"/>
          <w:dstrike w:val="0"/>
          <w:color w:val="auto"/>
          <w:highlight w:val="none"/>
        </w:rPr>
        <w:t>十四五</w:t>
      </w:r>
      <w:r>
        <w:rPr>
          <w:rFonts w:hint="eastAsia" w:ascii="Times New Roman" w:hAnsi="Times New Roman"/>
          <w:b w:val="0"/>
          <w:bCs w:val="0"/>
          <w:strike w:val="0"/>
          <w:dstrike w:val="0"/>
          <w:color w:val="auto"/>
          <w:highlight w:val="none"/>
          <w:lang w:eastAsia="zh-CN"/>
        </w:rPr>
        <w:t>”</w:t>
      </w:r>
      <w:r>
        <w:rPr>
          <w:rFonts w:hint="eastAsia" w:ascii="Times New Roman" w:hAnsi="Times New Roman"/>
          <w:b w:val="0"/>
          <w:bCs w:val="0"/>
          <w:strike w:val="0"/>
          <w:dstrike w:val="0"/>
          <w:color w:val="auto"/>
          <w:highlight w:val="none"/>
        </w:rPr>
        <w:t>时期，在</w:t>
      </w:r>
      <w:r>
        <w:rPr>
          <w:rFonts w:hint="eastAsia" w:ascii="Times New Roman" w:hAnsi="Times New Roman"/>
          <w:b w:val="0"/>
          <w:bCs w:val="0"/>
          <w:strike w:val="0"/>
          <w:dstrike w:val="0"/>
          <w:color w:val="auto"/>
          <w:kern w:val="0"/>
          <w:highlight w:val="none"/>
        </w:rPr>
        <w:t>以习近平同志为核心的党中央坚强领导下，市委</w:t>
      </w:r>
      <w:r>
        <w:rPr>
          <w:rFonts w:hint="eastAsia" w:ascii="Times New Roman" w:hAnsi="Times New Roman"/>
          <w:b w:val="0"/>
          <w:bCs w:val="0"/>
          <w:strike w:val="0"/>
          <w:dstrike w:val="0"/>
          <w:color w:val="auto"/>
          <w:kern w:val="0"/>
          <w:highlight w:val="none"/>
          <w:lang w:eastAsia="zh-CN"/>
        </w:rPr>
        <w:t>、市政府</w:t>
      </w:r>
      <w:r>
        <w:rPr>
          <w:rFonts w:hint="eastAsia" w:ascii="Times New Roman" w:hAnsi="Times New Roman"/>
          <w:b w:val="0"/>
          <w:bCs w:val="0"/>
          <w:strike w:val="0"/>
          <w:dstrike w:val="0"/>
          <w:color w:val="auto"/>
          <w:kern w:val="0"/>
          <w:highlight w:val="none"/>
        </w:rPr>
        <w:t>坚持以习近平新时代中国特色社会主义思想为指导，深入贯彻党的二十大和二十届历次全会精神，全面落实习近平总书记视察山东重要讲话</w:t>
      </w:r>
      <w:r>
        <w:rPr>
          <w:rFonts w:hint="eastAsia" w:ascii="Times New Roman" w:hAnsi="Times New Roman"/>
          <w:b w:val="0"/>
          <w:bCs w:val="0"/>
          <w:strike w:val="0"/>
          <w:dstrike w:val="0"/>
          <w:color w:val="auto"/>
          <w:spacing w:val="4"/>
          <w:kern w:val="0"/>
          <w:highlight w:val="none"/>
        </w:rPr>
        <w:t>精神</w:t>
      </w:r>
      <w:r>
        <w:rPr>
          <w:rFonts w:hint="eastAsia" w:ascii="Times New Roman" w:hAnsi="Times New Roman"/>
          <w:b w:val="0"/>
          <w:bCs w:val="0"/>
          <w:strike w:val="0"/>
          <w:dstrike w:val="0"/>
          <w:color w:val="000000" w:themeColor="text1"/>
          <w:spacing w:val="4"/>
          <w:kern w:val="0"/>
          <w:highlight w:val="none"/>
          <w14:textFill>
            <w14:solidFill>
              <w14:schemeClr w14:val="tx1"/>
            </w14:solidFill>
          </w14:textFill>
        </w:rPr>
        <w:t>和对山东工作的重要指示要求，锚定</w:t>
      </w:r>
      <w:r>
        <w:rPr>
          <w:rFonts w:hint="eastAsia" w:ascii="Times New Roman" w:hAnsi="Times New Roman"/>
          <w:b w:val="0"/>
          <w:bCs w:val="0"/>
          <w:strike w:val="0"/>
          <w:dstrike w:val="0"/>
          <w:color w:val="000000" w:themeColor="text1"/>
          <w:spacing w:val="4"/>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spacing w:val="4"/>
          <w:kern w:val="0"/>
          <w:highlight w:val="none"/>
          <w14:textFill>
            <w14:solidFill>
              <w14:schemeClr w14:val="tx1"/>
            </w14:solidFill>
          </w14:textFill>
        </w:rPr>
        <w:t>走在前、挑大梁</w:t>
      </w:r>
      <w:r>
        <w:rPr>
          <w:rFonts w:hint="eastAsia" w:ascii="Times New Roman" w:hAnsi="Times New Roman"/>
          <w:b w:val="0"/>
          <w:bCs w:val="0"/>
          <w:strike w:val="0"/>
          <w:dstrike w:val="0"/>
          <w:color w:val="000000" w:themeColor="text1"/>
          <w:spacing w:val="4"/>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spacing w:val="4"/>
          <w:kern w:val="0"/>
          <w:highlight w:val="none"/>
          <w14:textFill>
            <w14:solidFill>
              <w14:schemeClr w14:val="tx1"/>
            </w14:solidFill>
          </w14:textFill>
        </w:rPr>
        <w:t>，</w:t>
      </w:r>
      <w:r>
        <w:rPr>
          <w:rFonts w:hint="eastAsia" w:ascii="Times New Roman" w:hAnsi="Times New Roman"/>
          <w:b w:val="0"/>
          <w:bCs w:val="0"/>
          <w:strike w:val="0"/>
          <w:dstrike w:val="0"/>
          <w:color w:val="000000" w:themeColor="text1"/>
          <w:kern w:val="0"/>
          <w:highlight w:val="none"/>
          <w14:textFill>
            <w14:solidFill>
              <w14:schemeClr w14:val="tx1"/>
            </w14:solidFill>
          </w14:textFill>
        </w:rPr>
        <w:t>团结带领全市广大党员干部群众，以进一步全面深化改革为动力，</w:t>
      </w:r>
      <w:r>
        <w:rPr>
          <w:rFonts w:ascii="Times New Roman" w:hAnsi="Times New Roman"/>
          <w:b w:val="0"/>
          <w:bCs w:val="0"/>
          <w:strike w:val="0"/>
          <w:dstrike w:val="0"/>
          <w:color w:val="000000" w:themeColor="text1"/>
          <w:kern w:val="0"/>
          <w:highlight w:val="none"/>
          <w14:textFill>
            <w14:solidFill>
              <w14:schemeClr w14:val="tx1"/>
            </w14:solidFill>
          </w14:textFill>
        </w:rPr>
        <w:t>坚定不移</w:t>
      </w:r>
      <w:r>
        <w:rPr>
          <w:rFonts w:hint="eastAsia" w:ascii="Times New Roman" w:hAnsi="Times New Roman"/>
          <w:b w:val="0"/>
          <w:bCs w:val="0"/>
          <w:strike w:val="0"/>
          <w:dstrike w:val="0"/>
          <w:color w:val="000000" w:themeColor="text1"/>
          <w:kern w:val="0"/>
          <w:highlight w:val="none"/>
          <w14:textFill>
            <w14:solidFill>
              <w14:schemeClr w14:val="tx1"/>
            </w14:solidFill>
          </w14:textFill>
        </w:rPr>
        <w:t>贯彻</w:t>
      </w:r>
      <w:r>
        <w:rPr>
          <w:rFonts w:ascii="Times New Roman" w:hAnsi="Times New Roman"/>
          <w:b w:val="0"/>
          <w:bCs w:val="0"/>
          <w:strike w:val="0"/>
          <w:dstrike w:val="0"/>
          <w:color w:val="000000" w:themeColor="text1"/>
          <w:kern w:val="0"/>
          <w:highlight w:val="none"/>
          <w14:textFill>
            <w14:solidFill>
              <w14:schemeClr w14:val="tx1"/>
            </w14:solidFill>
          </w14:textFill>
        </w:rPr>
        <w:t>党中央决策部署和省</w:t>
      </w:r>
      <w:r>
        <w:rPr>
          <w:rFonts w:hint="eastAsia" w:ascii="Times New Roman" w:hAnsi="Times New Roman"/>
          <w:b w:val="0"/>
          <w:bCs w:val="0"/>
          <w:strike w:val="0"/>
          <w:dstrike w:val="0"/>
          <w:color w:val="000000" w:themeColor="text1"/>
          <w:kern w:val="0"/>
          <w:highlight w:val="none"/>
          <w:lang w:eastAsia="zh-CN"/>
          <w14:textFill>
            <w14:solidFill>
              <w14:schemeClr w14:val="tx1"/>
            </w14:solidFill>
          </w14:textFill>
        </w:rPr>
        <w:t>委、</w:t>
      </w:r>
      <w:r>
        <w:rPr>
          <w:rFonts w:ascii="Times New Roman" w:hAnsi="Times New Roman"/>
          <w:b w:val="0"/>
          <w:bCs w:val="0"/>
          <w:strike w:val="0"/>
          <w:dstrike w:val="0"/>
          <w:color w:val="000000" w:themeColor="text1"/>
          <w:kern w:val="0"/>
          <w:highlight w:val="none"/>
          <w14:textFill>
            <w14:solidFill>
              <w14:schemeClr w14:val="tx1"/>
            </w14:solidFill>
          </w14:textFill>
        </w:rPr>
        <w:t>市</w:t>
      </w:r>
      <w:r>
        <w:rPr>
          <w:rFonts w:hint="eastAsia" w:ascii="Times New Roman" w:hAnsi="Times New Roman"/>
          <w:b w:val="0"/>
          <w:bCs w:val="0"/>
          <w:strike w:val="0"/>
          <w:dstrike w:val="0"/>
          <w:color w:val="000000" w:themeColor="text1"/>
          <w:kern w:val="0"/>
          <w:highlight w:val="none"/>
          <w14:textFill>
            <w14:solidFill>
              <w14:schemeClr w14:val="tx1"/>
            </w14:solidFill>
          </w14:textFill>
        </w:rPr>
        <w:t>委</w:t>
      </w:r>
      <w:r>
        <w:rPr>
          <w:rFonts w:ascii="Times New Roman" w:hAnsi="Times New Roman"/>
          <w:b w:val="0"/>
          <w:bCs w:val="0"/>
          <w:strike w:val="0"/>
          <w:dstrike w:val="0"/>
          <w:color w:val="000000" w:themeColor="text1"/>
          <w:kern w:val="0"/>
          <w:highlight w:val="none"/>
          <w14:textFill>
            <w14:solidFill>
              <w14:schemeClr w14:val="tx1"/>
            </w14:solidFill>
          </w14:textFill>
        </w:rPr>
        <w:t>工作安排，</w:t>
      </w:r>
      <w:r>
        <w:rPr>
          <w:rFonts w:hint="eastAsia" w:ascii="Times New Roman" w:hAnsi="Times New Roman"/>
          <w:b w:val="0"/>
          <w:bCs w:val="0"/>
          <w:strike w:val="0"/>
          <w:dstrike w:val="0"/>
          <w:color w:val="000000" w:themeColor="text1"/>
          <w:kern w:val="0"/>
          <w:highlight w:val="none"/>
          <w14:textFill>
            <w14:solidFill>
              <w14:schemeClr w14:val="tx1"/>
            </w14:solidFill>
          </w14:textFill>
        </w:rPr>
        <w:t>聚焦聚力产业强市、工业带动、突破发展海洋经济，加快建设现代化产业体系，统筹精致城市建设和乡村全面振兴，扎实推动绿色低碳转型，持续深化改革开放，用心保障和改善民生福祉，高效统筹发展和安全，纵深推进全面从严治党，</w:t>
      </w:r>
      <w:bookmarkStart w:id="9" w:name="OLE_LINK58"/>
      <w:bookmarkStart w:id="10" w:name="OLE_LINK57"/>
      <w:r>
        <w:rPr>
          <w:rFonts w:hint="eastAsia" w:ascii="Times New Roman" w:hAnsi="Times New Roman"/>
          <w:b w:val="0"/>
          <w:bCs w:val="0"/>
          <w:strike w:val="0"/>
          <w:dstrike w:val="0"/>
          <w:color w:val="000000" w:themeColor="text1"/>
          <w:kern w:val="0"/>
          <w:highlight w:val="none"/>
          <w14:textFill>
            <w14:solidFill>
              <w14:schemeClr w14:val="tx1"/>
            </w14:solidFill>
          </w14:textFill>
        </w:rPr>
        <w:t>奋力</w:t>
      </w:r>
      <w:bookmarkStart w:id="11" w:name="OLE_LINK6"/>
      <w:r>
        <w:rPr>
          <w:rFonts w:hint="eastAsia" w:ascii="Times New Roman" w:hAnsi="Times New Roman"/>
          <w:b w:val="0"/>
          <w:bCs w:val="0"/>
          <w:strike w:val="0"/>
          <w:dstrike w:val="0"/>
          <w:color w:val="000000" w:themeColor="text1"/>
          <w:kern w:val="0"/>
          <w:highlight w:val="none"/>
          <w14:textFill>
            <w14:solidFill>
              <w14:schemeClr w14:val="tx1"/>
            </w14:solidFill>
          </w14:textFill>
        </w:rPr>
        <w:t>建设</w:t>
      </w:r>
      <w:r>
        <w:rPr>
          <w:rFonts w:hint="eastAsia" w:ascii="Times New Roman" w:hAnsi="Times New Roman"/>
          <w:b w:val="0"/>
          <w:bCs w:val="0"/>
          <w:strike w:val="0"/>
          <w:dstrike w:val="0"/>
          <w:color w:val="000000" w:themeColor="text1"/>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kern w:val="0"/>
          <w:highlight w:val="none"/>
          <w14:textFill>
            <w14:solidFill>
              <w14:schemeClr w14:val="tx1"/>
            </w14:solidFill>
          </w14:textFill>
        </w:rPr>
        <w:t>深蓝、零碳、精致、幸福</w:t>
      </w:r>
      <w:r>
        <w:rPr>
          <w:rFonts w:hint="eastAsia" w:ascii="Times New Roman" w:hAnsi="Times New Roman"/>
          <w:b w:val="0"/>
          <w:bCs w:val="0"/>
          <w:strike w:val="0"/>
          <w:dstrike w:val="0"/>
          <w:color w:val="000000" w:themeColor="text1"/>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kern w:val="0"/>
          <w:highlight w:val="none"/>
          <w14:textFill>
            <w14:solidFill>
              <w14:schemeClr w14:val="tx1"/>
            </w14:solidFill>
          </w14:textFill>
        </w:rPr>
        <w:t>现代化新荣成</w:t>
      </w:r>
      <w:bookmarkEnd w:id="9"/>
      <w:bookmarkEnd w:id="10"/>
      <w:bookmarkEnd w:id="11"/>
      <w:r>
        <w:rPr>
          <w:rFonts w:hint="eastAsia" w:ascii="Times New Roman" w:hAnsi="Times New Roman"/>
          <w:b w:val="0"/>
          <w:bCs w:val="0"/>
          <w:strike w:val="0"/>
          <w:dstrike w:val="0"/>
          <w:color w:val="000000" w:themeColor="text1"/>
          <w:kern w:val="0"/>
          <w:highlight w:val="none"/>
          <w14:textFill>
            <w14:solidFill>
              <w14:schemeClr w14:val="tx1"/>
            </w14:solidFill>
          </w14:textFill>
        </w:rPr>
        <w:t>，</w:t>
      </w:r>
      <w:r>
        <w:rPr>
          <w:rFonts w:hint="eastAsia" w:ascii="Times New Roman" w:hAnsi="Times New Roman"/>
          <w:b w:val="0"/>
          <w:bCs w:val="0"/>
          <w:strike w:val="0"/>
          <w:dstrike w:val="0"/>
          <w:color w:val="000000" w:themeColor="text1"/>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kern w:val="0"/>
          <w:highlight w:val="none"/>
          <w14:textFill>
            <w14:solidFill>
              <w14:schemeClr w14:val="tx1"/>
            </w14:solidFill>
          </w14:textFill>
        </w:rPr>
        <w:t>十四五</w:t>
      </w:r>
      <w:r>
        <w:rPr>
          <w:rFonts w:hint="eastAsia" w:ascii="Times New Roman" w:hAnsi="Times New Roman"/>
          <w:b w:val="0"/>
          <w:bCs w:val="0"/>
          <w:strike w:val="0"/>
          <w:dstrike w:val="0"/>
          <w:color w:val="000000" w:themeColor="text1"/>
          <w:kern w:val="0"/>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kern w:val="0"/>
          <w:highlight w:val="none"/>
          <w14:textFill>
            <w14:solidFill>
              <w14:schemeClr w14:val="tx1"/>
            </w14:solidFill>
          </w14:textFill>
        </w:rPr>
        <w:t>主要目标任务</w:t>
      </w:r>
      <w:r>
        <w:rPr>
          <w:rFonts w:hint="eastAsia" w:ascii="Times New Roman" w:hAnsi="Times New Roman"/>
          <w:b w:val="0"/>
          <w:bCs w:val="0"/>
          <w:strike w:val="0"/>
          <w:dstrike w:val="0"/>
          <w:color w:val="auto"/>
          <w:kern w:val="0"/>
          <w:highlight w:val="none"/>
        </w:rPr>
        <w:t>胜利完成。</w:t>
      </w:r>
    </w:p>
    <w:p w14:paraId="64D485CE">
      <w:pPr>
        <w:pStyle w:val="13"/>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rPr>
        <w:t>经济</w:t>
      </w:r>
      <w:r>
        <w:rPr>
          <w:rFonts w:hint="eastAsia" w:ascii="Times New Roman" w:hAnsi="Times New Roman" w:eastAsia="楷体_GB2312" w:cs="宋体"/>
          <w:b w:val="0"/>
          <w:bCs w:val="0"/>
          <w:strike w:val="0"/>
          <w:dstrike w:val="0"/>
          <w:color w:val="auto"/>
          <w:spacing w:val="0"/>
          <w:kern w:val="2"/>
          <w:sz w:val="32"/>
          <w:szCs w:val="32"/>
          <w:highlight w:val="none"/>
          <w:u w:val="none"/>
          <w:lang w:eastAsia="zh-CN"/>
        </w:rPr>
        <w:t>实力稳步提升</w:t>
      </w:r>
      <w:r>
        <w:rPr>
          <w:rFonts w:hint="eastAsia" w:ascii="Times New Roman" w:hAnsi="Times New Roman" w:eastAsia="楷体_GB2312" w:cs="宋体"/>
          <w:b w:val="0"/>
          <w:bCs w:val="0"/>
          <w:strike w:val="0"/>
          <w:dstrike w:val="0"/>
          <w:color w:val="auto"/>
          <w:spacing w:val="0"/>
          <w:kern w:val="2"/>
          <w:sz w:val="32"/>
          <w:szCs w:val="32"/>
          <w:highlight w:val="none"/>
          <w:u w:val="none"/>
        </w:rPr>
        <w:t>。</w:t>
      </w:r>
      <w:r>
        <w:rPr>
          <w:rFonts w:hint="eastAsia" w:ascii="Times New Roman" w:hAnsi="Times New Roman" w:eastAsia="仿宋_GB2312" w:cs="宋体"/>
          <w:b w:val="0"/>
          <w:bCs w:val="0"/>
          <w:strike w:val="0"/>
          <w:dstrike w:val="0"/>
          <w:color w:val="auto"/>
          <w:spacing w:val="0"/>
          <w:kern w:val="2"/>
          <w:sz w:val="32"/>
          <w:szCs w:val="32"/>
          <w:highlight w:val="none"/>
          <w:u w:val="none"/>
          <w:lang w:val="en-US" w:eastAsia="zh-CN" w:bidi="ar-SA"/>
        </w:rPr>
        <w:t>树牢大抓经济鲜明导向，深入实施“产业强市、工业带动、突破发展海洋经济”战略，谋划规划建设提升8个专业园区，实施数字赋能产业专项行动，“5+2”现代产业体系更加完善，地区生产总值年均增长4.7%，规上工业增加值年均增长13%，服务业增加值比重提升</w:t>
      </w:r>
      <w:r>
        <w:rPr>
          <w:rFonts w:hint="eastAsia" w:ascii="Times New Roman" w:hAnsi="Times New Roman" w:eastAsia="仿宋_GB2312" w:cs="宋体"/>
          <w:b w:val="0"/>
          <w:bCs w:val="0"/>
          <w:strike w:val="0"/>
          <w:dstrike w:val="0"/>
          <w:color w:val="000000" w:themeColor="text1"/>
          <w:spacing w:val="0"/>
          <w:kern w:val="2"/>
          <w:sz w:val="32"/>
          <w:szCs w:val="32"/>
          <w:highlight w:val="none"/>
          <w:u w:val="none"/>
          <w:lang w:val="en-US" w:eastAsia="zh-CN" w:bidi="ar-SA"/>
          <w14:textFill>
            <w14:solidFill>
              <w14:schemeClr w14:val="tx1"/>
            </w14:solidFill>
          </w14:textFill>
        </w:rPr>
        <w:t>至54.9%。培育电子信息、船舶修造及海工装备两个百亿级产业集群，新增歌尔科技、浦林成山两家百亿企业，税收过千万企业总数达到70家，百合股份成功上市，上市挂牌企业总数达到80家，获批国家级沿海渔港经济区建设试点、国家产品主数据标准试点县、山东省县域经济高质量发展试点、山东省绿色低碳高质量发展先行区建设试点等。</w:t>
      </w:r>
    </w:p>
    <w:p w14:paraId="3FB97841">
      <w:pPr>
        <w:keepNext w:val="0"/>
        <w:keepLines w:val="0"/>
        <w:pageBreakBefore w:val="0"/>
        <w:widowControl w:val="0"/>
        <w:kinsoku/>
        <w:wordWrap/>
        <w:overflowPunct w:val="0"/>
        <w:topLinePunct w:val="0"/>
        <w:autoSpaceDE/>
        <w:autoSpaceDN/>
        <w:bidi w:val="0"/>
        <w:adjustRightInd/>
        <w:snapToGrid w:val="0"/>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创新动能持续释放。</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全面实施创</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新驱动战略，</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加快完善</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科技创新体系。</w:t>
      </w:r>
      <w:r>
        <w:rPr>
          <w:rFonts w:hint="eastAsia" w:ascii="Times New Roman" w:hAnsi="Times New Roman" w:eastAsia="仿宋_GB2312" w:cs="宋体"/>
          <w:b w:val="0"/>
          <w:bCs w:val="0"/>
          <w:strike w:val="0"/>
          <w:dstrike w:val="0"/>
          <w:color w:val="000000" w:themeColor="text1"/>
          <w:spacing w:val="0"/>
          <w:kern w:val="2"/>
          <w:sz w:val="32"/>
          <w:szCs w:val="32"/>
          <w:highlight w:val="none"/>
          <w:u w:val="none"/>
          <w:lang w:val="en-US" w:eastAsia="zh-CN" w:bidi="ar-SA"/>
          <w14:textFill>
            <w14:solidFill>
              <w14:schemeClr w14:val="tx1"/>
            </w14:solidFill>
          </w14:textFill>
        </w:rPr>
        <w:t>新培育省级以上单项冠军、专精特新企业90家</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，科技型中小企业达到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241</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家。实施科技项目</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揭榜挂帅</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11项</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全部</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完成验收并推广应用</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获批立项省重点研发计划等科研项目</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121项</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，海之宝获批省国际科技合作示范基地。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创新成果持续突破，浦林成山获批国家重点行业能效</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领跑者</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，威海海洋高新园获评省级数字经济园区，康派斯获评国家级数字化转型标杆，芯长征IGBT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功率</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芯片打破国外垄断，黄海离合器</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湿式离合器</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填补国内</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自动挡农机</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空白</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全国首个深远海养殖平台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渔机1号</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投用。人才引育成效明显，全面实施</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荣归故里</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计划，</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打造3处“荣归故里城”及22处镇街“荣归故里”会客厅，</w:t>
      </w:r>
      <w:r>
        <w:rPr>
          <w:rFonts w:hint="default" w:ascii="Times New Roman" w:hAnsi="Times New Roman" w:eastAsia="仿宋_GB2312" w:cs="Times New Roman"/>
          <w:b w:val="0"/>
          <w:bCs w:val="0"/>
          <w:color w:val="auto"/>
          <w:kern w:val="0"/>
          <w:sz w:val="32"/>
          <w:szCs w:val="32"/>
          <w:highlight w:val="none"/>
          <w:u w:val="none"/>
          <w:lang w:val="en-US" w:eastAsia="zh-CN" w:bidi="ar"/>
        </w:rPr>
        <w:t>吸引1800余名高层次人才成为</w:t>
      </w:r>
      <w:r>
        <w:rPr>
          <w:rFonts w:hint="eastAsia" w:ascii="Times New Roman" w:hAnsi="Times New Roman" w:eastAsia="仿宋_GB2312" w:cs="Times New Roman"/>
          <w:b w:val="0"/>
          <w:bCs w:val="0"/>
          <w:color w:val="auto"/>
          <w:kern w:val="0"/>
          <w:sz w:val="32"/>
          <w:szCs w:val="32"/>
          <w:highlight w:val="none"/>
          <w:u w:val="none"/>
          <w:lang w:val="en-US" w:eastAsia="zh-CN" w:bidi="ar"/>
        </w:rPr>
        <w:t>“</w:t>
      </w:r>
      <w:r>
        <w:rPr>
          <w:rFonts w:hint="default" w:ascii="Times New Roman" w:hAnsi="Times New Roman" w:eastAsia="仿宋_GB2312" w:cs="Times New Roman"/>
          <w:b w:val="0"/>
          <w:bCs w:val="0"/>
          <w:color w:val="auto"/>
          <w:kern w:val="0"/>
          <w:sz w:val="32"/>
          <w:szCs w:val="32"/>
          <w:highlight w:val="none"/>
          <w:u w:val="none"/>
          <w:lang w:val="en-US" w:eastAsia="zh-CN" w:bidi="ar"/>
        </w:rPr>
        <w:t>城市合伙人</w:t>
      </w:r>
      <w:r>
        <w:rPr>
          <w:rFonts w:hint="eastAsia" w:ascii="Times New Roman" w:hAnsi="Times New Roman" w:eastAsia="仿宋_GB2312" w:cs="Times New Roman"/>
          <w:b w:val="0"/>
          <w:bCs w:val="0"/>
          <w:color w:val="auto"/>
          <w:kern w:val="0"/>
          <w:sz w:val="32"/>
          <w:szCs w:val="32"/>
          <w:highlight w:val="none"/>
          <w:u w:val="none"/>
          <w:lang w:val="en-US" w:eastAsia="zh-CN" w:bidi="ar"/>
        </w:rPr>
        <w:t>”，征集筛选91条“金点子”建议助力城市发展</w:t>
      </w:r>
      <w:r>
        <w:rPr>
          <w:rFonts w:hint="default" w:ascii="Times New Roman" w:hAnsi="Times New Roman" w:eastAsia="仿宋_GB2312" w:cs="Times New Roman"/>
          <w:b w:val="0"/>
          <w:bCs w:val="0"/>
          <w:color w:val="auto"/>
          <w:kern w:val="0"/>
          <w:sz w:val="32"/>
          <w:szCs w:val="32"/>
          <w:highlight w:val="none"/>
          <w:u w:val="none"/>
          <w:lang w:val="en-US" w:eastAsia="zh-CN" w:bidi="ar"/>
        </w:rPr>
        <w:t>；获批省级以上创新平台36个，</w:t>
      </w:r>
      <w:r>
        <w:rPr>
          <w:rFonts w:hint="eastAsia" w:ascii="Times New Roman" w:hAnsi="Times New Roman" w:eastAsia="仿宋_GB2312" w:cs="Times New Roman"/>
          <w:b w:val="0"/>
          <w:bCs w:val="0"/>
          <w:color w:val="auto"/>
          <w:kern w:val="0"/>
          <w:sz w:val="32"/>
          <w:szCs w:val="32"/>
          <w:highlight w:val="none"/>
          <w:u w:val="none"/>
          <w:lang w:val="en-US" w:eastAsia="zh-CN" w:bidi="ar"/>
        </w:rPr>
        <w:t>高新技术产值占比达到72.26%，</w:t>
      </w:r>
      <w:r>
        <w:rPr>
          <w:rFonts w:hint="eastAsia" w:ascii="Times New Roman" w:hAnsi="Times New Roman" w:eastAsia="仿宋_GB2312" w:cs="Times New Roman"/>
          <w:b w:val="0"/>
          <w:bCs w:val="0"/>
          <w:strike w:val="0"/>
          <w:dstrike w:val="0"/>
          <w:color w:val="auto"/>
          <w:kern w:val="0"/>
          <w:sz w:val="32"/>
          <w:szCs w:val="32"/>
          <w:highlight w:val="none"/>
          <w:u w:val="none"/>
          <w:lang w:val="en-US" w:eastAsia="zh-CN" w:bidi="ar"/>
        </w:rPr>
        <w:t>规上企业研发投入</w:t>
      </w:r>
      <w:r>
        <w:rPr>
          <w:rFonts w:hint="default" w:ascii="Times New Roman" w:hAnsi="Times New Roman" w:eastAsia="仿宋_GB2312" w:cs="Times New Roman"/>
          <w:b w:val="0"/>
          <w:bCs w:val="0"/>
          <w:color w:val="auto"/>
          <w:kern w:val="0"/>
          <w:sz w:val="32"/>
          <w:szCs w:val="32"/>
          <w:highlight w:val="none"/>
          <w:u w:val="none"/>
          <w:lang w:val="en-US" w:eastAsia="zh-CN" w:bidi="ar"/>
        </w:rPr>
        <w:t>比2020年</w:t>
      </w:r>
      <w:r>
        <w:rPr>
          <w:rFonts w:hint="eastAsia" w:ascii="Times New Roman" w:hAnsi="Times New Roman" w:eastAsia="仿宋_GB2312" w:cs="Times New Roman"/>
          <w:b w:val="0"/>
          <w:bCs w:val="0"/>
          <w:color w:val="auto"/>
          <w:kern w:val="0"/>
          <w:sz w:val="32"/>
          <w:szCs w:val="32"/>
          <w:highlight w:val="none"/>
          <w:u w:val="none"/>
          <w:lang w:val="en-US" w:eastAsia="zh-CN" w:bidi="ar"/>
        </w:rPr>
        <w:t>增长</w:t>
      </w:r>
      <w:r>
        <w:rPr>
          <w:rFonts w:hint="default" w:ascii="Times New Roman" w:hAnsi="Times New Roman" w:eastAsia="仿宋_GB2312" w:cs="Times New Roman"/>
          <w:b w:val="0"/>
          <w:bCs w:val="0"/>
          <w:color w:val="auto"/>
          <w:kern w:val="0"/>
          <w:sz w:val="32"/>
          <w:szCs w:val="32"/>
          <w:highlight w:val="none"/>
          <w:u w:val="none"/>
          <w:lang w:val="en-US" w:eastAsia="zh-CN" w:bidi="ar"/>
        </w:rPr>
        <w:t>13.6</w:t>
      </w:r>
      <w:r>
        <w:rPr>
          <w:rFonts w:hint="eastAsia" w:ascii="Times New Roman" w:hAnsi="Times New Roman" w:eastAsia="仿宋_GB2312" w:cs="Times New Roman"/>
          <w:b w:val="0"/>
          <w:bCs w:val="0"/>
          <w:color w:val="auto"/>
          <w:kern w:val="0"/>
          <w:sz w:val="32"/>
          <w:szCs w:val="32"/>
          <w:highlight w:val="none"/>
          <w:u w:val="none"/>
          <w:lang w:val="en-US" w:eastAsia="zh-CN" w:bidi="ar"/>
        </w:rPr>
        <w:t>%</w:t>
      </w:r>
      <w:r>
        <w:rPr>
          <w:rFonts w:hint="default" w:ascii="Times New Roman" w:hAnsi="Times New Roman" w:eastAsia="仿宋_GB2312" w:cs="Times New Roman"/>
          <w:b w:val="0"/>
          <w:bCs w:val="0"/>
          <w:color w:val="auto"/>
          <w:kern w:val="0"/>
          <w:sz w:val="32"/>
          <w:szCs w:val="32"/>
          <w:highlight w:val="none"/>
          <w:u w:val="none"/>
          <w:lang w:val="en-US" w:eastAsia="zh-CN" w:bidi="ar"/>
        </w:rPr>
        <w:t>，入选国家知识产权强县建设试点县、国家海洋经济创新示范区。</w:t>
      </w:r>
    </w:p>
    <w:p w14:paraId="08C5A470">
      <w:pPr>
        <w:pStyle w:val="13"/>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bidi="ar-SA"/>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rPr>
        <w:t>城</w:t>
      </w:r>
      <w:r>
        <w:rPr>
          <w:rFonts w:hint="eastAsia" w:ascii="Times New Roman" w:hAnsi="Times New Roman" w:eastAsia="楷体_GB2312" w:cs="宋体"/>
          <w:b w:val="0"/>
          <w:bCs w:val="0"/>
          <w:strike w:val="0"/>
          <w:dstrike w:val="0"/>
          <w:color w:val="auto"/>
          <w:spacing w:val="0"/>
          <w:kern w:val="2"/>
          <w:sz w:val="32"/>
          <w:szCs w:val="32"/>
          <w:highlight w:val="none"/>
          <w:u w:val="none"/>
          <w:lang w:eastAsia="zh-CN"/>
        </w:rPr>
        <w:t>乡融合高效推进</w:t>
      </w:r>
      <w:r>
        <w:rPr>
          <w:rFonts w:hint="eastAsia" w:ascii="Times New Roman" w:hAnsi="Times New Roman" w:eastAsia="楷体_GB2312" w:cs="宋体"/>
          <w:b w:val="0"/>
          <w:bCs w:val="0"/>
          <w:strike w:val="0"/>
          <w:dstrike w:val="0"/>
          <w:color w:val="auto"/>
          <w:spacing w:val="0"/>
          <w:kern w:val="2"/>
          <w:sz w:val="32"/>
          <w:szCs w:val="32"/>
          <w:highlight w:val="none"/>
          <w:u w:val="none"/>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主动融入黄河流域生态保护和高质量发展重大国家战略</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胶东经济圈一体化发展大局，莱荣高铁全线通车，</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高铁年均运送乘客</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268万人次。坚持全域精致理念，实施北环海一线综合提升、滨海公园东拓等工程，建成城市绿道、滨海步道34.5公里，改造雨污合流管网135公里，20年以上老旧小区全部改造完成，</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蜊江港、幸福街、北大街等重点区域综合提升取得明显效果，青少年科教中心、桑干河植物园等成为城市新地标，常住人口城镇化率由63.8%提高到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67.66</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，入选县域充换电设施补短板国家级试点</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暖核一号（荣成）核能供热项目投运，替代675万平方米传统供暖面积。累计铺设燃气管线2404.4公里，城镇燃气覆盖率达到99.8%。以区域块状经济为引领推进乡村振兴，培育发展十大特色产业，</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完成</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197</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个村庄建制调整，</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bidi="ar-SA"/>
          <w14:textFill>
            <w14:solidFill>
              <w14:schemeClr w14:val="tx1"/>
            </w14:solidFill>
          </w14:textFill>
          <w14:ligatures w14:val="standardContextual"/>
        </w:rPr>
        <w:t>创建省级以上和美乡村示范村40个，农村规模化供水、5G网络实现全覆盖。</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入选国家乡村振兴示范县创建名单</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i w:val="0"/>
          <w:iCs w:val="0"/>
          <w:caps w:val="0"/>
          <w:strike w:val="0"/>
          <w:dstrike w:val="0"/>
          <w:color w:val="000000" w:themeColor="text1"/>
          <w:spacing w:val="0"/>
          <w:sz w:val="32"/>
          <w:szCs w:val="32"/>
          <w:highlight w:val="none"/>
          <w:u w:val="none"/>
          <w:shd w:val="clear" w:color="auto" w:fill="FFFFFF"/>
          <w:lang w:val="en-US" w:eastAsia="zh-CN"/>
          <w14:textFill>
            <w14:solidFill>
              <w14:schemeClr w14:val="tx1"/>
            </w14:solidFill>
          </w14:textFill>
        </w:rPr>
        <w:t>获评国家潜力地区城镇化水平提升试点、</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bidi="ar-SA"/>
          <w14:textFill>
            <w14:solidFill>
              <w14:schemeClr w14:val="tx1"/>
            </w14:solidFill>
          </w14:textFill>
          <w14:ligatures w14:val="standardContextual"/>
        </w:rPr>
        <w:t>全国“五好两宜”和美乡村试点县、全国水系连通及水美乡村建设试点县、国家传统村落集中连片保护利用示范县，“天之尽头·天鹅海岸”入选全国乡村旅游精品线路，烟墩角村入选联合国旅游组织“最佳旅游乡村”。</w:t>
      </w:r>
    </w:p>
    <w:p w14:paraId="387023D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绿色转型成效明显。</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坚持生态优先、绿色发展，美丽荣成建设翻开新画卷。全力打好污染防治攻坚战，环境空气质量</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连续十年</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稳定达到国家二级标准，综合指数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位居全省前列</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，饮用水源地、重点河流和近岸海域水质</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达标率</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保持100%，城</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乡</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生活垃圾分类实现全覆盖。</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矿山和海岸带</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生态保护修复扎实有效，山水林田湖系统治理稳步推进，建成省级</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幸福</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河湖11条（片）</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，四个海湾全部创建省级以上美丽海湾，</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获评全国绿色发展百强县、</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中华环境奖</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”城镇环境类优秀奖。</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华能高温气冷堆、</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国和一号</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等项目建成投运，石岛湾核电扩建一期加快建设</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全市</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非化石</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能源装机容量</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超过</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400</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万千瓦，占电力装机总量的96.6%</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万元GDP</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能耗持续下降</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，主要污染物减排任务超额完成。崖头河入选</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山东省效益河湖样板典型案例</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”，获评</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bidi="ar-SA"/>
          <w14:textFill>
            <w14:solidFill>
              <w14:schemeClr w14:val="tx1"/>
            </w14:solidFill>
          </w14:textFill>
          <w14:ligatures w14:val="standardContextual"/>
        </w:rPr>
        <w:t>省级林长制、河湖长制工作成效明显县</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w:t>
      </w:r>
    </w:p>
    <w:p w14:paraId="27EDB094">
      <w:pPr>
        <w:pStyle w:val="13"/>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rPr>
        <w:t>改革开放</w:t>
      </w:r>
      <w:r>
        <w:rPr>
          <w:rFonts w:hint="eastAsia" w:ascii="Times New Roman" w:hAnsi="Times New Roman" w:eastAsia="楷体_GB2312" w:cs="宋体"/>
          <w:b w:val="0"/>
          <w:bCs w:val="0"/>
          <w:strike w:val="0"/>
          <w:dstrike w:val="0"/>
          <w:color w:val="auto"/>
          <w:spacing w:val="0"/>
          <w:kern w:val="2"/>
          <w:sz w:val="32"/>
          <w:szCs w:val="32"/>
          <w:highlight w:val="none"/>
          <w:u w:val="none"/>
          <w:lang w:eastAsia="zh-CN"/>
        </w:rPr>
        <w:t>走深走实</w:t>
      </w:r>
      <w:r>
        <w:rPr>
          <w:rFonts w:hint="eastAsia" w:ascii="Times New Roman" w:hAnsi="Times New Roman" w:eastAsia="楷体_GB2312" w:cs="宋体"/>
          <w:b w:val="0"/>
          <w:bCs w:val="0"/>
          <w:strike w:val="0"/>
          <w:dstrike w:val="0"/>
          <w:color w:val="auto"/>
          <w:spacing w:val="0"/>
          <w:kern w:val="2"/>
          <w:sz w:val="32"/>
          <w:szCs w:val="32"/>
          <w:highlight w:val="none"/>
          <w:u w:val="none"/>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lang w:eastAsia="zh-CN"/>
          <w14:textFill>
            <w14:solidFill>
              <w14:schemeClr w14:val="tx1"/>
            </w14:solidFill>
          </w14:textFill>
          <w14:ligatures w14:val="standardContextual"/>
        </w:rPr>
        <w:t>全面深化改革、扩大开放，城市发展能级彰显新活力。</w:t>
      </w:r>
      <w:r>
        <w:rPr>
          <w:rFonts w:hint="default" w:ascii="Times New Roman" w:hAnsi="Times New Roman" w:eastAsia="仿宋_GB2312" w:cs="Times New Roman"/>
          <w:b w:val="0"/>
          <w:bCs w:val="0"/>
          <w:color w:val="auto"/>
          <w:kern w:val="0"/>
          <w:sz w:val="32"/>
          <w:szCs w:val="32"/>
          <w:highlight w:val="none"/>
          <w:u w:val="none"/>
          <w:lang w:val="en-US" w:eastAsia="zh-CN" w:bidi="ar"/>
        </w:rPr>
        <w:t>争创省级以上改革试点219个，200余项经验获省级以上推广，获评</w:t>
      </w:r>
      <w:r>
        <w:rPr>
          <w:rFonts w:hint="eastAsia" w:ascii="Times New Roman" w:hAnsi="Times New Roman" w:eastAsia="仿宋_GB2312" w:cs="Times New Roman"/>
          <w:b w:val="0"/>
          <w:bCs w:val="0"/>
          <w:color w:val="auto"/>
          <w:kern w:val="0"/>
          <w:sz w:val="32"/>
          <w:szCs w:val="32"/>
          <w:highlight w:val="none"/>
          <w:u w:val="none"/>
          <w:lang w:val="en-US" w:eastAsia="zh-CN" w:bidi="ar"/>
        </w:rPr>
        <w:t>全省对标建设中国特色社会主义先行示范区综合改革试点、</w:t>
      </w:r>
      <w:r>
        <w:rPr>
          <w:rFonts w:hint="default" w:ascii="Times New Roman" w:hAnsi="Times New Roman" w:eastAsia="仿宋_GB2312" w:cs="Times New Roman"/>
          <w:b w:val="0"/>
          <w:bCs w:val="0"/>
          <w:color w:val="auto"/>
          <w:kern w:val="0"/>
          <w:sz w:val="32"/>
          <w:szCs w:val="32"/>
          <w:highlight w:val="none"/>
          <w:u w:val="none"/>
          <w:lang w:val="en-US" w:eastAsia="zh-CN" w:bidi="ar"/>
        </w:rPr>
        <w:t>系统集成改革省级试点优秀县</w:t>
      </w:r>
      <w:r>
        <w:rPr>
          <w:rFonts w:hint="eastAsia" w:ascii="Times New Roman" w:hAnsi="Times New Roman" w:eastAsia="仿宋_GB2312" w:cs="Times New Roman"/>
          <w:b w:val="0"/>
          <w:bCs w:val="0"/>
          <w:color w:val="auto"/>
          <w:kern w:val="0"/>
          <w:sz w:val="32"/>
          <w:szCs w:val="32"/>
          <w:highlight w:val="none"/>
          <w:u w:val="none"/>
          <w:lang w:val="en-US" w:eastAsia="zh-CN" w:bidi="ar"/>
        </w:rPr>
        <w:t>。沙窝岛中心渔港获批全省首个正式对外启用的渔港码头，</w:t>
      </w:r>
      <w:r>
        <w:rPr>
          <w:rFonts w:hint="eastAsia" w:ascii="Times New Roman" w:hAnsi="Times New Roman" w:eastAsia="仿宋_GB2312" w:cs="仿宋_GB2312"/>
          <w:b w:val="0"/>
          <w:bCs w:val="0"/>
          <w:strike w:val="0"/>
          <w:dstrike w:val="0"/>
          <w:color w:val="000000" w:themeColor="text1"/>
          <w:spacing w:val="0"/>
          <w:kern w:val="21"/>
          <w:sz w:val="32"/>
          <w:szCs w:val="32"/>
          <w:highlight w:val="none"/>
          <w:lang w:eastAsia="zh-CN"/>
          <w14:textFill>
            <w14:solidFill>
              <w14:schemeClr w14:val="tx1"/>
            </w14:solidFill>
          </w14:textFill>
          <w14:ligatures w14:val="standardContextual"/>
        </w:rPr>
        <w:t>对外开放泊位增至81个，开放岸线、水域和港口规模均位列全国县级首位。开通“石岛—海参崴”首条对俄商运航线，开展“荣成造、全球行”优质产品出海行动，外贸进出口实现总量翻番，累计实际利用外资超过5亿美元，获批国家外贸转型升级基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国际化营商环境建设标杆市</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企业家幸福感最强市</w:t>
      </w:r>
      <w:r>
        <w:rPr>
          <w:rFonts w:hint="eastAsia" w:ascii="Times New Roman" w:hAnsi="Times New Roman" w:eastAsia="仿宋_GB2312" w:cs="仿宋_GB2312"/>
          <w:b w:val="0"/>
          <w:bCs w:val="0"/>
          <w:strike w:val="0"/>
          <w:dstrike w:val="0"/>
          <w:color w:val="000000" w:themeColor="text1"/>
          <w:spacing w:val="0"/>
          <w:kern w:val="21"/>
          <w:sz w:val="32"/>
          <w:szCs w:val="32"/>
          <w:highlight w:val="none"/>
          <w:lang w:eastAsia="zh-CN"/>
          <w14:textFill>
            <w14:solidFill>
              <w14:schemeClr w14:val="tx1"/>
            </w14:solidFill>
          </w14:textFill>
          <w14:ligatures w14:val="standardContextual"/>
        </w:rPr>
        <w:t>。</w:t>
      </w:r>
    </w:p>
    <w:p w14:paraId="626D98D3">
      <w:pPr>
        <w:keepNext w:val="0"/>
        <w:keepLines w:val="0"/>
        <w:pageBreakBefore w:val="0"/>
        <w:widowControl w:val="0"/>
        <w:kinsoku/>
        <w:wordWrap/>
        <w:overflowPunct w:val="0"/>
        <w:topLinePunct w:val="0"/>
        <w:autoSpaceDE/>
        <w:autoSpaceDN/>
        <w:bidi w:val="0"/>
        <w:adjustRightInd/>
        <w:snapToGrid w:val="0"/>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民生福祉持续增进。</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牢记人民至上、发展为民，社会幸福指数达到新高度。</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民生</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支出占财政支出比重稳定在80%左右，累计新增城镇就业4万人，居民人均可支配收入年均增长6%，建成6处医疗辅助中心，新增省级以上重点专科、优势专科6个，</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每千名老人养老床位数提高到55张。</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新建、改扩建中小学10所，新增学位1万多个，</w:t>
      </w:r>
      <w:r>
        <w:rPr>
          <w:rFonts w:hint="default"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普惠性幼儿园覆</w:t>
      </w:r>
      <w:r>
        <w:rPr>
          <w:rFonts w:hint="default" w:ascii="Times New Roman" w:hAnsi="Times New Roman" w:eastAsia="仿宋_GB2312" w:cs="Times New Roman"/>
          <w:b w:val="0"/>
          <w:bCs w:val="0"/>
          <w:color w:val="auto"/>
          <w:kern w:val="0"/>
          <w:sz w:val="32"/>
          <w:szCs w:val="32"/>
          <w:highlight w:val="none"/>
          <w:u w:val="none"/>
          <w:lang w:val="en-US" w:eastAsia="zh-CN" w:bidi="ar"/>
        </w:rPr>
        <w:t>盖率提高到92%，义务教育省级以上特色学校占比54.8%。</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获批全国学前教育普及普惠县、全国义务教育优质均衡发展县、</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省</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级</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高质量充分就业县</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default" w:ascii="Times New Roman" w:hAnsi="Times New Roman" w:eastAsia="仿宋_GB2312" w:cs="Times New Roman"/>
          <w:b w:val="0"/>
          <w:bCs w:val="0"/>
          <w:color w:val="auto"/>
          <w:kern w:val="0"/>
          <w:sz w:val="32"/>
          <w:szCs w:val="32"/>
          <w:highlight w:val="none"/>
          <w:u w:val="none"/>
          <w:lang w:val="en-US" w:eastAsia="zh-CN"/>
        </w:rPr>
        <w:t>省级高水平紧密型县域医共体样板县试点</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、省级全环境立德树人示范区及职业教育改革成效明显县、</w:t>
      </w:r>
      <w:r>
        <w:rPr>
          <w:rFonts w:hint="eastAsia" w:ascii="Times New Roman" w:hAnsi="Times New Roman" w:eastAsia="仿宋_GB2312" w:cs="Times New Roman"/>
          <w:b w:val="0"/>
          <w:bCs w:val="0"/>
          <w:color w:val="auto"/>
          <w:sz w:val="32"/>
          <w:szCs w:val="40"/>
          <w:u w:val="none"/>
          <w:lang w:val="en-US" w:eastAsia="zh-CN"/>
        </w:rPr>
        <w:t>县域养老服务体系创新示范县</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val="en-US" w:eastAsia="zh-CN"/>
          <w14:textFill>
            <w14:solidFill>
              <w14:schemeClr w14:val="tx1"/>
            </w14:solidFill>
          </w14:textFill>
          <w14:ligatures w14:val="standardContextual"/>
        </w:rPr>
        <w:t>等。</w:t>
      </w:r>
      <w:r>
        <w:rPr>
          <w:rFonts w:hint="default" w:ascii="Times New Roman" w:hAnsi="Times New Roman" w:eastAsia="仿宋_GB2312" w:cs="Times New Roman"/>
          <w:b w:val="0"/>
          <w:bCs w:val="0"/>
          <w:color w:val="auto"/>
          <w:kern w:val="0"/>
          <w:sz w:val="32"/>
          <w:szCs w:val="32"/>
          <w:highlight w:val="none"/>
          <w:u w:val="none"/>
          <w:lang w:val="en-US" w:eastAsia="zh-CN" w:bidi="ar"/>
        </w:rPr>
        <w:t>在全国率先推行文明实践美德信用机制，</w:t>
      </w:r>
      <w:r>
        <w:rPr>
          <w:rFonts w:hint="eastAsia" w:ascii="Times New Roman" w:hAnsi="Times New Roman" w:eastAsia="仿宋_GB2312" w:cs="Times New Roman"/>
          <w:b w:val="0"/>
          <w:bCs w:val="0"/>
          <w:color w:val="auto"/>
          <w:kern w:val="0"/>
          <w:sz w:val="32"/>
          <w:szCs w:val="32"/>
          <w:highlight w:val="none"/>
          <w:u w:val="none"/>
          <w:lang w:val="en-US" w:eastAsia="zh-CN" w:bidi="ar"/>
        </w:rPr>
        <w:t>信用建设经验入选贯彻习近平新时代中国特色社会主义思想实践案例，“</w:t>
      </w:r>
      <w:r>
        <w:rPr>
          <w:rFonts w:hint="default" w:ascii="Times New Roman" w:hAnsi="Times New Roman" w:eastAsia="仿宋_GB2312" w:cs="Times New Roman"/>
          <w:b w:val="0"/>
          <w:bCs w:val="0"/>
          <w:color w:val="auto"/>
          <w:kern w:val="0"/>
          <w:sz w:val="32"/>
          <w:szCs w:val="32"/>
          <w:highlight w:val="none"/>
          <w:u w:val="none"/>
          <w:lang w:val="en-US" w:eastAsia="zh-CN" w:bidi="ar"/>
        </w:rPr>
        <w:t>五位一体</w:t>
      </w:r>
      <w:r>
        <w:rPr>
          <w:rFonts w:hint="eastAsia" w:ascii="Times New Roman" w:hAnsi="Times New Roman" w:eastAsia="仿宋_GB2312" w:cs="Times New Roman"/>
          <w:b w:val="0"/>
          <w:bCs w:val="0"/>
          <w:color w:val="auto"/>
          <w:kern w:val="0"/>
          <w:sz w:val="32"/>
          <w:szCs w:val="32"/>
          <w:highlight w:val="none"/>
          <w:u w:val="none"/>
          <w:lang w:val="en-US" w:eastAsia="zh-CN" w:bidi="ar"/>
        </w:rPr>
        <w:t>”</w:t>
      </w:r>
      <w:r>
        <w:rPr>
          <w:rFonts w:hint="default" w:ascii="Times New Roman" w:hAnsi="Times New Roman" w:eastAsia="仿宋_GB2312" w:cs="Times New Roman"/>
          <w:b w:val="0"/>
          <w:bCs w:val="0"/>
          <w:color w:val="auto"/>
          <w:kern w:val="0"/>
          <w:sz w:val="32"/>
          <w:szCs w:val="32"/>
          <w:highlight w:val="none"/>
          <w:u w:val="none"/>
          <w:lang w:val="en-US" w:eastAsia="zh-CN" w:bidi="ar"/>
        </w:rPr>
        <w:t>社区治理共同体建设经验被中央推广。</w:t>
      </w:r>
    </w:p>
    <w:p w14:paraId="463FD13F">
      <w:pPr>
        <w:pStyle w:val="13"/>
        <w:keepNext w:val="0"/>
        <w:keepLines w:val="0"/>
        <w:pageBreakBefore w:val="0"/>
        <w:widowControl w:val="0"/>
        <w:kinsoku/>
        <w:wordWrap/>
        <w:overflowPunct w:val="0"/>
        <w:topLinePunct w:val="0"/>
        <w:autoSpaceDE/>
        <w:autoSpaceDN/>
        <w:bidi w:val="0"/>
        <w:adjustRightInd/>
        <w:spacing w:line="574" w:lineRule="exact"/>
        <w:ind w:firstLine="640" w:firstLineChars="200"/>
        <w:jc w:val="both"/>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eastAsia="zh-CN"/>
        </w:rPr>
        <w:t>社会大局和谐稳定。</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社会治理现代化水平提升，社会治安与安全生产形势稳定，荣获</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最具幸福感城市</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等系列国家级、省级荣誉，群众获得感、幸福感、安全感显著增强。深入实施安全生产治本攻坚行动，全链条开展建筑施工、道路交通、海上安全、化工等十大重点领域隐患排查整治，一般及以上事故得到有效遏制。海上安全防控特色鲜明，创新</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依港管船</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机制，实现伏休母港渔船</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双北斗</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定位全覆盖，建立海洋渔业、海警、海事联合巡航执法体系，筑牢沿海安全防线。应急通信覆盖海上搜救、森林灭火等通信盲区</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严厉打击走私、违规出海等行为，社会治安形势持续向好</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pacing w:val="0"/>
          <w:kern w:val="21"/>
          <w:sz w:val="32"/>
          <w:szCs w:val="32"/>
          <w:highlight w:val="none"/>
          <w:u w:val="none"/>
          <w14:textFill>
            <w14:solidFill>
              <w14:schemeClr w14:val="tx1"/>
            </w14:solidFill>
          </w14:textFill>
          <w14:ligatures w14:val="standardContextual"/>
        </w:rPr>
        <w:t>平安荣成建设纵深推进。</w:t>
      </w:r>
    </w:p>
    <w:p w14:paraId="725BF5B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2" w:name="_Toc2239"/>
      <w:r>
        <w:rPr>
          <w:rFonts w:hint="eastAsia" w:ascii="Times New Roman" w:hAnsi="Times New Roman"/>
          <w:b w:val="0"/>
          <w:bCs w:val="0"/>
          <w:strike w:val="0"/>
          <w:dstrike w:val="0"/>
          <w:color w:val="000000" w:themeColor="text1"/>
          <w:highlight w:val="none"/>
          <w:u w:val="none"/>
          <w14:textFill>
            <w14:solidFill>
              <w14:schemeClr w14:val="tx1"/>
            </w14:solidFill>
          </w14:textFill>
        </w:rPr>
        <w:t>第二节 新发展阶段面临的机遇与挑战</w:t>
      </w:r>
      <w:bookmarkEnd w:id="7"/>
      <w:bookmarkEnd w:id="8"/>
      <w:bookmarkEnd w:id="12"/>
    </w:p>
    <w:p w14:paraId="01A99C30">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b w:val="0"/>
          <w:bCs w:val="0"/>
          <w:strike w:val="0"/>
          <w:dstrike w:val="0"/>
          <w:color w:val="000000" w:themeColor="text1"/>
          <w:sz w:val="32"/>
          <w:szCs w:val="32"/>
          <w:highlight w:val="none"/>
          <w:u w:val="none"/>
          <w14:textFill>
            <w14:solidFill>
              <w14:schemeClr w14:val="tx1"/>
            </w14:solidFill>
          </w14:textFill>
        </w:rPr>
      </w:pPr>
      <w:bookmarkStart w:id="13" w:name="_Toc32535"/>
      <w:bookmarkStart w:id="14" w:name="_Toc14214"/>
      <w:bookmarkStart w:id="15" w:name="_Toc3493"/>
      <w:bookmarkStart w:id="16" w:name="_Toc23715"/>
      <w:bookmarkStart w:id="17" w:name="_Toc7747"/>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展望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十五五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时期</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，经济社会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发展环境面临深刻复杂变化，国际国内格局深度调整，机遇与挑战的内涵、形态均发生深刻变革。谋篇布局现代化新荣成建设，必须精准把握全球趋势、国家战略与区域定位，积极识变应变求变，保持战略定力，增强必胜信心，以历史主动精神克难关、战风险、迎挑战，让荣成实践在经济高质量发展中提质、在社会稳定繁荣中增效，书写更具分量的时代新篇。</w:t>
      </w:r>
    </w:p>
    <w:p w14:paraId="003DB22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从国际形势看，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全球</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双碳</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目标推动能源结构与产业格局深度调整，清洁能源、蓝色碳汇、绿色制造等领域成为国际投资与合作热点，石岛湾核电基地等项目</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落地实施以及</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海草床固碳、海洋牧场生态模式的技术优势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，有利于</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在全球蓝色经济合作中抢占先机。新一轮科技革命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和</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产业变革加速演进，人工智能、大数据、智能装备等前沿技术催生新产业、新业态，为传统产业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智改数转</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与战略性新兴产业布局提供契机。新兴市场国家群体性崛起，为深化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一带一路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合作、拓展外贸新兴市场创造空间，助力海洋食品和海洋生物医药等领域需求增长，推动跨境电商与远洋渔业合作向纵深发展。然而，也需警惕全球政治经济不确定性风险增强，地缘政治冲突持续发酵、贸易保护主义与单边主义抬头，叠加全球经济复苏乏力，导致全球产业链供应链加速重构，对外向型经济形成直接冲击，出口主力产业面临国际市场规则重塑、物流成本攀升、订单稳定性下降等压力，尤其是欧美市场贸易壁垒收紧，进一步压缩企业盈利空间。</w:t>
      </w:r>
    </w:p>
    <w:p w14:paraId="09C0FE6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从国内层面看，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我国经济步入高质量发展阶段，基础稳、优势多、韧性强、潜能大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长期向好，为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经济社会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发展带来系列支持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国内消费结构向品质化、绿色化、体验化升级，有效促进内需市场潜力持续释放。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海洋强国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双碳</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乡村振兴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等国家重大战略向纵深推进、叠加赋能，既为荣成争取超长期特别国债、专项债等政策与资金支持创造有利条件，也为重大项目落地提供了坚实</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的政策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支撑。与此同时，国内层面的挑战亦不容忽视</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资源要素约束持续趋紧，重大项目建设与产业升级仍存在土地、资本、人才等要素缺口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能耗、环境容量等刚性约束加剧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产业转型攻坚压力大，传统产业占比仍较高，水产加工等产业向高端化、智能化转型步伐加快。新质生产力培育尚处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于</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起步阶段，产业整体竞争力与高质量发展要求存在差距</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p>
    <w:p w14:paraId="4ED4426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从省市层面看，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工业经济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头号工程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三个十大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行动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持续</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一群两心三圈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格局深化，海洋强省、绿色低碳高质量发展先行区建设等政策落地，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带来多重政策红利</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。依托</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国家级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海洋牧场、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国家级沿海</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渔港经济区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等载体以</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及莱荣高铁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等交通网线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深度参与胶东经济圈海洋产业协同，推动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开展产业链分工，共享技术、市场与人才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同时竞争压力不容忽视</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沿海城市集中发力抢占海洋经济、绿色产业等新质生产力赛道，产业布局趋同，招商引资与人才政策面临同质化竞争，高端资源集聚形成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一定的“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虹吸效应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，需</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进一步</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强化特色、提升城市功能积极应对。</w:t>
      </w:r>
    </w:p>
    <w:p w14:paraId="6D91D03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default" w:ascii="Times New Roman" w:hAnsi="Times New Roman" w:eastAsia="楷体_GB2312" w:cs="宋体"/>
          <w:b w:val="0"/>
          <w:bCs w:val="0"/>
          <w:strike w:val="0"/>
          <w:dstrike w:val="0"/>
          <w:color w:val="000000" w:themeColor="text1"/>
          <w:spacing w:val="0"/>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从我市层面看，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十五五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时期</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我市</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将处于海洋经济提质跃升期、绿色低碳转型攻坚期、新质生产力培育突破期、区域协同融合加速期、开放型经济关键提升期、城乡基建智慧升级期以及治理效能长效优化期。要全面贯彻新发展理念，以海洋强国战略为引领，聚力突破核能利用、海洋生物科技、智能养殖装备等新兴赛道，抢占蓝色经济国际合作先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要构建以先进制造业为骨干的现代化产业体系，推动水产加工、海工装备等传统产业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智改数转</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，加快</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新材料</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核能综合利用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规模化发展，筑牢实体经济根基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要在集聚创新要素上加力，建强院士工作站、产业创新平台，畅通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产学研用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转化通道，破解人才、技术等要素制约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要在融入区域战略上加力，深度链接胶东经济圈海洋产业协同，依托莱荣高铁、石岛港等完善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公铁水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联运体系，强化产业链互补，建设东北亚滨海物流贸易枢纽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要在绿色低碳发展上加力，拓展</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新能源产业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应用场景，推进海草床修复与蓝色碳汇开发，巩固绿色</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低碳高质量发展</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建设成果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要在治理效能提升上加力，应对外贸风险、区域竞争等挑战，打造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市场化、法治化、国际化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营商环境，深化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信用+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改革，优化要素配置与民生保障，为现代化海洋强市建设与高质量发展提供坚实支撑。</w:t>
      </w:r>
    </w:p>
    <w:p w14:paraId="07EB4293">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8" w:name="_Toc30686"/>
      <w:r>
        <w:rPr>
          <w:rFonts w:hint="eastAsia" w:ascii="Times New Roman" w:hAnsi="Times New Roman"/>
          <w:b w:val="0"/>
          <w:bCs w:val="0"/>
          <w:strike w:val="0"/>
          <w:dstrike w:val="0"/>
          <w:color w:val="000000" w:themeColor="text1"/>
          <w:highlight w:val="none"/>
          <w:u w:val="none"/>
          <w14:textFill>
            <w14:solidFill>
              <w14:schemeClr w14:val="tx1"/>
            </w14:solidFill>
          </w14:textFill>
        </w:rPr>
        <w:t>第三节 指导思想与基本原则</w:t>
      </w:r>
      <w:bookmarkEnd w:id="13"/>
      <w:bookmarkEnd w:id="14"/>
      <w:bookmarkEnd w:id="15"/>
      <w:bookmarkEnd w:id="18"/>
    </w:p>
    <w:p w14:paraId="5A58B8E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pPr>
      <w:bookmarkStart w:id="19" w:name="_Toc13160"/>
      <w:bookmarkStart w:id="20" w:name="_Toc3035"/>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一、指导思想</w:t>
      </w:r>
      <w:bookmarkEnd w:id="19"/>
      <w:bookmarkEnd w:id="20"/>
    </w:p>
    <w:p w14:paraId="1178D1AB">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bookmarkStart w:id="21" w:name="_Toc11127"/>
      <w:bookmarkStart w:id="22" w:name="_Toc27633"/>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坚持马克思列宁主义、毛泽东思想、邓小平理论、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三个代表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重要思想、科学发展观，全面贯彻习近平新时代中国特色社会主义思想，深入贯彻党的二十大和二十届历次全会精神，认真落实习近平总书记视察山东重要讲话和重要指示批示精神，统筹推进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五位一体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总体布局，协调推进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四个全面</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战略布局，统筹国内国际两个大局，完整准确全面贯彻新发展理念，主动服务和融入新发展格局，坚持稳中求进工作总基调，坚持以经济建设为中心，以推动高质量发展为主题，以改革创新为根本动力，以满足人民日益增长的美好生活需要为根本目的，以全面从严治党为根本保障，坚定扛牢</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走在前、挑大梁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使命担当，加快建设更具创新力的深蓝之城、更具引领力的零碳之城、更具影响力的精致之城、更具感知力的幸福之城，推动经济实现质的有效提升和量的合理增长，推动人的全面发展、全体人民共同富裕迈出坚实步伐，确保现代化新荣成建设取得决定性进展，争当新时代社会主义现代化强省建设县域范例。</w:t>
      </w:r>
    </w:p>
    <w:p w14:paraId="66806CA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二、基本原则</w:t>
      </w:r>
      <w:bookmarkEnd w:id="21"/>
      <w:bookmarkEnd w:id="22"/>
    </w:p>
    <w:p w14:paraId="7517C8B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坚持党的全面领导。</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把党的领导贯穿规划实施全过程，充分发挥党总揽全局、协调各方的领导核心作用，确保荣成市经济社会发展始终沿着正确方向前进。</w:t>
      </w:r>
    </w:p>
    <w:p w14:paraId="30A6B50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坚持人民至上。</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始终把人民利益放在首位，健全基本公共服务体系，持续改善民生福祉，扎实推进共同富裕，让发展成果更多更公平惠及全体人民。</w:t>
      </w:r>
    </w:p>
    <w:p w14:paraId="6F753319">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坚持高质量发展。</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坚持高端化绿色化融合化产业方向，</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以质效提升为核心导向，聚焦高端制造、文旅康养等优势领域，强化科技创新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驱动</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把创新作为高质量发展的关键抓手。</w:t>
      </w:r>
    </w:p>
    <w:p w14:paraId="0F9525E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坚持全面深化改革。</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持续推进重点领域和关键环节改革，以改革破除体制机制障碍，激发各类市场活力和社会创造力，促进区域协调发展，构建全域一体化发展格局。</w:t>
      </w:r>
    </w:p>
    <w:p w14:paraId="388EF96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坚持有效市场和有为政府相结合。</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充分发挥市场在资源配置中的决定性作用，更好发挥政府作用，形成市场与政府作用有机统一、互补互促格局，推动经济社会持续健康发展。</w:t>
      </w:r>
    </w:p>
    <w:p w14:paraId="546DC5C4">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坚持统筹发展和安全。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牢固树立总体国家安全观，加强风险防控体系建设，确保产业安全、金融、生态、社会等领域安全底线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实现高质量发展和高水平安全良性互动。</w:t>
      </w:r>
    </w:p>
    <w:p w14:paraId="0136FF6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23" w:name="_Toc14235"/>
      <w:bookmarkStart w:id="24" w:name="_Toc7631"/>
      <w:bookmarkStart w:id="25" w:name="_Toc4752"/>
      <w:bookmarkStart w:id="26" w:name="_Toc16013"/>
      <w:r>
        <w:rPr>
          <w:rFonts w:hint="eastAsia" w:ascii="Times New Roman" w:hAnsi="Times New Roman"/>
          <w:b w:val="0"/>
          <w:bCs w:val="0"/>
          <w:strike w:val="0"/>
          <w:dstrike w:val="0"/>
          <w:color w:val="000000" w:themeColor="text1"/>
          <w:highlight w:val="none"/>
          <w:u w:val="none"/>
          <w14:textFill>
            <w14:solidFill>
              <w14:schemeClr w14:val="tx1"/>
            </w14:solidFill>
          </w14:textFill>
        </w:rPr>
        <w:t>第四节 发展定位</w:t>
      </w:r>
      <w:bookmarkEnd w:id="23"/>
      <w:bookmarkEnd w:id="24"/>
      <w:bookmarkEnd w:id="25"/>
      <w:bookmarkEnd w:id="26"/>
    </w:p>
    <w:p w14:paraId="2191A53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ascii="Times New Roman" w:hAnsi="Times New Roman"/>
          <w:b w:val="0"/>
          <w:bCs w:val="0"/>
          <w:highlight w: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聚焦聚力</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建设</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更具创新力</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的深蓝之城，坚持把向海图强、创新开放作为核心动力，推动区域综合实力走在更前列。</w:t>
      </w:r>
      <w:r>
        <w:rPr>
          <w:rFonts w:hint="default" w:ascii="Times New Roman" w:hAnsi="Times New Roman" w:eastAsia="仿宋_GB2312" w:cs="Times New Roman"/>
          <w:b w:val="0"/>
          <w:bCs w:val="0"/>
          <w:kern w:val="2"/>
          <w:sz w:val="32"/>
          <w:szCs w:val="32"/>
          <w:highlight w:val="none"/>
          <w:u w:val="none"/>
          <w:lang w:val="en-US" w:eastAsia="zh-CN"/>
        </w:rPr>
        <w:t>聚焦聚力</w:t>
      </w:r>
      <w:r>
        <w:rPr>
          <w:rFonts w:hint="eastAsia" w:ascii="Times New Roman" w:hAnsi="Times New Roman" w:eastAsia="仿宋_GB2312" w:cs="Times New Roman"/>
          <w:b w:val="0"/>
          <w:bCs w:val="0"/>
          <w:kern w:val="2"/>
          <w:sz w:val="32"/>
          <w:szCs w:val="32"/>
          <w:highlight w:val="none"/>
          <w:u w:val="none"/>
          <w:lang w:val="en-US" w:eastAsia="zh-CN"/>
        </w:rPr>
        <w:t>“</w:t>
      </w:r>
      <w:r>
        <w:rPr>
          <w:rFonts w:hint="default" w:ascii="Times New Roman" w:hAnsi="Times New Roman" w:eastAsia="仿宋_GB2312" w:cs="Times New Roman"/>
          <w:b w:val="0"/>
          <w:bCs w:val="0"/>
          <w:kern w:val="2"/>
          <w:sz w:val="32"/>
          <w:szCs w:val="32"/>
          <w:highlight w:val="none"/>
          <w:u w:val="none"/>
          <w:lang w:val="en-US" w:eastAsia="zh-CN"/>
        </w:rPr>
        <w:t>产业强市、工业带动、突破发展海洋经济</w:t>
      </w:r>
      <w:r>
        <w:rPr>
          <w:rFonts w:hint="eastAsia" w:ascii="Times New Roman" w:hAnsi="Times New Roman" w:eastAsia="仿宋_GB2312" w:cs="Times New Roman"/>
          <w:b w:val="0"/>
          <w:bCs w:val="0"/>
          <w:kern w:val="2"/>
          <w:sz w:val="32"/>
          <w:szCs w:val="32"/>
          <w:highlight w:val="none"/>
          <w:u w:val="none"/>
          <w:lang w:val="en-US" w:eastAsia="zh-CN"/>
        </w:rPr>
        <w:t>”</w:t>
      </w:r>
      <w:r>
        <w:rPr>
          <w:rFonts w:hint="default" w:ascii="Times New Roman" w:hAnsi="Times New Roman" w:eastAsia="仿宋_GB2312" w:cs="Times New Roman"/>
          <w:b w:val="0"/>
          <w:bCs w:val="0"/>
          <w:kern w:val="2"/>
          <w:sz w:val="32"/>
          <w:szCs w:val="32"/>
          <w:highlight w:val="none"/>
          <w:u w:val="none"/>
          <w:lang w:val="en-US" w:eastAsia="zh-CN"/>
        </w:rPr>
        <w:t>，持续壮大</w:t>
      </w:r>
      <w:r>
        <w:rPr>
          <w:rFonts w:hint="eastAsia" w:ascii="Times New Roman" w:hAnsi="Times New Roman" w:eastAsia="仿宋_GB2312" w:cs="Times New Roman"/>
          <w:b w:val="0"/>
          <w:bCs w:val="0"/>
          <w:kern w:val="2"/>
          <w:sz w:val="32"/>
          <w:szCs w:val="32"/>
          <w:highlight w:val="none"/>
          <w:u w:val="none"/>
          <w:lang w:val="en-US" w:eastAsia="zh-CN"/>
        </w:rPr>
        <w:t>“</w:t>
      </w:r>
      <w:r>
        <w:rPr>
          <w:rFonts w:hint="default" w:ascii="Times New Roman" w:hAnsi="Times New Roman" w:eastAsia="仿宋_GB2312" w:cs="Times New Roman"/>
          <w:b w:val="0"/>
          <w:bCs w:val="0"/>
          <w:kern w:val="2"/>
          <w:sz w:val="32"/>
          <w:szCs w:val="32"/>
          <w:highlight w:val="none"/>
          <w:u w:val="none"/>
          <w:lang w:val="en-US" w:eastAsia="zh-CN"/>
        </w:rPr>
        <w:t>5+2</w:t>
      </w:r>
      <w:r>
        <w:rPr>
          <w:rFonts w:hint="eastAsia" w:ascii="Times New Roman" w:hAnsi="Times New Roman" w:eastAsia="仿宋_GB2312" w:cs="Times New Roman"/>
          <w:b w:val="0"/>
          <w:bCs w:val="0"/>
          <w:kern w:val="2"/>
          <w:sz w:val="32"/>
          <w:szCs w:val="32"/>
          <w:highlight w:val="none"/>
          <w:u w:val="none"/>
          <w:lang w:val="en-US" w:eastAsia="zh-CN"/>
        </w:rPr>
        <w:t>”</w:t>
      </w:r>
      <w:r>
        <w:rPr>
          <w:rFonts w:hint="default" w:ascii="Times New Roman" w:hAnsi="Times New Roman" w:eastAsia="仿宋_GB2312" w:cs="Times New Roman"/>
          <w:b w:val="0"/>
          <w:bCs w:val="0"/>
          <w:kern w:val="2"/>
          <w:sz w:val="32"/>
          <w:szCs w:val="32"/>
          <w:highlight w:val="none"/>
          <w:u w:val="none"/>
          <w:lang w:val="en-US" w:eastAsia="zh-CN"/>
        </w:rPr>
        <w:t>七大产业链，谋划规划建设提升八个产业园区，大力发展区域块状经济，深入推进产业数字化、数字产业化，促进</w:t>
      </w:r>
      <w:r>
        <w:rPr>
          <w:rFonts w:hint="default" w:ascii="Times New Roman" w:hAnsi="Times New Roman" w:eastAsia="仿宋_GB2312" w:cs="Times New Roman"/>
          <w:b w:val="0"/>
          <w:bCs w:val="0"/>
          <w:color w:val="auto"/>
          <w:sz w:val="32"/>
          <w:szCs w:val="32"/>
          <w:highlight w:val="none"/>
          <w:u w:val="none"/>
          <w:lang w:val="en-US" w:eastAsia="zh-CN"/>
        </w:rPr>
        <w:t>产业链、供应链、创新链、生态链</w:t>
      </w:r>
      <w:r>
        <w:rPr>
          <w:rFonts w:hint="default" w:ascii="Times New Roman" w:hAnsi="Times New Roman" w:eastAsia="仿宋_GB2312" w:cs="Times New Roman"/>
          <w:b w:val="0"/>
          <w:bCs w:val="0"/>
          <w:kern w:val="2"/>
          <w:sz w:val="32"/>
          <w:szCs w:val="32"/>
          <w:highlight w:val="none"/>
          <w:u w:val="none"/>
          <w:lang w:val="en-US" w:eastAsia="zh-CN"/>
        </w:rPr>
        <w:t>深度融合</w:t>
      </w:r>
      <w:r>
        <w:rPr>
          <w:rFonts w:hint="eastAsia" w:ascii="Times New Roman" w:hAnsi="Times New Roman" w:eastAsia="仿宋_GB2312" w:cs="Times New Roman"/>
          <w:b w:val="0"/>
          <w:bCs w:val="0"/>
          <w:kern w:val="2"/>
          <w:sz w:val="32"/>
          <w:szCs w:val="32"/>
          <w:highlight w:val="none"/>
          <w:u w:val="none"/>
          <w:lang w:val="en-US" w:eastAsia="zh-CN"/>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创新</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驱动筑牢深蓝经济优势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引领产业升级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。聚焦海洋产业高质量发展，拓展海洋生物医药、特医食品等高附加值领域，打通“捕捞—加工—贸易”国际通道，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探索滨海旅游、低空物流等现代服务业新兴业态，</w:t>
      </w:r>
      <w:r>
        <w:rPr>
          <w:rFonts w:hint="eastAsia" w:ascii="Times New Roman" w:hAnsi="Times New Roman" w:eastAsia="仿宋_GB2312" w:cs="Times New Roman"/>
          <w:b w:val="0"/>
          <w:bCs w:val="0"/>
          <w:kern w:val="2"/>
          <w:sz w:val="32"/>
          <w:szCs w:val="32"/>
          <w:highlight w:val="none"/>
          <w:u w:val="none"/>
          <w:lang w:val="en-US" w:eastAsia="zh-CN"/>
        </w:rPr>
        <w:t>吸引更多优质项目，集聚更多创新要素</w:t>
      </w:r>
      <w:r>
        <w:rPr>
          <w:rFonts w:hint="eastAsia" w:ascii="Times New Roman" w:hAnsi="Times New Roman" w:eastAsia="仿宋_GB2312" w:cs="Times New Roman"/>
          <w:b w:val="0"/>
          <w:bCs w:val="0"/>
          <w:color w:val="auto"/>
          <w:sz w:val="32"/>
          <w:szCs w:val="32"/>
          <w:highlight w:val="none"/>
          <w:u w:val="none"/>
          <w:lang w:val="en-US" w:eastAsia="zh-CN"/>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将海洋资源优势转化为产业竞争优势</w:t>
      </w:r>
      <w:r>
        <w:rPr>
          <w:rFonts w:hint="eastAsia" w:ascii="Times New Roman" w:hAnsi="Times New Roman" w:eastAsia="仿宋_GB2312" w:cs="Times New Roman"/>
          <w:b w:val="0"/>
          <w:bCs w:val="0"/>
          <w:color w:val="auto"/>
          <w:sz w:val="32"/>
          <w:szCs w:val="32"/>
          <w:highlight w:val="none"/>
          <w:u w:val="none"/>
          <w:lang w:val="en-US" w:eastAsia="zh-CN"/>
        </w:rPr>
        <w:t>，提升高质量发展核心竞争力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color w:val="auto"/>
          <w:sz w:val="32"/>
          <w:szCs w:val="32"/>
          <w:highlight w:val="none"/>
          <w:u w:val="none"/>
          <w:lang w:val="en-US" w:eastAsia="zh-CN"/>
        </w:rPr>
        <w:t>培育壮大现代化产业体系。</w:t>
      </w:r>
    </w:p>
    <w:p w14:paraId="03F82963">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聚焦聚力</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建设</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更具引领力</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的零碳之城，坚持把产城融合、绿色低碳作为根本路径，推动绿色发展水平走在更前列。</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核能为引领，</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风</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光</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储多能互补为架构，巩固石岛湾核电先发优势，联动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海上风电、光伏及</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储能电站</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资源</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，构建全域覆盖、源网荷储协同的零碳能源体系。将绿色理念深度融入城乡建设各环节，全面推广绿色建筑标准，加速新能源公交替换与充电桩布局，推进光储充检一体化建设，推动工业领域</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向数字化、智能化、自动化方向发展</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。推进海洋生态修复与蓝碳试点，探索碳汇核算与交易路径，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深化</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能源减碳</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生态固碳</w:t>
      </w:r>
      <w:r>
        <w:rPr>
          <w:rFonts w:hint="eastAsia" w:ascii="Times New Roman" w:hAnsi="Times New Roman"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双轮驱动，</w:t>
      </w:r>
      <w:r>
        <w:rPr>
          <w:rFonts w:hint="default" w:ascii="Times New Roman" w:hAnsi="Times New Roman" w:eastAsia="仿宋_GB2312" w:cs="Times New Roman"/>
          <w:b w:val="0"/>
          <w:bCs w:val="0"/>
          <w:kern w:val="2"/>
          <w:sz w:val="32"/>
          <w:szCs w:val="32"/>
          <w:u w:val="none"/>
          <w:lang w:val="en-US" w:eastAsia="zh-CN" w:bidi="ar-SA"/>
        </w:rPr>
        <w:t>努力打造更多零碳工厂、零碳园区、零碳社区，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争创</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县级零碳转型标杆。</w:t>
      </w:r>
    </w:p>
    <w:p w14:paraId="492052C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聚焦聚力</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建设</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更具影响力</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的精致之城，坚持把城乡统筹、一体发展作为关键抓手，推动城市发展能级走在更前列。</w:t>
      </w:r>
      <w:r>
        <w:rPr>
          <w:rFonts w:hint="default" w:ascii="Times New Roman" w:hAnsi="Times New Roman" w:eastAsia="仿宋_GB2312" w:cs="Times New Roman"/>
          <w:b w:val="0"/>
          <w:bCs w:val="0"/>
          <w:color w:val="auto"/>
          <w:kern w:val="2"/>
          <w:sz w:val="32"/>
          <w:szCs w:val="32"/>
          <w:u w:val="none"/>
          <w:lang w:val="en-US" w:eastAsia="zh-CN"/>
        </w:rPr>
        <w:t>坚持精当规划、精美设计、精心建设、精细管理、精准服务、精明增长，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优化</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全域精致</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生态</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default" w:ascii="Times New Roman" w:hAnsi="Times New Roman" w:eastAsia="仿宋_GB2312" w:cs="Times New Roman"/>
          <w:b w:val="0"/>
          <w:bCs w:val="0"/>
          <w:color w:val="auto"/>
          <w:kern w:val="2"/>
          <w:sz w:val="32"/>
          <w:szCs w:val="32"/>
          <w:u w:val="none"/>
          <w:lang w:val="en-US" w:eastAsia="zh-CN"/>
        </w:rPr>
        <w:t>扎实推进城乡融合发展，</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守护</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自由呼吸</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自在荣成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生态底色</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。深入实施“</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荣归故里</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计划</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强化政策扶持与服务保障，优化人才住房、子女教育、创业扶持等配套，吸引更多青年人才、技能人才、返乡创业者集聚，营造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“近</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远</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的人才生态。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深化文旅康养融合发展，</w:t>
      </w:r>
      <w:r>
        <w:rPr>
          <w:rFonts w:hint="default" w:ascii="Times New Roman" w:hAnsi="Times New Roman" w:eastAsia="仿宋_GB2312" w:cs="Times New Roman"/>
          <w:b w:val="0"/>
          <w:bCs w:val="0"/>
          <w:color w:val="auto"/>
          <w:kern w:val="2"/>
          <w:sz w:val="32"/>
          <w:szCs w:val="32"/>
          <w:u w:val="none"/>
          <w:lang w:val="en-US" w:eastAsia="zh-CN"/>
        </w:rPr>
        <w:t>拓展城市空间、完善配套功能、提升品质内涵，创新社会治理体系，全力打造创新、宜居、美丽、韧性、文明、智慧的现代化人民城市。</w:t>
      </w:r>
    </w:p>
    <w:p w14:paraId="4596C8D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聚焦聚力</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建设</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更具感知力</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的幸福之城，坚持把民生为本、共同富裕作为奋斗目标，推动人民生活品质走在更前列。</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人民至上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根本遵循</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default" w:ascii="Times New Roman" w:hAnsi="Times New Roman" w:eastAsia="仿宋_GB2312" w:cs="Times New Roman"/>
          <w:b w:val="0"/>
          <w:bCs w:val="0"/>
          <w:spacing w:val="-2"/>
          <w:kern w:val="2"/>
          <w:sz w:val="32"/>
          <w:szCs w:val="32"/>
          <w:u w:val="none"/>
          <w:lang w:val="en-US" w:eastAsia="zh-CN"/>
        </w:rPr>
        <w:t>精准聚焦</w:t>
      </w:r>
      <w:r>
        <w:rPr>
          <w:rFonts w:hint="eastAsia" w:ascii="Times New Roman" w:hAnsi="Times New Roman" w:eastAsia="仿宋_GB2312" w:cs="Times New Roman"/>
          <w:b w:val="0"/>
          <w:bCs w:val="0"/>
          <w:spacing w:val="-2"/>
          <w:kern w:val="2"/>
          <w:sz w:val="32"/>
          <w:szCs w:val="32"/>
          <w:u w:val="none"/>
          <w:lang w:val="en-US" w:eastAsia="zh-CN"/>
        </w:rPr>
        <w:t>“</w:t>
      </w:r>
      <w:r>
        <w:rPr>
          <w:rFonts w:hint="default" w:ascii="Times New Roman" w:hAnsi="Times New Roman" w:eastAsia="仿宋_GB2312" w:cs="Times New Roman"/>
          <w:b w:val="0"/>
          <w:bCs w:val="0"/>
          <w:spacing w:val="-2"/>
          <w:kern w:val="2"/>
          <w:sz w:val="32"/>
          <w:szCs w:val="32"/>
          <w:u w:val="none"/>
          <w:lang w:val="en-US" w:eastAsia="zh-CN"/>
        </w:rPr>
        <w:t>关键小事</w:t>
      </w:r>
      <w:r>
        <w:rPr>
          <w:rFonts w:hint="eastAsia" w:ascii="Times New Roman" w:hAnsi="Times New Roman" w:eastAsia="仿宋_GB2312" w:cs="Times New Roman"/>
          <w:b w:val="0"/>
          <w:bCs w:val="0"/>
          <w:spacing w:val="-2"/>
          <w:kern w:val="2"/>
          <w:sz w:val="32"/>
          <w:szCs w:val="32"/>
          <w:u w:val="none"/>
          <w:lang w:val="en-US" w:eastAsia="zh-CN"/>
        </w:rPr>
        <w:t>”</w:t>
      </w:r>
      <w:r>
        <w:rPr>
          <w:rFonts w:hint="default" w:ascii="Times New Roman" w:hAnsi="Times New Roman" w:eastAsia="仿宋_GB2312" w:cs="Times New Roman"/>
          <w:b w:val="0"/>
          <w:bCs w:val="0"/>
          <w:spacing w:val="-2"/>
          <w:kern w:val="2"/>
          <w:sz w:val="32"/>
          <w:szCs w:val="32"/>
          <w:u w:val="none"/>
          <w:lang w:val="en-US" w:eastAsia="zh-CN"/>
        </w:rPr>
        <w:t>，认真办好</w:t>
      </w:r>
      <w:r>
        <w:rPr>
          <w:rFonts w:hint="eastAsia" w:ascii="Times New Roman" w:hAnsi="Times New Roman" w:eastAsia="仿宋_GB2312" w:cs="Times New Roman"/>
          <w:b w:val="0"/>
          <w:bCs w:val="0"/>
          <w:spacing w:val="-2"/>
          <w:kern w:val="2"/>
          <w:sz w:val="32"/>
          <w:szCs w:val="32"/>
          <w:u w:val="none"/>
          <w:lang w:val="en-US" w:eastAsia="zh-CN"/>
        </w:rPr>
        <w:t>“</w:t>
      </w:r>
      <w:r>
        <w:rPr>
          <w:rFonts w:hint="default" w:ascii="Times New Roman" w:hAnsi="Times New Roman" w:eastAsia="仿宋_GB2312" w:cs="Times New Roman"/>
          <w:b w:val="0"/>
          <w:bCs w:val="0"/>
          <w:spacing w:val="-2"/>
          <w:kern w:val="2"/>
          <w:sz w:val="32"/>
          <w:szCs w:val="32"/>
          <w:u w:val="none"/>
          <w:lang w:val="en-US" w:eastAsia="zh-CN"/>
        </w:rPr>
        <w:t>民生大事</w:t>
      </w:r>
      <w:r>
        <w:rPr>
          <w:rFonts w:hint="eastAsia" w:ascii="Times New Roman" w:hAnsi="Times New Roman" w:eastAsia="仿宋_GB2312" w:cs="Times New Roman"/>
          <w:b w:val="0"/>
          <w:bCs w:val="0"/>
          <w:spacing w:val="-2"/>
          <w:kern w:val="2"/>
          <w:sz w:val="32"/>
          <w:szCs w:val="32"/>
          <w:u w:val="none"/>
          <w:lang w:val="en-US" w:eastAsia="zh-CN"/>
        </w:rPr>
        <w:t>”</w:t>
      </w:r>
      <w:r>
        <w:rPr>
          <w:rFonts w:hint="default" w:ascii="Times New Roman" w:hAnsi="Times New Roman" w:eastAsia="仿宋_GB2312" w:cs="Times New Roman"/>
          <w:b w:val="0"/>
          <w:bCs w:val="0"/>
          <w:spacing w:val="-2"/>
          <w:kern w:val="2"/>
          <w:sz w:val="32"/>
          <w:szCs w:val="32"/>
          <w:u w:val="none"/>
          <w:lang w:val="en-US" w:eastAsia="zh-CN"/>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将发展成果转化为可感知的幸福体验。</w:t>
      </w:r>
      <w:r>
        <w:rPr>
          <w:rFonts w:hint="eastAsia" w:ascii="Times New Roman" w:hAnsi="Times New Roman" w:eastAsia="仿宋_GB2312" w:cs="Times New Roman"/>
          <w:b w:val="0"/>
          <w:bCs w:val="0"/>
          <w:spacing w:val="-2"/>
          <w:kern w:val="2"/>
          <w:sz w:val="32"/>
          <w:szCs w:val="32"/>
          <w:u w:val="none"/>
          <w:lang w:val="en-US" w:eastAsia="zh-CN"/>
        </w:rPr>
        <w:t>建设</w:t>
      </w:r>
      <w:r>
        <w:rPr>
          <w:rFonts w:hint="default" w:ascii="Times New Roman" w:hAnsi="Times New Roman" w:eastAsia="仿宋_GB2312" w:cs="Times New Roman"/>
          <w:b w:val="0"/>
          <w:bCs w:val="0"/>
          <w:spacing w:val="-2"/>
          <w:kern w:val="2"/>
          <w:sz w:val="32"/>
          <w:szCs w:val="32"/>
          <w:u w:val="none"/>
          <w:lang w:val="en-US" w:eastAsia="zh-CN"/>
        </w:rPr>
        <w:t>均衡优质的公共服务体系</w:t>
      </w:r>
      <w:r>
        <w:rPr>
          <w:rFonts w:hint="eastAsia" w:ascii="Times New Roman" w:hAnsi="Times New Roman" w:eastAsia="仿宋_GB2312" w:cs="Times New Roman"/>
          <w:b w:val="0"/>
          <w:bCs w:val="0"/>
          <w:spacing w:val="-2"/>
          <w:kern w:val="2"/>
          <w:sz w:val="32"/>
          <w:szCs w:val="32"/>
          <w:u w:val="none"/>
          <w:lang w:val="en-US" w:eastAsia="zh-CN"/>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推动教育医疗资源均等化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Times New Roman"/>
          <w:b w:val="0"/>
          <w:bCs w:val="0"/>
          <w:spacing w:val="-2"/>
          <w:kern w:val="2"/>
          <w:sz w:val="32"/>
          <w:szCs w:val="32"/>
          <w:u w:val="none"/>
          <w:lang w:val="en-US" w:eastAsia="zh-CN"/>
        </w:rPr>
        <w:t>加强</w:t>
      </w:r>
      <w:r>
        <w:rPr>
          <w:rFonts w:hint="default" w:ascii="Times New Roman" w:hAnsi="Times New Roman" w:eastAsia="仿宋_GB2312" w:cs="Times New Roman"/>
          <w:b w:val="0"/>
          <w:bCs w:val="0"/>
          <w:spacing w:val="-2"/>
          <w:kern w:val="2"/>
          <w:sz w:val="32"/>
          <w:szCs w:val="32"/>
          <w:u w:val="none"/>
          <w:lang w:val="en-US" w:eastAsia="zh-CN"/>
        </w:rPr>
        <w:t>普惠托底的社会保障</w:t>
      </w:r>
      <w:r>
        <w:rPr>
          <w:rFonts w:hint="eastAsia" w:ascii="Times New Roman" w:hAnsi="Times New Roman" w:eastAsia="仿宋_GB2312" w:cs="Times New Roman"/>
          <w:b w:val="0"/>
          <w:bCs w:val="0"/>
          <w:spacing w:val="-2"/>
          <w:kern w:val="2"/>
          <w:sz w:val="32"/>
          <w:szCs w:val="32"/>
          <w:u w:val="none"/>
          <w:lang w:val="en-US" w:eastAsia="zh-CN"/>
        </w:rPr>
        <w:t>服务，</w:t>
      </w:r>
      <w:r>
        <w:rPr>
          <w:rFonts w:hint="default" w:ascii="Times New Roman" w:hAnsi="Times New Roman" w:eastAsia="仿宋_GB2312" w:cs="Times New Roman"/>
          <w:b w:val="0"/>
          <w:bCs w:val="0"/>
          <w:spacing w:val="-2"/>
          <w:kern w:val="2"/>
          <w:sz w:val="32"/>
          <w:szCs w:val="32"/>
          <w:u w:val="none"/>
          <w:lang w:val="en-US" w:eastAsia="zh-CN"/>
        </w:rPr>
        <w:t>着力构建多元长效的富民增收体系</w:t>
      </w:r>
      <w:r>
        <w:rPr>
          <w:rFonts w:hint="eastAsia" w:ascii="Times New Roman" w:hAnsi="Times New Roman" w:eastAsia="仿宋_GB2312" w:cs="Times New Roman"/>
          <w:b w:val="0"/>
          <w:bCs w:val="0"/>
          <w:spacing w:val="-2"/>
          <w:kern w:val="2"/>
          <w:sz w:val="32"/>
          <w:szCs w:val="32"/>
          <w:u w:val="none"/>
          <w:lang w:val="en-US" w:eastAsia="zh-CN"/>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放管服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改革，全面提升治理智慧化水平，构建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一站式</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便民服务体系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以全国首批社会信用体系建设示范城市为根基，融合信用体系与现代治理手段，构建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精准、高效、温情</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的城市治理格局。推动城市治理现代化水平全面提升，</w:t>
      </w:r>
      <w:r>
        <w:rPr>
          <w:rFonts w:hint="default" w:ascii="Times New Roman" w:hAnsi="Times New Roman" w:eastAsia="仿宋_GB2312" w:cs="Times New Roman"/>
          <w:b w:val="0"/>
          <w:bCs w:val="0"/>
          <w:kern w:val="2"/>
          <w:sz w:val="32"/>
          <w:szCs w:val="32"/>
          <w:u w:val="none"/>
          <w:lang w:val="en-US" w:eastAsia="zh-CN"/>
        </w:rPr>
        <w:t>努力促进劳有厚报、学有优教、病有良医、老有颐养、住有宜居，用心用情打造幸福荣成、平安荣成</w:t>
      </w:r>
      <w:r>
        <w:rPr>
          <w:rFonts w:hint="default" w:ascii="Times New Roman" w:hAnsi="Times New Roman" w:eastAsia="仿宋_GB2312" w:cs="Times New Roman"/>
          <w:b w:val="0"/>
          <w:bCs w:val="0"/>
          <w:spacing w:val="-2"/>
          <w:kern w:val="2"/>
          <w:sz w:val="32"/>
          <w:szCs w:val="32"/>
          <w:u w:val="none"/>
          <w:lang w:val="en-US" w:eastAsia="zh-CN"/>
        </w:rPr>
        <w:t>。</w:t>
      </w:r>
    </w:p>
    <w:p w14:paraId="0944B45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27" w:name="_Toc28349"/>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第五节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时期主要目标</w:t>
      </w:r>
      <w:bookmarkEnd w:id="16"/>
      <w:bookmarkEnd w:id="17"/>
      <w:bookmarkEnd w:id="27"/>
    </w:p>
    <w:p w14:paraId="007B5BE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bookmarkStart w:id="28" w:name="_Toc16173"/>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经过五年不懈努力，全市经济社会发展迈上新台阶，经济、政治、文化、社会和生态文明建设取得突破性进展，综合竞争力和区域影响力显著提升，现代化新荣成更具创新力、引领力、影响力和感知力，争当新时代社会主义现代化强省建设县域范例取得标志性、引领性成果。</w:t>
      </w:r>
    </w:p>
    <w:p w14:paraId="6843B469">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——经济发展量质齐升。</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经济稳健向好、进中提质，产业结构进一步优化，全要素生产率稳步提升，先进制造业、现代服务业、现代农业和关键未来产业发展取得重大进展，实体经济和数字经济深度融合，现代化产业体系进一步构建。</w:t>
      </w:r>
    </w:p>
    <w:p w14:paraId="56BD8985">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——科技创新赋能驱动。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科技创新和产业创新深度融合，企业创新主体地位进一步凸显，创新要素加速集聚，创新生态更加优化，创新平台效能充分释放，高新技术产业产值占比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实现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提升，教育、科技、人才一体推进格局基本形成。</w:t>
      </w:r>
    </w:p>
    <w:p w14:paraId="4ABD52BB">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——经略海洋成效显著。</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海洋三次产业结构持续优化，海洋牧场、蓝色粮仓丰盈充实，海洋生物食品及医药、海洋装备制造等传统产业优势持续放大，海洋碳汇、海洋能源、海岛开发等新兴和未来产业发展壮大，海洋科技创新能力明显提升，建设更高水平的海洋强市。</w:t>
      </w:r>
    </w:p>
    <w:p w14:paraId="5378E0E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——绿色低碳引领示范。</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绿色生产生活方式基本形成，生态环境质量持续改善，产业结构、能源结构、交通运输结构持续优化，绿色低碳循环发展体系加快建立，绿水青山就是金山银山转化通道全面拓宽，美丽荣成建设实现重大突破。</w:t>
      </w:r>
    </w:p>
    <w:p w14:paraId="15ECC0A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——改革开放全面深化。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重点领域和关键环节改革取得新突破，市场经济、民主法治、生态文明等体制机制更加完善，市场主体活力和社会创造力充分激发，营商环境市场化、法治化、国际化水平显著提高，“荣归故里·成就未来”城市品牌更加彰显。</w:t>
      </w:r>
    </w:p>
    <w:p w14:paraId="668C151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——城乡发展深度融合。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精致城市理念深入人心，陆海统筹、城乡一体、“三生”共融的城市发展布局持续优化，城市发展质量和能级全面提升，创新、宜居、美丽、韧性、文明、智慧的现代化人民城市加快建设。</w:t>
      </w:r>
    </w:p>
    <w:p w14:paraId="7ADB07B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——人民生活更有品质。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新型城镇化和乡村全面振兴扎实推进，高质量充分就业和居民增收取得新进展，社会保障体系更加完善，基本公共服务优质均衡，文化创新创造活力不断激发，人民精神文化生活更加丰富，共同富裕迈出坚实步伐。</w:t>
      </w:r>
    </w:p>
    <w:p w14:paraId="71DCCDF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bookmarkStart w:id="29" w:name="OLE_LINK25"/>
      <w:bookmarkStart w:id="30" w:name="OLE_LINK24"/>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安全发展稳固可靠</w:t>
      </w:r>
      <w:bookmarkEnd w:id="29"/>
      <w:bookmarkEnd w:id="30"/>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社会治理能力持续加强，公平正义充分彰显，统筹发展和安全体制机制更加完善，重点领域风险得到有效防范化解，建成更高水平平安荣成、法治荣成。</w:t>
      </w:r>
    </w:p>
    <w:p w14:paraId="505222D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在此基础上再奋斗五年，到二〇三五年实现我市经济实力、科技实力、综合竞争力大幅跃升，人均地区生产总值达到中等发达经济体水平，人民生活更加幸福美好，基本建成“深蓝、零碳、精致、幸福”现代化新荣成。</w:t>
      </w:r>
    </w:p>
    <w:p w14:paraId="3D4592F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p>
    <w:p w14:paraId="4636033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p>
    <w:p w14:paraId="1F1B91E2">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p>
    <w:p w14:paraId="5D0D2E58">
      <w:pP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br w:type="page"/>
      </w:r>
    </w:p>
    <w:p w14:paraId="439418D3">
      <w:pPr>
        <w:keepNext w:val="0"/>
        <w:keepLines w:val="0"/>
        <w:pageBreakBefore w:val="0"/>
        <w:widowControl w:val="0"/>
        <w:kinsoku/>
        <w:wordWrap/>
        <w:overflowPunct w:val="0"/>
        <w:topLinePunct w:val="0"/>
        <w:autoSpaceDE/>
        <w:autoSpaceDN/>
        <w:bidi w:val="0"/>
        <w:adjustRightInd/>
        <w:snapToGrid/>
        <w:spacing w:line="560" w:lineRule="exact"/>
        <w:ind w:left="0" w:leftChars="0" w:right="0" w:rightChars="0" w:firstLine="0" w:firstLineChars="0"/>
        <w:jc w:val="center"/>
        <w:textAlignment w:val="auto"/>
        <w:rPr>
          <w:rFonts w:hint="eastAsia" w:ascii="Times New Roman" w:hAnsi="Times New Roman" w:eastAsia="方正小标宋简体" w:cs="方正小标宋简体"/>
          <w:b w:val="0"/>
          <w:bCs w:val="0"/>
          <w:i w:val="0"/>
          <w:iCs w:val="0"/>
          <w:color w:val="000000"/>
          <w:kern w:val="0"/>
          <w:sz w:val="36"/>
          <w:szCs w:val="36"/>
          <w:u w:val="none"/>
          <w:lang w:val="en-US" w:eastAsia="zh-CN" w:bidi="ar"/>
        </w:rPr>
      </w:pPr>
      <w:r>
        <w:rPr>
          <w:rFonts w:hint="eastAsia" w:ascii="Times New Roman" w:hAnsi="Times New Roman" w:eastAsia="方正小标宋简体" w:cs="方正小标宋简体"/>
          <w:b w:val="0"/>
          <w:bCs w:val="0"/>
          <w:i w:val="0"/>
          <w:iCs w:val="0"/>
          <w:color w:val="000000"/>
          <w:kern w:val="0"/>
          <w:sz w:val="36"/>
          <w:szCs w:val="36"/>
          <w:u w:val="none"/>
          <w:lang w:val="en-US" w:eastAsia="zh-CN" w:bidi="ar"/>
        </w:rPr>
        <w:t>“十五五”时期经济社会发展主要指标</w:t>
      </w:r>
    </w:p>
    <w:p w14:paraId="3FB032FF">
      <w:pPr>
        <w:keepNext w:val="0"/>
        <w:keepLines w:val="0"/>
        <w:pageBreakBefore w:val="0"/>
        <w:widowControl w:val="0"/>
        <w:kinsoku/>
        <w:wordWrap/>
        <w:overflowPunct w:val="0"/>
        <w:topLinePunct w:val="0"/>
        <w:autoSpaceDE/>
        <w:autoSpaceDN/>
        <w:bidi w:val="0"/>
        <w:adjustRightInd/>
        <w:snapToGrid/>
        <w:spacing w:line="560" w:lineRule="exact"/>
        <w:ind w:left="0" w:leftChars="0" w:right="0" w:rightChars="0" w:firstLine="0" w:firstLineChars="0"/>
        <w:jc w:val="center"/>
        <w:textAlignment w:val="auto"/>
        <w:rPr>
          <w:rFonts w:hint="eastAsia" w:ascii="Times New Roman" w:hAnsi="Times New Roman" w:eastAsia="方正小标宋简体" w:cs="方正小标宋简体"/>
          <w:b w:val="0"/>
          <w:bCs w:val="0"/>
          <w:i w:val="0"/>
          <w:iCs w:val="0"/>
          <w:color w:val="000000"/>
          <w:kern w:val="0"/>
          <w:sz w:val="36"/>
          <w:szCs w:val="36"/>
          <w:u w:val="none"/>
          <w:lang w:val="en-US" w:eastAsia="zh-CN" w:bidi="ar"/>
        </w:rPr>
      </w:pPr>
    </w:p>
    <w:tbl>
      <w:tblPr>
        <w:tblStyle w:val="18"/>
        <w:tblW w:w="914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7"/>
        <w:gridCol w:w="1307"/>
        <w:gridCol w:w="2401"/>
        <w:gridCol w:w="1095"/>
        <w:gridCol w:w="1479"/>
        <w:gridCol w:w="1237"/>
        <w:gridCol w:w="894"/>
      </w:tblGrid>
      <w:tr w14:paraId="2789A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6" w:hRule="atLeast"/>
        </w:trPr>
        <w:tc>
          <w:tcPr>
            <w:tcW w:w="7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6F542">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类别</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BAD0F">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指标（单位）</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51651">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2025年</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3C0F7">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2030年</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E905">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年均增速/[累计]</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0730C">
            <w:pPr>
              <w:keepNext w:val="0"/>
              <w:keepLines w:val="0"/>
              <w:widowControl/>
              <w:suppressLineNumbers w:val="0"/>
              <w:jc w:val="center"/>
              <w:textAlignment w:val="center"/>
              <w:rPr>
                <w:rFonts w:hint="eastAsia" w:ascii="Times New Roman" w:hAnsi="Times New Roman" w:eastAsia="黑体" w:cs="黑体"/>
                <w:b w:val="0"/>
                <w:bCs w:val="0"/>
                <w:i w:val="0"/>
                <w:iCs w:val="0"/>
                <w:color w:val="000000"/>
                <w:sz w:val="24"/>
                <w:szCs w:val="24"/>
                <w:u w:val="none"/>
              </w:rPr>
            </w:pPr>
            <w:r>
              <w:rPr>
                <w:rFonts w:hint="eastAsia" w:ascii="Times New Roman" w:hAnsi="Times New Roman" w:eastAsia="黑体" w:cs="黑体"/>
                <w:b w:val="0"/>
                <w:bCs w:val="0"/>
                <w:i w:val="0"/>
                <w:iCs w:val="0"/>
                <w:color w:val="000000"/>
                <w:kern w:val="0"/>
                <w:sz w:val="24"/>
                <w:szCs w:val="24"/>
                <w:u w:val="none"/>
                <w:lang w:val="en-US" w:eastAsia="zh-CN" w:bidi="ar"/>
              </w:rPr>
              <w:t>属性</w:t>
            </w:r>
          </w:p>
        </w:tc>
      </w:tr>
      <w:tr w14:paraId="51108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618D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经济发展</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7A8D9">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（1）地区生产总值增速（%）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C017C">
            <w:pPr>
              <w:keepNext w:val="0"/>
              <w:keepLines w:val="0"/>
              <w:widowControl/>
              <w:suppressLineNumbers w:val="0"/>
              <w:jc w:val="center"/>
              <w:textAlignment w:val="center"/>
              <w:rPr>
                <w:rFonts w:hint="default" w:ascii="Times New Roman" w:hAnsi="Times New Roman" w:eastAsia="宋体"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4</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02D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9DE75">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5左右</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44B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3EC6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8C0BD">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44054">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（2）海洋生产总值增速（%）</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95C4C">
            <w:pPr>
              <w:keepNext w:val="0"/>
              <w:keepLines w:val="0"/>
              <w:widowControl/>
              <w:suppressLineNumbers w:val="0"/>
              <w:jc w:val="center"/>
              <w:textAlignment w:val="center"/>
              <w:rPr>
                <w:rFonts w:hint="default" w:ascii="Times New Roman" w:hAnsi="Times New Roman" w:eastAsia="宋体"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6.07</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2E1C3">
            <w:pPr>
              <w:keepNext w:val="0"/>
              <w:keepLines w:val="0"/>
              <w:widowControl/>
              <w:suppressLineNumbers w:val="0"/>
              <w:jc w:val="center"/>
              <w:textAlignment w:val="center"/>
              <w:rPr>
                <w:rFonts w:hint="default" w:ascii="Times New Roman" w:hAnsi="Times New Roman" w:eastAsia="宋体"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5.5</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11197">
            <w:pPr>
              <w:keepNext w:val="0"/>
              <w:keepLines w:val="0"/>
              <w:widowControl/>
              <w:suppressLineNumbers w:val="0"/>
              <w:jc w:val="center"/>
              <w:textAlignment w:val="center"/>
              <w:rPr>
                <w:rFonts w:hint="default" w:ascii="Times New Roman" w:hAnsi="Times New Roman" w:eastAsia="宋体" w:cs="宋体"/>
                <w:b w:val="0"/>
                <w:bCs w:val="0"/>
                <w:i w:val="0"/>
                <w:iCs w:val="0"/>
                <w:color w:val="000000"/>
                <w:sz w:val="24"/>
                <w:szCs w:val="24"/>
                <w:u w:val="none"/>
                <w:lang w:val="en-US"/>
              </w:rPr>
            </w:pPr>
            <w:r>
              <w:rPr>
                <w:rFonts w:hint="eastAsia" w:ascii="Times New Roman" w:hAnsi="Times New Roman" w:eastAsia="宋体" w:cs="宋体"/>
                <w:b w:val="0"/>
                <w:bCs w:val="0"/>
                <w:i w:val="0"/>
                <w:iCs w:val="0"/>
                <w:color w:val="000000"/>
                <w:kern w:val="0"/>
                <w:sz w:val="24"/>
                <w:szCs w:val="24"/>
                <w:u w:val="none"/>
                <w:lang w:val="en-US" w:eastAsia="zh-CN" w:bidi="ar"/>
              </w:rPr>
              <w:t>5.5</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6BDA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49DA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D4C7F">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30EAC">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（3）常住人口城镇化率（%）</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FB50F">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67.66</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F7E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70.7</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DEC9D">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F05F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75A8A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A136F">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创新驱动</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23A1F">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（4）全社会研发经费投入增长（%）</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CA1BA">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1.9</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0DCE6">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C965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default" w:ascii="Times New Roman" w:hAnsi="Times New Roman" w:cs="宋体"/>
                <w:b w:val="0"/>
                <w:bCs w:val="0"/>
                <w:i w:val="0"/>
                <w:iCs w:val="0"/>
                <w:color w:val="000000"/>
                <w:sz w:val="24"/>
                <w:szCs w:val="24"/>
                <w:u w:val="none"/>
                <w:lang w:val="en-US" w:eastAsia="zh-CN"/>
              </w:rPr>
              <w:t>3.5</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D205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3B44C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7E189">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63BDC">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（5）每万人口高价值发明专利拥有量（件）</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3A1ED">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9.25</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1917">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11.25</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FF8C4">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97D8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137CA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20819">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1CDD57">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（6）高新技术产业产值占规模以上工业总产值比重（%）</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60B43">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72.26</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8F636">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default" w:ascii="Times New Roman" w:hAnsi="Times New Roman" w:cs="宋体"/>
                <w:b w:val="0"/>
                <w:bCs w:val="0"/>
                <w:i w:val="0"/>
                <w:iCs w:val="0"/>
                <w:color w:val="000000"/>
                <w:sz w:val="24"/>
                <w:szCs w:val="24"/>
                <w:u w:val="none"/>
                <w:lang w:val="en-US" w:eastAsia="zh-CN"/>
              </w:rPr>
              <w:t>73</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7B39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F965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41689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A37F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民生福祉</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E87168">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（7）城镇新增就业人数（万人）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0582A">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0.7</w:t>
            </w:r>
          </w:p>
        </w:tc>
        <w:tc>
          <w:tcPr>
            <w:tcW w:w="14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4A0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2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2ED3">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〔3.2〕</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6A69F">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5051A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057DB">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1BE154">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（8）居民人均可支配收入增长（%）</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E222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default" w:ascii="Times New Roman" w:hAnsi="Times New Roman" w:cs="宋体"/>
                <w:b w:val="0"/>
                <w:bCs w:val="0"/>
                <w:i w:val="0"/>
                <w:iCs w:val="0"/>
                <w:color w:val="000000"/>
                <w:sz w:val="24"/>
                <w:szCs w:val="24"/>
                <w:u w:val="none"/>
                <w:lang w:val="en-US" w:eastAsia="zh-CN"/>
              </w:rPr>
              <w:t>5.</w:t>
            </w:r>
            <w:r>
              <w:rPr>
                <w:rFonts w:hint="eastAsia" w:ascii="Times New Roman" w:hAnsi="Times New Roman" w:cs="宋体"/>
                <w:b w:val="0"/>
                <w:bCs w:val="0"/>
                <w:i w:val="0"/>
                <w:iCs w:val="0"/>
                <w:color w:val="000000"/>
                <w:sz w:val="24"/>
                <w:szCs w:val="24"/>
                <w:u w:val="none"/>
                <w:lang w:val="en-US" w:eastAsia="zh-CN"/>
              </w:rPr>
              <w:t>4</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1557">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B0C9F">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与GDP增长同步</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78D79">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77180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ED4AB">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BF9744">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（9）劳动年龄人口平均受教育年限（年）</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ADE7">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w:t>
            </w:r>
            <w:r>
              <w:rPr>
                <w:rFonts w:hint="default" w:ascii="Times New Roman" w:hAnsi="Times New Roman" w:cs="宋体"/>
                <w:b w:val="0"/>
                <w:bCs w:val="0"/>
                <w:i w:val="0"/>
                <w:iCs w:val="0"/>
                <w:color w:val="000000"/>
                <w:sz w:val="24"/>
                <w:szCs w:val="24"/>
                <w:u w:val="none"/>
                <w:lang w:val="en-US" w:eastAsia="zh-CN"/>
              </w:rPr>
              <w:t>2.91</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194C9">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w:t>
            </w:r>
            <w:r>
              <w:rPr>
                <w:rFonts w:hint="default" w:ascii="Times New Roman" w:hAnsi="Times New Roman" w:cs="宋体"/>
                <w:b w:val="0"/>
                <w:bCs w:val="0"/>
                <w:i w:val="0"/>
                <w:iCs w:val="0"/>
                <w:color w:val="000000"/>
                <w:sz w:val="24"/>
                <w:szCs w:val="24"/>
                <w:u w:val="none"/>
                <w:lang w:val="en-US" w:eastAsia="zh-CN"/>
              </w:rPr>
              <w:t>2.96</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EDFE7">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FABE5">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59D5B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DEA4">
            <w:pPr>
              <w:jc w:val="center"/>
              <w:rPr>
                <w:rFonts w:hint="eastAsia" w:ascii="Times New Roman" w:hAnsi="Times New Roman" w:eastAsia="宋体" w:cs="宋体"/>
                <w:b w:val="0"/>
                <w:bCs w:val="0"/>
                <w:i w:val="0"/>
                <w:iCs w:val="0"/>
                <w:color w:val="000000"/>
                <w:sz w:val="24"/>
                <w:szCs w:val="24"/>
                <w:u w:val="none"/>
              </w:rPr>
            </w:pPr>
          </w:p>
        </w:tc>
        <w:tc>
          <w:tcPr>
            <w:tcW w:w="13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A932D">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（10）每千人口拥有医护人员数</w:t>
            </w: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265E6">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执业医师数（人）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57C0">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3.38</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4927">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3.9</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65B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DBBD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799B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A23C4">
            <w:pPr>
              <w:jc w:val="center"/>
              <w:rPr>
                <w:rFonts w:hint="eastAsia" w:ascii="Times New Roman" w:hAnsi="Times New Roman" w:eastAsia="宋体" w:cs="宋体"/>
                <w:b w:val="0"/>
                <w:bCs w:val="0"/>
                <w:i w:val="0"/>
                <w:iCs w:val="0"/>
                <w:color w:val="000000"/>
                <w:sz w:val="24"/>
                <w:szCs w:val="24"/>
                <w:u w:val="none"/>
              </w:rPr>
            </w:pPr>
          </w:p>
        </w:tc>
        <w:tc>
          <w:tcPr>
            <w:tcW w:w="13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5F8A4">
            <w:pPr>
              <w:jc w:val="left"/>
              <w:rPr>
                <w:rFonts w:hint="eastAsia" w:ascii="Times New Roman" w:hAnsi="Times New Roman" w:eastAsia="宋体" w:cs="宋体"/>
                <w:b w:val="0"/>
                <w:bCs w:val="0"/>
                <w:i w:val="0"/>
                <w:iCs w:val="0"/>
                <w:color w:val="000000"/>
                <w:sz w:val="24"/>
                <w:szCs w:val="24"/>
                <w:u w:val="none"/>
              </w:rPr>
            </w:pPr>
          </w:p>
        </w:tc>
        <w:tc>
          <w:tcPr>
            <w:tcW w:w="24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3E37">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注册护士数（人）</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F29B">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3.48</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CA304">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4.3</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3F1C3">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27D4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15AD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FCE98">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97C39D">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（11）养老机构护理型床位占比（%）</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A3AE">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82.49</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269B">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85</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9D99">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87045">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25DC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0845B">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A2ACA">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（12）3岁以下婴幼儿入托率提高（百分点）</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3170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7DE8B">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360E7">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〔6.5〕</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19E58">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450E2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B8F9A">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F0CB7">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（13）人均预期寿命（岁）</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910F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81.8</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F5C96">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82.2左右</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FB11">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6629C">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预期性</w:t>
            </w:r>
          </w:p>
        </w:tc>
      </w:tr>
      <w:tr w14:paraId="266E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484B97">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绿色生态</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D8A5B">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（14）单位GDP二氧化碳排放量降低（%）</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34DA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0E2C6">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完成上级审核确定目标</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5A3C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B01F2">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r w14:paraId="645A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65ABB">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C30BBE">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（15）城市细颗粒物浓度（微克/立方米）</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7E1B">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20</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BDEA0">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完成上级分解任务</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4570B">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98054">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r w14:paraId="38701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C4B95">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4A030">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（16）优良水体比例（%）</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D234">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100</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973D3">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100</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D33AF">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FC66">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r w14:paraId="05992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539E8">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86E81">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（17）森林覆盖率（%）</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C1AD8">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F948A">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完成上级审核确定目标</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9CBF6">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029F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r w14:paraId="70E8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4" w:hRule="exact"/>
        </w:trPr>
        <w:tc>
          <w:tcPr>
            <w:tcW w:w="7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4EFE0A">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安全保障</w:t>
            </w: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AF7426">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（18）粮食综合生产能力（万吨）</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952D9">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22</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00B32">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22</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F2DCD">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179F3">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r w14:paraId="1FC7F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4" w:hRule="exact"/>
        </w:trPr>
        <w:tc>
          <w:tcPr>
            <w:tcW w:w="7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DF148">
            <w:pPr>
              <w:jc w:val="center"/>
              <w:rPr>
                <w:rFonts w:hint="eastAsia" w:ascii="Times New Roman" w:hAnsi="Times New Roman" w:eastAsia="宋体" w:cs="宋体"/>
                <w:b w:val="0"/>
                <w:bCs w:val="0"/>
                <w:i w:val="0"/>
                <w:iCs w:val="0"/>
                <w:color w:val="000000"/>
                <w:sz w:val="24"/>
                <w:szCs w:val="24"/>
                <w:u w:val="none"/>
              </w:rPr>
            </w:pPr>
          </w:p>
        </w:tc>
        <w:tc>
          <w:tcPr>
            <w:tcW w:w="37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B8A2E5">
            <w:pPr>
              <w:keepNext w:val="0"/>
              <w:keepLines w:val="0"/>
              <w:widowControl/>
              <w:suppressLineNumbers w:val="0"/>
              <w:jc w:val="left"/>
              <w:textAlignment w:val="center"/>
              <w:rPr>
                <w:rFonts w:hint="eastAsia" w:ascii="Times New Roman" w:hAnsi="Times New Roman" w:eastAsia="宋体" w:cs="宋体"/>
                <w:b w:val="0"/>
                <w:bCs w:val="0"/>
                <w:i w:val="0"/>
                <w:iCs w:val="0"/>
                <w:color w:val="000000"/>
                <w:sz w:val="24"/>
                <w:szCs w:val="24"/>
                <w:u w:val="none"/>
              </w:rPr>
            </w:pPr>
            <w:r>
              <w:rPr>
                <w:rFonts w:hint="eastAsia" w:ascii="Times New Roman" w:hAnsi="Times New Roman" w:eastAsia="宋体" w:cs="宋体"/>
                <w:b w:val="0"/>
                <w:bCs w:val="0"/>
                <w:i w:val="0"/>
                <w:iCs w:val="0"/>
                <w:color w:val="000000"/>
                <w:kern w:val="0"/>
                <w:sz w:val="24"/>
                <w:szCs w:val="24"/>
                <w:u w:val="none"/>
                <w:lang w:val="en-US" w:eastAsia="zh-CN" w:bidi="ar"/>
              </w:rPr>
              <w:t>（19）能源综合生产能力（万吨标煤）</w:t>
            </w:r>
          </w:p>
        </w:tc>
        <w:tc>
          <w:tcPr>
            <w:tcW w:w="10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18396">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180</w:t>
            </w:r>
          </w:p>
        </w:tc>
        <w:tc>
          <w:tcPr>
            <w:tcW w:w="1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FB6A0">
            <w:pPr>
              <w:keepNext w:val="0"/>
              <w:keepLines w:val="0"/>
              <w:widowControl/>
              <w:suppressLineNumbers w:val="0"/>
              <w:jc w:val="center"/>
              <w:textAlignment w:val="center"/>
              <w:rPr>
                <w:rFonts w:hint="default"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highlight w:val="none"/>
                <w:u w:val="none"/>
                <w:lang w:val="en-US" w:eastAsia="zh-CN"/>
              </w:rPr>
              <w:t>205</w:t>
            </w:r>
          </w:p>
        </w:tc>
        <w:tc>
          <w:tcPr>
            <w:tcW w:w="12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42302">
            <w:pPr>
              <w:keepNext w:val="0"/>
              <w:keepLines w:val="0"/>
              <w:widowControl/>
              <w:suppressLineNumbers w:val="0"/>
              <w:jc w:val="center"/>
              <w:textAlignment w:val="center"/>
              <w:rPr>
                <w:rFonts w:hint="eastAsia" w:ascii="Times New Roman" w:hAnsi="Times New Roman" w:cs="宋体"/>
                <w:b w:val="0"/>
                <w:bCs w:val="0"/>
                <w:i w:val="0"/>
                <w:iCs w:val="0"/>
                <w:color w:val="000000"/>
                <w:sz w:val="24"/>
                <w:szCs w:val="24"/>
                <w:u w:val="none"/>
                <w:lang w:val="en-US" w:eastAsia="zh-CN"/>
              </w:rPr>
            </w:pPr>
            <w:r>
              <w:rPr>
                <w:rFonts w:hint="eastAsia" w:ascii="Times New Roman" w:hAnsi="Times New Roman" w:cs="宋体"/>
                <w:b w:val="0"/>
                <w:bCs w:val="0"/>
                <w:i w:val="0"/>
                <w:iCs w:val="0"/>
                <w:color w:val="000000"/>
                <w:sz w:val="24"/>
                <w:szCs w:val="24"/>
                <w:u w:val="none"/>
                <w:lang w:val="en-US" w:eastAsia="zh-CN"/>
              </w:rPr>
              <w:t>—</w:t>
            </w:r>
          </w:p>
        </w:tc>
        <w:tc>
          <w:tcPr>
            <w:tcW w:w="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7C0AE">
            <w:pPr>
              <w:keepNext w:val="0"/>
              <w:keepLines w:val="0"/>
              <w:widowControl/>
              <w:suppressLineNumbers w:val="0"/>
              <w:jc w:val="center"/>
              <w:textAlignment w:val="center"/>
              <w:rPr>
                <w:rFonts w:hint="eastAsia" w:ascii="Times New Roman" w:hAnsi="Times New Roman" w:eastAsia="宋体" w:cs="宋体"/>
                <w:b w:val="0"/>
                <w:bCs w:val="0"/>
                <w:i w:val="0"/>
                <w:iCs w:val="0"/>
                <w:color w:val="000000"/>
                <w:sz w:val="22"/>
                <w:szCs w:val="22"/>
                <w:u w:val="none"/>
              </w:rPr>
            </w:pPr>
            <w:r>
              <w:rPr>
                <w:rFonts w:hint="eastAsia" w:ascii="Times New Roman" w:hAnsi="Times New Roman" w:eastAsia="宋体" w:cs="宋体"/>
                <w:b w:val="0"/>
                <w:bCs w:val="0"/>
                <w:i w:val="0"/>
                <w:iCs w:val="0"/>
                <w:color w:val="000000"/>
                <w:kern w:val="0"/>
                <w:sz w:val="22"/>
                <w:szCs w:val="22"/>
                <w:u w:val="none"/>
                <w:lang w:val="en-US" w:eastAsia="zh-CN" w:bidi="ar"/>
              </w:rPr>
              <w:t>约束性</w:t>
            </w:r>
          </w:p>
        </w:tc>
      </w:tr>
    </w:tbl>
    <w:p w14:paraId="450F155D">
      <w:pPr>
        <w:bidi w:val="0"/>
        <w:ind w:firstLine="640" w:firstLineChars="200"/>
        <w:jc w:val="left"/>
        <w:rPr>
          <w:rFonts w:hint="eastAsia" w:ascii="Times New Roman" w:hAnsi="Times New Roman" w:eastAsia="仿宋_GB2312" w:cs="仿宋_GB2312"/>
          <w:b w:val="0"/>
          <w:bCs w:val="0"/>
          <w:kern w:val="2"/>
          <w:sz w:val="32"/>
          <w:szCs w:val="32"/>
          <w:lang w:val="en-US" w:eastAsia="zh-CN" w:bidi="ar-SA"/>
        </w:rPr>
      </w:pPr>
      <w:r>
        <w:rPr>
          <w:rFonts w:hint="eastAsia" w:ascii="Times New Roman" w:hAnsi="Times New Roman" w:eastAsia="仿宋_GB2312" w:cs="仿宋_GB2312"/>
          <w:b w:val="0"/>
          <w:bCs w:val="0"/>
          <w:kern w:val="2"/>
          <w:sz w:val="32"/>
          <w:szCs w:val="32"/>
          <w:lang w:val="en-US" w:eastAsia="zh-CN" w:bidi="ar-SA"/>
        </w:rPr>
        <w:t>注：〔〕内为5年累计数。</w:t>
      </w:r>
    </w:p>
    <w:p w14:paraId="3CD52158">
      <w:pPr>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br w:type="page"/>
      </w:r>
    </w:p>
    <w:p w14:paraId="138BBD80">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1" w:name="_Toc26647"/>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第二章  建设现代化产业体系，巩固壮大实体经济根基</w:t>
      </w:r>
      <w:bookmarkEnd w:id="31"/>
    </w:p>
    <w:p w14:paraId="039E6BA7">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聚焦聚力“产业强市、工业带动、突破发展海洋经济”</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培植壮大“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5+2</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”七大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链，优化提升传统产业，做优做强新兴产业与未来产业，推动服务业优质高效发展，全力构建现代化产业体系。</w:t>
      </w:r>
    </w:p>
    <w:p w14:paraId="3EA7B62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2" w:name="_Toc23126"/>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第一节 做大做强优势产业</w:t>
      </w:r>
      <w:bookmarkEnd w:id="32"/>
    </w:p>
    <w:p w14:paraId="59576693">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高端装备与智能制造产业。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以浦林成山、黄海造船、康派斯房车、华力电机等链主企业为核心，聚焦船舶与海工装备、房车及汽车零部件配套、电机等优势产业，全面推进智能化、绿色化、融合化转型，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全产业链产值年均增速达到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8%</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。船舶与海工装备</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充分发挥我市岸线资源优势及龙头企业、关键项目的引领作用，构建北、中、南三大片区，打造集研发、设计、建造于一体的临港现代重工业基地。北部以枫叶重工、鑫霞重工为引领打造高端修造集聚区，中部以三星重工、福尔顿船舶为引领打造绿色海工集聚区，南部以黄海造船、大东船舶为引领打造高端船舶与新能源装备集聚区，形成定位清晰、错位发展的产业格局。实施福尔顿绿色船舶与海工装备、大东船舶海工装备、枫叶重工海工基地等龙头项目，加快向绿</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色船舶、深海油气装备、海洋应急装备、海上能源装备等领域拓展延伸。力争到2030年，培育1家产值过百亿企业，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10%左右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房车及汽车零部件配套产业，坚持量的增长和质的提升“双轮驱动”，加大自主研发力度，推动产业链向高端绿色智造跃升，全面提升产业综合竞争力。建成智慧房车高端装备产业园，涵盖房车轻量化、金属表面处理、制动控制系统、智能管理系统四大功能板块，满足10万台套房车等金属表面处理需求，研发生产房车电池、电控和刹车总控系统，推动新能源房车底盘及整车技术应用推广；搭建房车“产业大脑”，提供数据共享、协同制造、远程运维、供应链金融等一体化服务，提升产业链整体运营效率和资源配置能力；布局智能网联房车领域，加强与人工智能领域头部企业合作，开拓智能房车市场，实现终端客户系统方案解决；强化品牌创建，推动由代工组装向打响自主品牌迈进。力争到2030年，房车产业具备年产房车4万辆的能力。推动浦林成山非公路轮胎、曙光齿轮新能源齿轮等项目建设，鼓励黄海离合器加大商用车自动挡AMT离合器等新产品研发力度，扩大行业影响力。力争到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6%</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电机产业，实施龙头企业培育工程，布局拓展新能源汽车、工业机器人、风电光伏等新兴领域，打造1—2家核心领军企业和2家以上国家级专精特新“小巨人”企业。实施华力电机轨道交通专用电机、恒力电机新能源汽车电机等重点项目，提升高效节能电机、伺服电机、永磁同步电机等高端产品占比。搭建电机产业互联网平台，推动企业数据共享和业务协同，建设公共服务平台，为中小企业提供数字化转型咨询、培训等服务，降低转型成本。引导本地电机企业组建行业协会，打造“荣成电机”区域品牌。力争到2030年，培育产值过5亿元企业2家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50058352">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海洋生物食品及医药产业。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聚焦海洋资源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优势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依托省级海洋特色产业集聚区，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加快推进产业革新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，培育发展新动能。力争到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产业链产值年均增速达到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。海洋食品产业，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发挥省级预制菜产业高质量发展试点县带动作用，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系统优化产业布局，加强链主企业培育，搭建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海洋食品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产业工业互联网平台，实施数字化转型提标工程，南极磷虾产业园、沙窝岛金枪鱼三文鱼产融综合体等精深加工项目建成投产，以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数字车间、智能工厂</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建设为主线，推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动企业“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智改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数转”</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，推广液氮速冻、超高压冷杀菌、智能分级机器人、AI视觉检测系统等新型设施设备，稳定保障产品品质与风味，到2030年，新增现代化生产线70条以上，海洋食品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精深</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加工比例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提升</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20%，推动海洋食品产业由劳动密集型向技术密集型加快转变。鼓励</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链主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企业向中小微企业开放供应链、共享创新链，提升产业韧性和活力。深化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鲜荣记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区域公用品牌建设，整合荣成海带、荣成海参等涉渔地理标志，强化与京东、盒马鲜生等知名企业合作，每年挑选1</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2种特色海产品靶向推介，逐步做大国内消费市场。发挥政策导向作用，加快小散鱼粉厂撤并整合，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引导</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与广东海大等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行业龙头</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企业合作，推动鱼粉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行业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转型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升级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。海洋生物医药产业，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用好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藻类、深海鱼等海洋资源，持续开展海洋多糖、蛋白、功能脂类研究，加快推进中科蓝智微藻源甘油葡糖苷提取、宏泽生物科技DHA藻油、芙莱特保健品等项目建设，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引导</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百合生物、海之宝</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、立好特医</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等企业开发具有明确功能指向的海洋保健食品、特殊膳食配方食品和特殊医学用途配方食品，引导</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世代</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海洋、鸿德生物等企业开发新型生物肥料、动植物生长调节剂等海洋生物农用制品，推动海洋生物资源向高端价值链延伸。</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8%</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74A806EB">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核电装备与新能源产业。</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突出核能引领，统筹发展风电、光伏、储能等新型能源，推进核能装备制造、核技术应用与新能源产业协同发展，打造胶东半岛重要的新能源产业基地</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，力争到2030年，全产业链产值</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30%左右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核能产业，</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积极融入省“三湾一平台”发展格局（青岛鳌山湾、烟台丁字湾、威海石岛湾、上合示范区国家级平台），聚焦“核能创新谷”建设，充分发挥涉核重大项目、领军央企、顶尖院校集聚优势，整合全市涉核优质资源，统筹全市核能项目建设、产业规划、园区打造等工作，构建“三核三园两基地”发展格局，打造胶东半岛核电装备制造集聚示范区。“三核”层面，持续强化核电项目布局与推进力度，保障华能石岛湾扩建一期工程顺利投产、二期项目如期开工，加快清华高通量堆项目开工建设，依托华能高温气冷堆，探索核电直连算力中心试点。“三园”层面，布局建设石岛湾核电配套产业园、核医药产业园、核能利用零碳产业园，重点发展核电装备制造、核电智慧运维、核医药、核能综合利用四大特色产业，培育覆盖全链条的产业业态。“两基地”层面，布局建设核能产业示范基地与综合服务基地，精准引进优质项目，完善全链条配套服务体系。风电及光伏产业，</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海风方面，近期聚焦省管海域场址</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开展</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前期工作，力争</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2028</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年开工建设；远期重点</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推进</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国管海域场址开发</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，探索“</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海上风电+氢氨醇一体化</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风光互补</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风渔融合</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等多元化应用。陆风方面，全面摸排辖区内符合条件的风电资源，建立</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改造升级项目</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储备库，持续提升存量</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资源</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利用效率</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。光伏方面，</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以</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就地消纳、高效利用</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为导向，</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大力发展光伏+储能协同应用模式。储能方面，</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着力构建</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源、网、荷</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协同发展的储能新格局，鼓励</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新能源</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项目配套建设储能设施，</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有序</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实施电化学储能项目</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大力发展</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工商业</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储能</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全面提升能源系统调节能力与安全保障水平。引导青木化工、航盛新能源</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伟极科新能源等本土企业</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融入</w:t>
      </w:r>
      <w:r>
        <w:rPr>
          <w:rStyle w:val="21"/>
          <w:rFonts w:hint="default"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储能电池配套产业，提升产业链本地化配套能力</w:t>
      </w:r>
      <w:r>
        <w:rPr>
          <w:rStyle w:val="21"/>
          <w:rFonts w:hint="eastAsia" w:ascii="Times New Roman" w:hAnsi="Times New Roman" w:eastAsia="仿宋_GB2312" w:cs="Times New Roman"/>
          <w:b w:val="0"/>
          <w:bCs w:val="0"/>
          <w:caps w:val="0"/>
          <w:strike w:val="0"/>
          <w:dstrike w:val="0"/>
          <w:color w:val="000000" w:themeColor="text1"/>
          <w:spacing w:val="0"/>
          <w:kern w:val="2"/>
          <w:sz w:val="32"/>
          <w:szCs w:val="32"/>
          <w:highlight w:val="none"/>
          <w:u w:val="none"/>
          <w:shd w:val="clear" w:fill="FFFFFF"/>
          <w:lang w:val="en-US" w:eastAsia="zh-CN" w:bidi="ar-SA"/>
          <w14:textFill>
            <w14:solidFill>
              <w14:schemeClr w14:val="tx1"/>
            </w14:solidFill>
          </w14:textFill>
        </w:rPr>
        <w:t>。力争到2030年，非化石能源装机容量突破660万千瓦。坚持新型能源体系建设和消纳能力建设同步推进，规划海陆新能源电力输送廊道，打造绿电直连、核蒸汽及余热应用等场景，打通新能源“产、输、用”全链条。</w:t>
      </w:r>
    </w:p>
    <w:p w14:paraId="37D84DFA">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电子信息产业。</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聚焦集成电路、</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基础电子制造</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、消费电子</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三大</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领域，</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坚持龙头引领、园区支撑、项目带动、链式发展，着力打造特色突出的电子信息产业集群，</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力争到2030年，全产业链产值</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7%左右</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。集成电路产业，</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坚持优存量、促增量，重点发挥产业链龙头带动</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着力</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突破关键材料、核心芯片与高端检测装备</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卡脖子</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技术</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，提升产业链自主可控能力。鼓励歌尔科技、芯长征等加大研发投入，加快拓展布局传感器</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功率半导体和第三代半导体材料，完善从芯片设计、封装测试到装备配套的</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全链条生态体系</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，加快打造</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MEMS传感器制造基地和功率半导体检测装备研制基地</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围绕封装材料、精密制造、EDA工具等上下游关键环节，</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加快</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引进一批</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专精特新</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配套企业</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楷体_GB2312"/>
          <w:b w:val="0"/>
          <w:bCs w:val="0"/>
          <w:color w:val="000000" w:themeColor="text1"/>
          <w:sz w:val="32"/>
          <w:szCs w:val="32"/>
          <w:highlight w:val="none"/>
          <w:u w:val="none"/>
          <w14:textFill>
            <w14:solidFill>
              <w14:schemeClr w14:val="tx1"/>
            </w14:solidFill>
          </w14:textFill>
        </w:rPr>
        <w:t>新能源汽车及光伏功率模组产能突破100万只</w:t>
      </w:r>
      <w:r>
        <w:rPr>
          <w:rFonts w:hint="eastAsia" w:ascii="Times New Roman" w:hAnsi="Times New Roman" w:eastAsia="仿宋_GB2312" w:cs="楷体_GB2312"/>
          <w:b w:val="0"/>
          <w:bCs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10%左右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基础</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电子制造</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产业，</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集聚行业基础、产销渠道、园区配套等资源，</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发挥碧陆斯光电、信诚电子等企业示范效应，</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鼓励企业开发新产品，强化上下游衔接配套，加快推动</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向新能源汽车配套领域转型</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聚焦磁性电子元件、汽车线束、连接系统等</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三电系统</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关键部件，推进高端磁性材料及后加工产线建设，完善原材料供应、表面处理等配套，提升对</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电子信息</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产业的</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支撑</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能力。围绕半导体材料、核心零部件、智能模组等领域，</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强化产业生态推介，加速</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引进技术先进、成长性强的上下游企业，推动产业链向高附加值环节延伸。</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3%左右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消费电子产业</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重点</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突出歌尔科技龙头引领作用，聚焦智能穿戴、智能家居、虚拟现实等新兴消费场景，加快智能终端重点项目建设，推动</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形成</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穿戴式头显、AR眼镜、迷你掌机等新产品矩阵</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，培育细分领域经济增长点</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聚焦拓展消费电子应用领域，鼓励</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企业向</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智能手机、汽车等</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微型化、集成化、智能化</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需求</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方向升级，重点拓展微型功能传感器、压电陶瓷传感器等核心元器件产能</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。聚焦提升消费电子发展能级</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，精准</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招引落地</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传感器系统、物联网终端、智能家居解决方案等下游应用企业，</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通过</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智能终端产品</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产能拉动</w:t>
      </w:r>
      <w:r>
        <w:rPr>
          <w:rFonts w:hint="eastAsia" w:ascii="Times New Roman" w:hAnsi="Times New Roman" w:eastAsia="仿宋_GB2312" w:cs="仿宋_GB2312"/>
          <w:b w:val="0"/>
          <w:bCs w:val="0"/>
          <w:color w:val="000000" w:themeColor="text1"/>
          <w:sz w:val="32"/>
          <w:szCs w:val="32"/>
          <w:highlight w:val="none"/>
          <w14:textFill>
            <w14:solidFill>
              <w14:schemeClr w14:val="tx1"/>
            </w14:solidFill>
          </w14:textFill>
        </w:rPr>
        <w:t>，加快形成以整机带动元器件、以场景牵引产业链的良性发展格局。</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7%左右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78023EE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高新材料产业。</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统筹整合产业资源、优化空间布局，</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构建</w:t>
      </w:r>
      <w:r>
        <w:rPr>
          <w:rFonts w:hint="default" w:ascii="Times New Roman" w:hAnsi="Times New Roman" w:eastAsia="仿宋_GB2312" w:cs="Times New Roman"/>
          <w:b w:val="0"/>
          <w:bCs w:val="0"/>
          <w:color w:val="000000" w:themeColor="text1"/>
          <w:sz w:val="32"/>
          <w:highlight w:val="none"/>
          <w:u w:val="none"/>
          <w:lang w:val="en-US" w:eastAsia="zh-CN"/>
          <w14:textFill>
            <w14:solidFill>
              <w14:schemeClr w14:val="tx1"/>
            </w14:solidFill>
          </w14:textFill>
        </w:rPr>
        <w:t>以碳纤维复合材料为</w:t>
      </w:r>
      <w:r>
        <w:rPr>
          <w:rFonts w:hint="eastAsia" w:ascii="Times New Roman" w:hAnsi="Times New Roman" w:eastAsia="仿宋_GB2312" w:cs="Times New Roman"/>
          <w:b w:val="0"/>
          <w:bCs w:val="0"/>
          <w:color w:val="000000" w:themeColor="text1"/>
          <w:sz w:val="32"/>
          <w:highlight w:val="none"/>
          <w:u w:val="none"/>
          <w:lang w:val="en-US" w:eastAsia="zh-CN"/>
          <w14:textFill>
            <w14:solidFill>
              <w14:schemeClr w14:val="tx1"/>
            </w14:solidFill>
          </w14:textFill>
        </w:rPr>
        <w:t>重点支撑</w:t>
      </w:r>
      <w:r>
        <w:rPr>
          <w:rFonts w:hint="default" w:ascii="Times New Roman" w:hAnsi="Times New Roman" w:eastAsia="仿宋_GB2312" w:cs="Times New Roman"/>
          <w:b w:val="0"/>
          <w:bCs w:val="0"/>
          <w:color w:val="000000" w:themeColor="text1"/>
          <w:sz w:val="32"/>
          <w:highlight w:val="none"/>
          <w:u w:val="none"/>
          <w:lang w:val="en-US" w:eastAsia="zh-CN"/>
          <w14:textFill>
            <w14:solidFill>
              <w14:schemeClr w14:val="tx1"/>
            </w14:solidFill>
          </w14:textFill>
        </w:rPr>
        <w:t>，新型材料与传统材料协同发展的特色产业</w:t>
      </w:r>
      <w:r>
        <w:rPr>
          <w:rFonts w:hint="eastAsia" w:ascii="Times New Roman" w:hAnsi="Times New Roman" w:eastAsia="仿宋_GB2312" w:cs="Times New Roman"/>
          <w:b w:val="0"/>
          <w:bCs w:val="0"/>
          <w:color w:val="000000" w:themeColor="text1"/>
          <w:sz w:val="32"/>
          <w:highlight w:val="none"/>
          <w:u w:val="none"/>
          <w:lang w:val="en-US" w:eastAsia="zh-CN"/>
          <w14:textFill>
            <w14:solidFill>
              <w14:schemeClr w14:val="tx1"/>
            </w14:solidFill>
          </w14:textFill>
        </w:rPr>
        <w:t>板块，</w:t>
      </w:r>
      <w:r>
        <w:rPr>
          <w:rFonts w:hint="default"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力争到</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2030</w:t>
      </w:r>
      <w:r>
        <w:rPr>
          <w:rFonts w:hint="default"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年，</w:t>
      </w:r>
      <w:r>
        <w:rPr>
          <w:rFonts w:hint="eastAsia"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产业链产值年均增速达到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20%左右</w:t>
      </w:r>
      <w:r>
        <w:rPr>
          <w:rFonts w:hint="default"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重点突破</w:t>
      </w:r>
      <w:r>
        <w:rPr>
          <w:rFonts w:hint="eastAsia" w:ascii="Times New Roman" w:hAnsi="Times New Roman" w:eastAsia="仿宋" w:cs="仿宋"/>
          <w:b w:val="0"/>
          <w:bCs w:val="0"/>
          <w:strike w:val="0"/>
          <w:dstrike w:val="0"/>
          <w:color w:val="000000" w:themeColor="text1"/>
          <w:sz w:val="32"/>
          <w:szCs w:val="32"/>
          <w:highlight w:val="none"/>
          <w:u w:val="none"/>
          <w:lang w:val="en-US" w:eastAsia="zh-CN"/>
          <w14:textFill>
            <w14:solidFill>
              <w14:schemeClr w14:val="tx1"/>
            </w14:solidFill>
          </w14:textFill>
        </w:rPr>
        <w:t>复合材料，</w:t>
      </w:r>
      <w:r>
        <w:rPr>
          <w:rFonts w:hint="eastAsia" w:ascii="Times New Roman" w:hAnsi="Times New Roman" w:eastAsia="仿宋" w:cs="仿宋"/>
          <w:b w:val="0"/>
          <w:bCs w:val="0"/>
          <w:color w:val="000000" w:themeColor="text1"/>
          <w:sz w:val="32"/>
          <w:szCs w:val="32"/>
          <w:highlight w:val="none"/>
          <w:u w:val="none"/>
          <w:lang w:val="en-US" w:eastAsia="zh-CN"/>
          <w14:textFill>
            <w14:solidFill>
              <w14:schemeClr w14:val="tx1"/>
            </w14:solidFill>
          </w14:textFill>
        </w:rPr>
        <w:t>实施</w:t>
      </w:r>
      <w:r>
        <w:rPr>
          <w:rFonts w:hint="eastAsia" w:ascii="Times New Roman" w:hAnsi="Times New Roman" w:eastAsia="仿宋_GB2312" w:cs="仿宋_GB2312"/>
          <w:b w:val="0"/>
          <w:bCs w:val="0"/>
          <w:color w:val="000000" w:themeColor="text1"/>
          <w:kern w:val="21"/>
          <w:sz w:val="32"/>
          <w:szCs w:val="32"/>
          <w:highlight w:val="none"/>
          <w:u w:val="none"/>
          <w:lang w:val="en-US" w:eastAsia="zh-CN"/>
          <w14:textFill>
            <w14:solidFill>
              <w14:schemeClr w14:val="tx1"/>
            </w14:solidFill>
          </w14:textFill>
        </w:rPr>
        <w:t>“创新研发、产能提升、链条延伸、市场开拓”综合升级工程，完善产业链布局。引导骨干企业深化与科研机构及高校的产学研合作，攻克核心技术难题，提高产品层级。推动干城新材料房车轻量化项目投产，拓展碳纤维复合材料在新能源汽车、专用车等领域的应用。</w:t>
      </w:r>
      <w:r>
        <w:rPr>
          <w:rFonts w:hint="eastAsia" w:ascii="Times New Roman" w:hAnsi="Times New Roman" w:eastAsia="仿宋_GB2312" w:cs="Times New Roman"/>
          <w:b w:val="0"/>
          <w:bCs w:val="0"/>
          <w:color w:val="000000" w:themeColor="text1"/>
          <w:kern w:val="0"/>
          <w:sz w:val="32"/>
          <w:szCs w:val="32"/>
          <w:highlight w:val="none"/>
          <w:u w:val="none"/>
          <w:lang w:val="en-US" w:eastAsia="zh-CN" w:bidi="ar"/>
          <w14:textFill>
            <w14:solidFill>
              <w14:schemeClr w14:val="tx1"/>
            </w14:solidFill>
          </w14:textFill>
        </w:rPr>
        <w:t>放大新材料与智能制造产业园载体优势，着力</w:t>
      </w:r>
      <w:r>
        <w:rPr>
          <w:rFonts w:hint="eastAsia" w:ascii="Times New Roman" w:hAnsi="Times New Roman" w:eastAsia="仿宋_GB2312" w:cs="仿宋_GB2312"/>
          <w:b w:val="0"/>
          <w:bCs w:val="0"/>
          <w:color w:val="000000" w:themeColor="text1"/>
          <w:kern w:val="21"/>
          <w:sz w:val="32"/>
          <w:szCs w:val="32"/>
          <w:highlight w:val="none"/>
          <w:u w:val="none"/>
          <w:lang w:val="en-US" w:eastAsia="zh-CN"/>
          <w14:textFill>
            <w14:solidFill>
              <w14:schemeClr w14:val="tx1"/>
            </w14:solidFill>
          </w14:textFill>
        </w:rPr>
        <w:t>引进航空航天、低空经济、新能源汽车、高端体育器材等领域应用项目，打造高端复合材料核心集聚区。</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大力发展</w:t>
      </w:r>
      <w:r>
        <w:rPr>
          <w:rFonts w:hint="eastAsia" w:ascii="Times New Roman" w:hAnsi="Times New Roman" w:eastAsia="仿宋" w:cs="仿宋"/>
          <w:b w:val="0"/>
          <w:bCs w:val="0"/>
          <w:strike w:val="0"/>
          <w:dstrike w:val="0"/>
          <w:color w:val="000000" w:themeColor="text1"/>
          <w:sz w:val="32"/>
          <w:szCs w:val="32"/>
          <w:highlight w:val="none"/>
          <w:u w:val="none"/>
          <w:lang w:val="en-US" w:eastAsia="zh-CN"/>
          <w14:textFill>
            <w14:solidFill>
              <w14:schemeClr w14:val="tx1"/>
            </w14:solidFill>
          </w14:textFill>
        </w:rPr>
        <w:t>新型材料，</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聚焦新能源、高端制造、生物医药等战略性新兴产业需求，重点发展高附加值品类</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加快青木新材料硫酸乙烯酯项目投产，推动钠电池负极材料项目落地。</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招引稀土功能材料项目</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，扩大高性能钕铁硼产能</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，融入</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5</w:t>
      </w:r>
      <w:r>
        <w:rPr>
          <w:rFonts w:hint="eastAsia" w:ascii="Times New Roman" w:hAnsi="Times New Roman" w:eastAsia="仿宋_GB2312" w:cs="仿宋_GB2312"/>
          <w:b w:val="0"/>
          <w:bCs w:val="0"/>
          <w:color w:val="000000" w:themeColor="text1"/>
          <w:kern w:val="21"/>
          <w:sz w:val="32"/>
          <w:szCs w:val="32"/>
          <w:highlight w:val="none"/>
          <w:u w:val="none"/>
          <w:lang w:val="en-US" w:eastAsia="zh-CN"/>
          <w14:textFill>
            <w14:solidFill>
              <w14:schemeClr w14:val="tx1"/>
            </w14:solidFill>
          </w14:textFill>
        </w:rPr>
        <w:t>G</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通信、新能源汽车、高端装备等</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新兴产业供应链。加大</w:t>
      </w:r>
      <w:r>
        <w:rPr>
          <w:rFonts w:hint="eastAsia" w:ascii="Times New Roman" w:hAnsi="Times New Roman" w:eastAsia="仿宋_GB2312" w:cs="仿宋_GB2312"/>
          <w:b w:val="0"/>
          <w:bCs w:val="0"/>
          <w:color w:val="000000" w:themeColor="text1"/>
          <w:sz w:val="32"/>
          <w:szCs w:val="32"/>
          <w:highlight w:val="none"/>
          <w:u w:val="none"/>
          <w:lang w:val="en-US" w:eastAsia="zh-CN"/>
          <w14:textFill>
            <w14:solidFill>
              <w14:schemeClr w14:val="tx1"/>
            </w14:solidFill>
          </w14:textFill>
        </w:rPr>
        <w:t>维赛新材料、玄武岩纤维、</w:t>
      </w:r>
      <w:r>
        <w:rPr>
          <w:rFonts w:hint="eastAsia" w:ascii="Times New Roman" w:hAnsi="Times New Roman" w:eastAsia="仿宋_GB2312" w:cs="仿宋_GB2312"/>
          <w:b w:val="0"/>
          <w:bCs w:val="0"/>
          <w:color w:val="000000" w:themeColor="text1"/>
          <w:sz w:val="32"/>
          <w:highlight w:val="none"/>
          <w:u w:val="none"/>
          <w:lang w:val="en-US" w:eastAsia="zh-CN"/>
          <w14:textFill>
            <w14:solidFill>
              <w14:schemeClr w14:val="tx1"/>
            </w14:solidFill>
          </w14:textFill>
        </w:rPr>
        <w:t>天博庐德</w:t>
      </w:r>
      <w:r>
        <w:rPr>
          <w:rFonts w:hint="eastAsia" w:ascii="Times New Roman" w:hAnsi="Times New Roman" w:eastAsia="仿宋_GB2312" w:cs="仿宋_GB2312"/>
          <w:b w:val="0"/>
          <w:bCs w:val="0"/>
          <w:color w:val="000000" w:themeColor="text1"/>
          <w:sz w:val="32"/>
          <w:szCs w:val="32"/>
          <w:highlight w:val="none"/>
          <w:u w:val="none"/>
          <w:lang w:val="en-US" w:eastAsia="zh-CN"/>
          <w14:textFill>
            <w14:solidFill>
              <w14:schemeClr w14:val="tx1"/>
            </w14:solidFill>
          </w14:textFill>
        </w:rPr>
        <w:t>等新型材料研发力度，拓展高性能芯材、专用制品、医用材料等开发。</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z w:val="32"/>
          <w:highlight w:val="none"/>
          <w:u w:val="none"/>
          <w:lang w:val="en-US" w:eastAsia="zh-CN"/>
          <w14:textFill>
            <w14:solidFill>
              <w14:schemeClr w14:val="tx1"/>
            </w14:solidFill>
          </w14:textFill>
        </w:rPr>
        <w:t>巩固提升</w:t>
      </w:r>
      <w:r>
        <w:rPr>
          <w:rFonts w:hint="eastAsia" w:ascii="Times New Roman" w:hAnsi="Times New Roman" w:eastAsia="仿宋" w:cs="仿宋"/>
          <w:b w:val="0"/>
          <w:bCs w:val="0"/>
          <w:strike w:val="0"/>
          <w:dstrike w:val="0"/>
          <w:color w:val="000000" w:themeColor="text1"/>
          <w:sz w:val="32"/>
          <w:szCs w:val="32"/>
          <w:highlight w:val="none"/>
          <w:u w:val="none"/>
          <w:lang w:val="en-US" w:eastAsia="zh-CN"/>
          <w14:textFill>
            <w14:solidFill>
              <w14:schemeClr w14:val="tx1"/>
            </w14:solidFill>
          </w14:textFill>
        </w:rPr>
        <w:t>传统材料，</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通过技术迭代、业态升级</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，推动产业向高端化</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、智能化、</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绿色</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化</w:t>
      </w:r>
      <w:r>
        <w:rPr>
          <w:rFonts w:hint="eastAsia" w:ascii="Times New Roman" w:hAnsi="Times New Roman" w:eastAsia="仿宋_GB2312" w:cs="仿宋_GB2312"/>
          <w:b w:val="0"/>
          <w:bCs w:val="0"/>
          <w:color w:val="000000" w:themeColor="text1"/>
          <w:kern w:val="21"/>
          <w:sz w:val="32"/>
          <w:szCs w:val="32"/>
          <w:highlight w:val="none"/>
          <w:u w:val="none"/>
          <w:lang w:eastAsia="zh-CN"/>
          <w14:textFill>
            <w14:solidFill>
              <w14:schemeClr w14:val="tx1"/>
            </w14:solidFill>
          </w14:textFill>
        </w:rPr>
        <w:t>发展</w:t>
      </w:r>
      <w:r>
        <w:rPr>
          <w:rFonts w:hint="eastAsia" w:ascii="Times New Roman" w:hAnsi="Times New Roman" w:eastAsia="仿宋_GB2312" w:cs="仿宋_GB2312"/>
          <w:b w:val="0"/>
          <w:bCs w:val="0"/>
          <w:color w:val="000000" w:themeColor="text1"/>
          <w:kern w:val="21"/>
          <w:sz w:val="32"/>
          <w:szCs w:val="32"/>
          <w:highlight w:val="none"/>
          <w:u w:val="none"/>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u w:val="none"/>
          <w:lang w:val="en-US" w:eastAsia="zh-CN"/>
          <w14:textFill>
            <w14:solidFill>
              <w14:schemeClr w14:val="tx1"/>
            </w14:solidFill>
          </w14:textFill>
        </w:rPr>
        <w:t>引导凯丽纸业、凯成科技等企业实施绿色化改造，开发高性能、低能耗特种纸系列产品，巩固工业包装和高端艺术市场的领先优势。鼓励化工总厂预母颗粒等项目深耕细分领域，进一步扩大产能。推动华鹏玻璃、华纳塑胶、泓远化工等传统企业加快技术迭代，实现产业提质增效。</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产业产值年均增速达到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27002BFE">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3" w:name="_Toc4324"/>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第二节 前沿布局未来产业</w:t>
      </w:r>
      <w:bookmarkEnd w:id="33"/>
    </w:p>
    <w:p w14:paraId="4A4DB033">
      <w:pPr>
        <w:pStyle w:val="7"/>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元宇宙产业。</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14:textFill>
            <w14:solidFill>
              <w14:schemeClr w14:val="tx1"/>
            </w14:solidFill>
          </w14:textFill>
        </w:rPr>
        <w:t>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出创新驱动、场景牵引，聚焦提速产业转型、提振市场消费、提升政务服务，</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有序推动绿色算力中心建设，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全力打造区域性人工智能与元宇宙产业高地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bidi="ar-SA"/>
          <w14:textFill>
            <w14:solidFill>
              <w14:schemeClr w14:val="tx1"/>
            </w14:solidFill>
          </w14:textFill>
          <w14:ligatures w14:val="standardContextual"/>
        </w:rPr>
        <w:t>力</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val="en-US" w:eastAsia="zh-CN"/>
          <w14:textFill>
            <w14:solidFill>
              <w14:schemeClr w14:val="tx1"/>
            </w14:solidFill>
          </w14:textFill>
        </w:rPr>
        <w:t>争到2030年，建成15个以上元宇宙特色应用场景、若干元宇宙创新体验中心，汇聚1个以上元宇宙领军人才团队。丰富场景应用，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依托歌尔微电子XR麦克风项目、歌尔创客那香海数字体验馆，强化核心元器件配套与场景建设；文旅领域开发</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海疆寻梦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AR骑行、MR观日出场景，结合数字藏品构建荣成IP生态。</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val="en-US" w:eastAsia="zh-CN"/>
          <w14:textFill>
            <w14:solidFill>
              <w14:schemeClr w14:val="tx1"/>
            </w14:solidFill>
          </w14:textFill>
        </w:rPr>
        <w:t>强化核心技术攻关，聚焦VR/AR芯片、空间计算引擎等“卡脖子”技术，发展智能可穿戴及XR终端设备，推动技术成果纳入省级首台（套）、首版次目录。推广XR头显、裸眼3D等沉浸终端，培育智能内容生产工具、3D实景地图等产品，构建全层次产品矩阵。</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14:textFill>
            <w14:solidFill>
              <w14:schemeClr w14:val="tx1"/>
            </w14:solidFill>
          </w14:textFill>
        </w:rPr>
        <w:t>优化创新发展生态</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eastAsia="zh-CN"/>
          <w14:textFill>
            <w14:solidFill>
              <w14:schemeClr w14:val="tx1"/>
            </w14:solidFill>
          </w14:textFill>
        </w:rPr>
        <w:t>，建设</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14:textFill>
            <w14:solidFill>
              <w14:schemeClr w14:val="tx1"/>
            </w14:solidFill>
          </w14:textFill>
        </w:rPr>
        <w:t>科大讯飞人工智能产业创新融合基地，搭建人工智能应用平台</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14:textFill>
            <w14:solidFill>
              <w14:schemeClr w14:val="tx1"/>
            </w14:solidFill>
          </w14:textFill>
        </w:rPr>
        <w:t>共建元宇宙学科与实训基地，靶向引进VR/AR芯片、AIGC算法等领域团队</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i w:val="0"/>
          <w:caps w:val="0"/>
          <w:strike w:val="0"/>
          <w:dstrike w:val="0"/>
          <w:color w:val="000000" w:themeColor="text1"/>
          <w:spacing w:val="0"/>
          <w:sz w:val="32"/>
          <w:szCs w:val="32"/>
          <w:highlight w:val="none"/>
          <w:u w:val="none"/>
          <w14:textFill>
            <w14:solidFill>
              <w14:schemeClr w14:val="tx1"/>
            </w14:solidFill>
          </w14:textFill>
        </w:rPr>
        <w:t>推广隐私计算、区块链等技术，加强数据全生命周期防护，推动产业规范发展。</w:t>
      </w:r>
    </w:p>
    <w:p w14:paraId="7B8626A2">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低空经济产业。</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按照</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三先三后</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原则</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（先载货、后载人，先隔离、后融合，先远郊、后城区）</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，构建</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一核引领、两翼支撑、多业态协同</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的低空经济发展格局</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，力争到2030年，建成1处通用机场，建设</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10个以上数字化起降平台</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深度</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打造</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3—5个荣成特色应用场景，培育5家以上优质航空制造企业</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。依托成山通用机场培育通用航空经济，</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打造集运营、服务、保障为一体的低空发展</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核心</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区</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拓展载人飞行、交通物流、飞行</w:t>
      </w:r>
      <w:r>
        <w:rPr>
          <w:rFonts w:hint="default"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培训</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、测试</w:t>
      </w:r>
      <w:r>
        <w:rPr>
          <w:rFonts w:hint="default"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维修</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航空教育</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等特色业务矩阵，</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带动全域低空经济多点布局、串点成线。</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以低空制造业和</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低空</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服务业为</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产业两翼</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夯实航材产业底层支撑，放大文旅海洋资源优势，争取导入一批带动性强、盈利模式明确的高端装备制造和航空服务项目，加快</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形成具有区域辨识度和核心竞争力的</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低空产业</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示范基地。</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以国企为主导，按照先政务警务服务、后经济社会服务的顺序，逐步打造应急救援、医疗救护、农林植保、能源巡检、文体旅游、物流配送等特色应用场景，培育安全有保障、商业可持续、群众易接纳的场景发展新业态，</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加强与周边地区合作，</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形成协同发展的产业生态</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p>
    <w:p w14:paraId="38AFEF9F">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dstrike w:val="0"/>
          <w:color w:val="000000" w:themeColor="text1"/>
          <w:kern w:val="21"/>
          <w:sz w:val="32"/>
          <w:szCs w:val="32"/>
          <w:highlight w:val="yellow"/>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未来能源产业。</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超前布局核聚变产业，争取山东大学聚变智能中心落户我市</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主动对接核聚变相关企业与科研团队，聚焦聚变堆前沿课题研究</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全力招引聚变材料研发及产业化项目，打造核聚变产业创新发展高地。加快发展氢能产业，打造</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海上能源岛</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特色模式，积极开展绿电制绿氢、绿氨、绿色甲醇等新能源转化及储运技术示范</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探索船用绿色甲醇加注场景落地应用，加快构建</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生产</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储运</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应用</w:t>
      </w:r>
      <w:r>
        <w:rPr>
          <w:rStyle w:val="21"/>
          <w:rFonts w:hint="eastAsia"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全产业链发展格局。</w:t>
      </w:r>
    </w:p>
    <w:p w14:paraId="6C1C4D3A">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未来健康产业。</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以数字化、智能化、个性化、绿色化为核心，以核医药产业为主要发展方向，构建预防</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诊疗</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康复</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管理全生命健康服务体系。依托</w:t>
      </w:r>
      <w:r>
        <w:rPr>
          <w:rStyle w:val="21"/>
          <w:rFonts w:hint="default" w:ascii="Times New Roman" w:hAnsi="Times New Roman" w:eastAsia="仿宋_GB2312" w:cs="Times New Roman"/>
          <w:b w:val="0"/>
          <w:bCs w:val="0"/>
          <w:caps w:val="0"/>
          <w:strike w:val="0"/>
          <w:dstrike w:val="0"/>
          <w:color w:val="000000" w:themeColor="text1"/>
          <w:spacing w:val="0"/>
          <w:sz w:val="32"/>
          <w:szCs w:val="32"/>
          <w:highlight w:val="none"/>
          <w:u w:val="none"/>
          <w:shd w:val="clear" w:fill="FFFFFF"/>
          <w:lang w:val="en-US" w:eastAsia="zh-CN"/>
          <w14:textFill>
            <w14:solidFill>
              <w14:schemeClr w14:val="tx1"/>
            </w14:solidFill>
          </w14:textFill>
        </w:rPr>
        <w:t>清华大学高通量堆</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建设，大力发展核医药产业，构建国家级同位素产业生态圈，形成</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堆器耦合、互补发展</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的同位素生产格局，提升资质许可、核药运输、固废收贮、医药市场拓展等全链条服务能力，着力打造涵盖同位素原料生产、核药研发生产、肿瘤诊疗中心、康养基地的核医药产业</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园。重点布局NK细胞保健产品、精准医养服务及高端检测产品体系，聚焦肿瘤、心脑血管等领域，加速创新药物研发。</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实施全面健康管理，普及智能穿戴设备，</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发展智能家居健康监护系统，构建全域健康数据枢纽，打通医院、社区、穿戴设备数据壁垒，实现持续性健康数据采集与风险预警。</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促进AI+医疗深度融合，</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依托科大讯飞，</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推广AI辅助诊疗系统、专科医疗大模型</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，构建“人机协同”医疗服务范式，打造从院前精准导引到院后居家监护的全流程智能化闭环服务体系，县域医院AI辅助诊疗覆盖率达90%以上。</w:t>
      </w:r>
    </w:p>
    <w:p w14:paraId="798E4B4D">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4" w:name="_Toc3274"/>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第三节 提质升级现代服务业</w:t>
      </w:r>
      <w:bookmarkEnd w:id="34"/>
    </w:p>
    <w:p w14:paraId="1E98A76B">
      <w:pPr>
        <w:keepNext w:val="0"/>
        <w:keepLines w:val="0"/>
        <w:pageBreakBefore w:val="0"/>
        <w:widowControl w:val="0"/>
        <w:kinsoku/>
        <w:wordWrap/>
        <w:overflowPunct w:val="0"/>
        <w:topLinePunct w:val="0"/>
        <w:autoSpaceDE/>
        <w:autoSpaceDN/>
        <w:bidi w:val="0"/>
        <w:spacing w:line="574" w:lineRule="exact"/>
        <w:ind w:firstLine="645"/>
        <w:textAlignment w:val="auto"/>
        <w:rPr>
          <w:rFonts w:hint="default" w:ascii="Times New Roman" w:hAnsi="Times New Roman" w:eastAsia="仿宋_GB2312" w:cs="楷体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现代物流产业。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陆海空联动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为核心，打造区域性物流枢纽，推动现代物流体系提质增效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2030年，货物周转量年均增速达到6%，全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产业链营收年均增速达到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。陆上物流方面，依托</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国家骨干冷链物流基地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，完善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互联网+冷链物流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体系，构建现代冷链物流网络，成为环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渤海重要冷链物流节点。依托进口指定口岸优势，推动冷链跨境电商专区建设，实现一体化发展，提升冷链产品竞争力。加快冷链装备升级，实施绿色物流行动，</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逐步淘汰</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高耗能老旧冷藏车</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推广新能源冷藏车和多温区智能运输装备，完善温控追溯体系。</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推进</w:t>
      </w:r>
      <w:r>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现代物流园与港口、国省干线互联</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通道建设</w:t>
      </w:r>
      <w:r>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，推广公海联运、公铁联运，鼓励运输企业</w:t>
      </w:r>
      <w:r>
        <w:rPr>
          <w:rFonts w:hint="default" w:ascii="Times New Roman" w:hAnsi="Times New Roman" w:eastAsia="仿宋_GB2312"/>
          <w:b w:val="0"/>
          <w:bCs w:val="0"/>
          <w:strike w:val="0"/>
          <w:dstrike w:val="0"/>
          <w:color w:val="000000" w:themeColor="text1"/>
          <w:sz w:val="32"/>
          <w:szCs w:val="36"/>
          <w:highlight w:val="none"/>
          <w14:textFill>
            <w14:solidFill>
              <w14:schemeClr w14:val="tx1"/>
            </w14:solidFill>
          </w14:textFill>
        </w:rPr>
        <w:t>通过兼并重组、合资合作等方式扩大规模，</w:t>
      </w:r>
      <w:r>
        <w:rPr>
          <w:rFonts w:hint="default" w:ascii="Times New Roman" w:hAnsi="Times New Roman" w:eastAsia="仿宋_GB2312"/>
          <w:b w:val="0"/>
          <w:bCs w:val="0"/>
          <w:strike w:val="0"/>
          <w:dstrike w:val="0"/>
          <w:color w:val="000000" w:themeColor="text1"/>
          <w:kern w:val="0"/>
          <w:sz w:val="32"/>
          <w:szCs w:val="32"/>
          <w:highlight w:val="none"/>
          <w:lang w:bidi="ar"/>
          <w14:textFill>
            <w14:solidFill>
              <w14:schemeClr w14:val="tx1"/>
            </w14:solidFill>
          </w14:textFill>
        </w:rPr>
        <w:t>发展厢式运输、甩挂运输</w:t>
      </w:r>
      <w:r>
        <w:rPr>
          <w:rFonts w:hint="eastAsia" w:ascii="Times New Roman" w:hAnsi="Times New Roman" w:eastAsia="仿宋_GB2312"/>
          <w:b w:val="0"/>
          <w:bCs w:val="0"/>
          <w:strike w:val="0"/>
          <w:dstrike w:val="0"/>
          <w:color w:val="000000" w:themeColor="text1"/>
          <w:kern w:val="0"/>
          <w:sz w:val="32"/>
          <w:szCs w:val="32"/>
          <w:highlight w:val="none"/>
          <w:lang w:eastAsia="zh-CN" w:bidi="ar"/>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陆上</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大中型冷链</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运输车辆达到</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1000</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辆，</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新能源车辆占比达</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30%，</w:t>
      </w:r>
      <w:r>
        <w:rPr>
          <w:rFonts w:hint="default" w:ascii="Times New Roman" w:hAnsi="Times New Roman" w:eastAsia="仿宋_GB2312"/>
          <w:b w:val="0"/>
          <w:bCs w:val="0"/>
          <w:strike w:val="0"/>
          <w:dstrike w:val="0"/>
          <w:color w:val="000000" w:themeColor="text1"/>
          <w:sz w:val="32"/>
          <w:szCs w:val="36"/>
          <w:highlight w:val="none"/>
          <w:u w:val="none"/>
          <w14:textFill>
            <w14:solidFill>
              <w14:schemeClr w14:val="tx1"/>
            </w14:solidFill>
          </w14:textFill>
        </w:rPr>
        <w:t>培育运力100辆以上的龙头运输企业2</w:t>
      </w:r>
      <w:r>
        <w:rPr>
          <w:rFonts w:hint="eastAsia" w:ascii="Times New Roman" w:hAnsi="Times New Roman" w:eastAsia="仿宋_GB2312"/>
          <w:b w:val="0"/>
          <w:bCs w:val="0"/>
          <w:strike w:val="0"/>
          <w:dstrike w:val="0"/>
          <w:color w:val="000000" w:themeColor="text1"/>
          <w:sz w:val="32"/>
          <w:szCs w:val="36"/>
          <w:highlight w:val="none"/>
          <w:u w:val="none"/>
          <w:lang w:eastAsia="zh-CN"/>
          <w14:textFill>
            <w14:solidFill>
              <w14:schemeClr w14:val="tx1"/>
            </w14:solidFill>
          </w14:textFill>
        </w:rPr>
        <w:t>—</w:t>
      </w:r>
      <w:r>
        <w:rPr>
          <w:rFonts w:ascii="Times New Roman" w:hAnsi="Times New Roman" w:eastAsia="仿宋_GB2312"/>
          <w:b w:val="0"/>
          <w:bCs w:val="0"/>
          <w:strike w:val="0"/>
          <w:dstrike w:val="0"/>
          <w:color w:val="000000" w:themeColor="text1"/>
          <w:sz w:val="32"/>
          <w:szCs w:val="36"/>
          <w:highlight w:val="none"/>
          <w:u w:val="none"/>
          <w14:textFill>
            <w14:solidFill>
              <w14:schemeClr w14:val="tx1"/>
            </w14:solidFill>
          </w14:textFill>
        </w:rPr>
        <w:t>3</w:t>
      </w:r>
      <w:r>
        <w:rPr>
          <w:rFonts w:hint="default" w:ascii="Times New Roman" w:hAnsi="Times New Roman" w:eastAsia="仿宋_GB2312"/>
          <w:b w:val="0"/>
          <w:bCs w:val="0"/>
          <w:strike w:val="0"/>
          <w:dstrike w:val="0"/>
          <w:color w:val="000000" w:themeColor="text1"/>
          <w:sz w:val="32"/>
          <w:szCs w:val="36"/>
          <w:highlight w:val="none"/>
          <w:u w:val="none"/>
          <w14:textFill>
            <w14:solidFill>
              <w14:schemeClr w14:val="tx1"/>
            </w14:solidFill>
          </w14:textFill>
        </w:rPr>
        <w:t>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产业营收年均增速达到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5%左右，</w:t>
      </w:r>
      <w:r>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辐射环黄渤海地区</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连接国内外的多式联运物流网络。</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海上物流方面，强化石岛港、龙眼港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载体</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功能，优化港口集疏运体系，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拓展</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国际海运通道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，做大做强跨境</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物流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依托国家远洋渔业基地，推动远洋捕捞</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、精深加工</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生鲜海产品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物流一体化发展</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完善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直达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日韩、辐射东北亚的国际航线布局，提升港口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接能力和</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陆海联动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服务水平，构建现代化海上物流网络。</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完善智慧物流基础设施，鼓励企业应用物联网、大数据、区块链等技术，发展智慧仓储、智能调度与全程温控追溯系统。力争到2030年，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建成集</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港口集散</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智慧仓储、综合</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保障及特色商贸于一体的现代物流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体系，产业营收年均增速达到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8%左右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。空中物流方面，加快成山通用机场规划建设，</w:t>
      </w:r>
      <w:r>
        <w:rPr>
          <w:rFonts w:hint="eastAsia" w:ascii="Times New Roman" w:hAnsi="Times New Roman" w:eastAsia="仿宋_GB2312" w:cs="Times New Roman"/>
          <w:b w:val="0"/>
          <w:bCs w:val="0"/>
          <w:strike w:val="0"/>
          <w:dstrike w:val="0"/>
          <w:color w:val="000000" w:themeColor="text1"/>
          <w:kern w:val="2"/>
          <w:sz w:val="32"/>
          <w:szCs w:val="36"/>
          <w:highlight w:val="none"/>
          <w:u w:val="none"/>
          <w:lang w:val="en-US" w:eastAsia="zh-CN" w:bidi="ar-SA"/>
          <w14:textFill>
            <w14:solidFill>
              <w14:schemeClr w14:val="tx1"/>
            </w14:solidFill>
          </w14:textFill>
        </w:rPr>
        <w:t>有序布局低空起降场，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构建空中物流走廊，与陆上物流形成高效衔接发展低空物流，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推广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无人机配送等新型物流模式，提升偏远地区及紧急物资的配送效率。设立低空经济产业基金，支持无人机研发、制造及物流应用，推动低空运输与跨境电商、文旅</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消费</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、应急保障等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多场景</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融合，提升区域物流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的配送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效率和响应能力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产业营收年均增速达到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10%左右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18959D29">
      <w:pPr>
        <w:keepNext w:val="0"/>
        <w:keepLines w:val="0"/>
        <w:pageBreakBefore w:val="0"/>
        <w:widowControl w:val="0"/>
        <w:numPr>
          <w:ilvl w:val="0"/>
          <w:numId w:val="0"/>
        </w:numPr>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文旅康养产业。</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以打造“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国际滨海休闲度假旅游目的地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”为目标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，强化业态创新，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推动文旅产业从传统观光游向高品质休闲度假游转型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力争到2030年，</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全产业链综合收入年均增速达到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5%左右，</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产业竞争力与品牌影响力稳居</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省</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县级前列</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形成</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城旅联动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四季</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可游</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全域</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季</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旅游</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度假产业</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生态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争当</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全国</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奔县游首选目的地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滨海度假产业，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统筹全域旅游资源，</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积极融入威海“一路十八湾”规划，重点打造那香海—布鲁威斯—天鹅湖、樱花湖—滨海公园、石岛湾—凤凰湖三大旅游片区和桑沟湾、爱连湾等五大度假湾区。完善自驾旅游公路服务配套，争取纳入“环游中国”精品自驾线路；</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精致化</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推动海岛游、海上游、沙滩游等滨海业态提升，有序开发低空旅游，积极发展夜游经济、赛事经济、演艺经济和文创经济</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培育精而美消费业态，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将旅游流量转化为消费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增</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量</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突破发展冬季旅游，深度开发冰雪、天鹅、温泉等融合性旅游产品，完善冬游服务设施，打造冬季热门旅游线路，打响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冬游荣成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旅游品牌。</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康养旅居产业，</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全面融入威海康养旅游产业融合发展区建设，积极开发疗愈、运动、养生、医疗、康复</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五大</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康养产品，引导酒店、民宿向康养住宿转型，存量地产向旅居地产转型。</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针对旅居度假游客，</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打造高品质智能化康养旅居社区，完善远程诊疗、动态监测等配套服务；大力引进高端美容美体、中医养生、运动健身等大健康服务产品，提升大健康特色产业配套水平；</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针对本地老年群体，</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推进人民医院等公共医疗机构与社会养老机构合作，构建多层次医养结合服务体系。力争到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全市医养结合机构数量达5家，提高社会面医、康、养、游一体化服务。</w:t>
      </w:r>
    </w:p>
    <w:p w14:paraId="48707F7D">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科学技术服务业。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实施科技服务生态构建、科技人才智力引培、高端品牌塑造提升等工程，做大做强研发设计、科技咨询、检验检测、创业孵化、知识产权服务等产业，提升全链条科技服务能力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bookmarkStart w:id="35" w:name="_Hlk217503726"/>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力争到2</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030</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年，科学研究和技术服务业营收</w:t>
      </w:r>
      <w:bookmarkEnd w:id="35"/>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。引导国有企业及康派斯、浦林成山等两业融合试点企业，协同产业链上下游共建多方互信的数据流通利用设施，打造数字化供应链，实现产业数据高效对接、跨域共享与价值共创。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加强与科大讯飞合作，联合招引数据应用、工业赋能、品牌管理等类型企业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，培育一批具有核心竞争力的科学技术服务企业。实施数据资源化工程，推动研发设计、生产制造、供应链管理等关键环节数据标准化、资产化，开展数据</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精加工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，筑牢数据赋能基础。聚焦房车、轮胎等特色产业，探索构建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高质量数据集+行业模型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的应用模式，挖掘数据要素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乘数效应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09D97D90">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商务服务业。</w:t>
      </w:r>
      <w:r>
        <w:rPr>
          <w:rFonts w:hint="eastAsia" w:ascii="Times New Roman" w:hAnsi="Times New Roman" w:eastAsia="仿宋_GB2312" w:cs="楷体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招引培育核电、风电等新能源运维服务机构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，在整体运维、智能检测、维护检修、备件服务等领域以专业化服务保障能源系统安全平稳运行</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到2</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030</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年，商务服务业营收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年均增速达到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5%左右</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。加快布局公共人力资源服务机构与社区就业服务站，优化零工市场、零工驿站等灵活就业载体。积极探索</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15分钟就业服务圈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一刻钟便民生活圈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融合发展试点，推动就业服务深度融入基层生活圈，实现公共就业服务体系城乡均等、便捷可及。采用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政府引导、国企运营、院校协同、社会参与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的多元化合作模式，重点围绕区域产业需求，开设核电技术、智能制造、应急安全、康养保育等特色培训科目，提供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培训</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评价</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就业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一站式全链条服务，建设中国北方最大的核电产业人才培训基地，塑造县域技能赋能高质量就业的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荣成样板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253407B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推动现代服务业与先进制造业融合发展，发展服务衍生制造，鼓励制造服务化和服务产品化。支持现代服务业集聚发展，发挥园区资源共享、服务共享、规模经济等优势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坚持重大项目引领，促进投资结构优化，建设一批服务业重点项目。鼓励远程医疗、网络教育、共享经济、平台经济等服务新模式、新业态健康发展。</w:t>
      </w:r>
    </w:p>
    <w:p w14:paraId="322AF55E">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6" w:name="_Toc9242"/>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第四节 构建全域产业生态圈</w:t>
      </w:r>
      <w:bookmarkEnd w:id="36"/>
    </w:p>
    <w:p w14:paraId="0D29D63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产业园区特色化发展。</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聚焦</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“园区化承载、集群化发展”，</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谋划规划建设提升八个专业园区</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按照</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一区一主业</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，优化园区规划，梳理明确园区范围</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进一步</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强化</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园区</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产业</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定位</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和主攻方向。</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锚定</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园区发展</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核心方向，</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加强资源集约利用，加快促进低效闲置土地利用，梳理闲置资产，开展产业招商推介，推动园区内闲置资产有效盘活</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加强园区间协同合作</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推动各专业园区精准匹配</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。完善园区基础设施和公共服务，</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促进产业资源共享和优势互补，</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强化上下游协同与跨园区联动，</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提升园区承载能力。</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强化运营机制创新，以搭建平台、合作运营、外包服务等方式，提升园区运营效能</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打造功能互补、能级跃升的</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园区</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产业生态。</w:t>
      </w:r>
    </w:p>
    <w:p w14:paraId="40573D6B">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加快企业梯队培育。</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全面制定优质企业梯次培育计划，为企业提供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一企一策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精准培育方案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形成覆盖龙头企业、创新型中小企业、专精特新中小企业、专精特新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小巨人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企业、制造业单项冠军企业的梯次培育格局，推动更多企业跻身国家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和</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省级特色企业行列。</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到2030年，省级创新型中小企业、省级专精特新中小企业、省级制造业单项冠军企业、国家级专精特新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小巨人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企业、国家级单项冠军企业分别达到180家、100家、16家、10家、1家以上。加强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小升规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企业培育。以年度工业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小升规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数量目标的1.2倍遴选年营业收入1000万</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2000万元的优质规下企业建立培育清单，按照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成长一批、培育一批、上规一批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的思路，实施梯次培育，每年新增规上工业企业数量25家以上。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到2030年，规上工业企业数量达到330家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。实施新一轮重点企业培育工程，促进骨干企业做强主业、做大规模，带动中小企业对标跨越发展，力争到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2030年，营收20亿元以上企业达到13家以上、50亿元以上企业达到7家以上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。强化优质企业培育，精准对接多层次资本市场，扩大直接融资规模，力争到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新增上市企业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2家，储备库企业数量稳定在20家以上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1FC66316">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方正小标宋简体" w:cs="宋体"/>
          <w:b w:val="0"/>
          <w:bCs w:val="0"/>
          <w:strike w:val="0"/>
          <w:dstrike w:val="0"/>
          <w:color w:val="000000" w:themeColor="text1"/>
          <w:sz w:val="44"/>
          <w:szCs w:val="44"/>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全面深化链长制建设。</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坚持系统观念、强化链式思维，</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建立健全“五链融合”协同机制，</w:t>
      </w:r>
      <w:r>
        <w:rPr>
          <w:rFonts w:ascii="Times New Roman" w:hAnsi="Times New Roman" w:eastAsia="仿宋_GB2312"/>
          <w:b w:val="0"/>
          <w:bCs w:val="0"/>
          <w:sz w:val="32"/>
          <w:szCs w:val="32"/>
        </w:rPr>
        <w:t>推动</w:t>
      </w:r>
      <w:r>
        <w:rPr>
          <w:rFonts w:hint="eastAsia" w:ascii="Times New Roman" w:hAnsi="Times New Roman" w:eastAsia="仿宋_GB2312"/>
          <w:b w:val="0"/>
          <w:bCs w:val="0"/>
          <w:sz w:val="32"/>
          <w:szCs w:val="32"/>
          <w:lang w:eastAsia="zh-CN"/>
        </w:rPr>
        <w:t>“</w:t>
      </w:r>
      <w:r>
        <w:rPr>
          <w:rFonts w:ascii="Times New Roman" w:hAnsi="Times New Roman" w:eastAsia="仿宋_GB2312"/>
          <w:b w:val="0"/>
          <w:bCs w:val="0"/>
          <w:sz w:val="32"/>
          <w:szCs w:val="32"/>
        </w:rPr>
        <w:t>产业链、人才链、教育链、创新链、金融链</w:t>
      </w:r>
      <w:r>
        <w:rPr>
          <w:rFonts w:hint="eastAsia" w:ascii="Times New Roman" w:hAnsi="Times New Roman" w:eastAsia="仿宋_GB2312"/>
          <w:b w:val="0"/>
          <w:bCs w:val="0"/>
          <w:sz w:val="32"/>
          <w:szCs w:val="32"/>
          <w:lang w:eastAsia="zh-CN"/>
        </w:rPr>
        <w:t>”互促赋能</w:t>
      </w:r>
      <w:r>
        <w:rPr>
          <w:rFonts w:ascii="Times New Roman" w:hAnsi="Times New Roman" w:eastAsia="仿宋_GB2312"/>
          <w:b w:val="0"/>
          <w:bCs w:val="0"/>
          <w:sz w:val="32"/>
          <w:szCs w:val="32"/>
        </w:rPr>
        <w:t>，实现资源配置效率的最优化和产业发展效益最大化</w:t>
      </w:r>
      <w:r>
        <w:rPr>
          <w:rFonts w:hint="eastAsia" w:ascii="Times New Roman" w:hAnsi="Times New Roman" w:eastAsia="仿宋_GB2312"/>
          <w:b w:val="0"/>
          <w:bCs w:val="0"/>
          <w:sz w:val="32"/>
          <w:szCs w:val="32"/>
          <w:lang w:eastAsia="zh-CN"/>
        </w:rPr>
        <w:t>。</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完善市级领导牵头、责任部门配合的市级统筹调度机制，建立工业、服务业产业“链长制”，深化企业固链、项目补链、招商延链等6大行动，做优做强“链主”企业，培养发展重点支撑企业，推动产业由链式向集群式发展。做好企业大走访工作，深入一线了解企业真实诉求，完善企业问题解决机制，</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组织各产业链专班汇总企业用工、用地、资金等需求，建立问题台账，动态更新清单，完善问题分办、推进机制，组织</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开展问题</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会商研讨解决办法</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创新“下午茶”畅聊形式，以更加贴近企业需求为导向，适当调整畅聊活动频次、形式，增进政企对接实效。</w:t>
      </w:r>
      <w:r>
        <w:rPr>
          <w:rFonts w:hint="eastAsia" w:ascii="Times New Roman" w:hAnsi="Times New Roman" w:eastAsia="方正小标宋简体" w:cs="宋体"/>
          <w:b w:val="0"/>
          <w:bCs w:val="0"/>
          <w:strike w:val="0"/>
          <w:dstrike w:val="0"/>
          <w:color w:val="000000" w:themeColor="text1"/>
          <w:sz w:val="44"/>
          <w:szCs w:val="44"/>
          <w:highlight w:val="none"/>
          <w:u w:val="none"/>
          <w14:textFill>
            <w14:solidFill>
              <w14:schemeClr w14:val="tx1"/>
            </w14:solidFill>
          </w14:textFill>
        </w:rPr>
        <w:br w:type="page"/>
      </w:r>
    </w:p>
    <w:p w14:paraId="1C87FE5F">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7" w:name="_Toc16398"/>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第三章  深化创新驱动战略，引领发展      新质生产力</w:t>
      </w:r>
      <w:bookmarkEnd w:id="37"/>
    </w:p>
    <w:p w14:paraId="1090356F">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b w:val="0"/>
          <w:bCs w:val="0"/>
          <w:strike w:val="0"/>
          <w:dstrike w:val="0"/>
          <w:color w:val="000000" w:themeColor="text1"/>
          <w:highlight w:val="none"/>
          <w:u w:val="none"/>
          <w:lang w:eastAsia="zh-CN"/>
          <w14:textFill>
            <w14:solidFill>
              <w14:schemeClr w14:val="tx1"/>
            </w14:solidFill>
          </w14:textFill>
        </w:rPr>
      </w:pPr>
      <w:r>
        <w:rPr>
          <w:rFonts w:hint="eastAsia" w:ascii="Times New Roman" w:hAnsi="Times New Roman"/>
          <w:b w:val="0"/>
          <w:bCs w:val="0"/>
          <w:strike w:val="0"/>
          <w:dstrike w:val="0"/>
          <w:color w:val="000000" w:themeColor="text1"/>
          <w:highlight w:val="none"/>
          <w14:textFill>
            <w14:solidFill>
              <w14:schemeClr w14:val="tx1"/>
            </w14:solidFill>
          </w14:textFill>
        </w:rPr>
        <w:t>抓住新一轮科技革命和产业变革历史机遇，构建全域协同的创新体系</w:t>
      </w:r>
      <w:r>
        <w:rPr>
          <w:rFonts w:hint="eastAsia" w:ascii="Times New Roman" w:hAnsi="Times New Roman"/>
          <w:b w:val="0"/>
          <w:bCs w:val="0"/>
          <w:strike w:val="0"/>
          <w:dstrike w:val="0"/>
          <w:color w:val="000000" w:themeColor="text1"/>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14:textFill>
            <w14:solidFill>
              <w14:schemeClr w14:val="tx1"/>
            </w14:solidFill>
          </w14:textFill>
        </w:rPr>
        <w:t>锚定产业链发展需求，</w:t>
      </w:r>
      <w:r>
        <w:rPr>
          <w:rFonts w:hint="eastAsia" w:ascii="Times New Roman" w:hAnsi="Times New Roman" w:eastAsia="仿宋_GB2312" w:cs="宋体"/>
          <w:b w:val="0"/>
          <w:bCs w:val="0"/>
          <w:i w:val="0"/>
          <w:iCs w:val="0"/>
          <w:caps w:val="0"/>
          <w:strike w:val="0"/>
          <w:dstrike w:val="0"/>
          <w:color w:val="000000" w:themeColor="text1"/>
          <w:spacing w:val="0"/>
          <w:sz w:val="32"/>
          <w:szCs w:val="32"/>
          <w:highlight w:val="none"/>
          <w:shd w:val="clear" w:fill="auto"/>
          <w14:textFill>
            <w14:solidFill>
              <w14:schemeClr w14:val="tx1"/>
            </w14:solidFill>
          </w14:textFill>
        </w:rPr>
        <w:t>汇聚各方创新资源，</w:t>
      </w:r>
      <w:r>
        <w:rPr>
          <w:rFonts w:hint="eastAsia" w:ascii="Times New Roman" w:hAnsi="Times New Roman"/>
          <w:b w:val="0"/>
          <w:bCs w:val="0"/>
          <w:strike w:val="0"/>
          <w:dstrike w:val="0"/>
          <w:color w:val="000000" w:themeColor="text1"/>
          <w:highlight w:val="none"/>
          <w14:textFill>
            <w14:solidFill>
              <w14:schemeClr w14:val="tx1"/>
            </w14:solidFill>
          </w14:textFill>
        </w:rPr>
        <w:t>推动科技创新和产业创新深度融合，</w:t>
      </w:r>
      <w:r>
        <w:rPr>
          <w:rFonts w:hint="eastAsia" w:ascii="Times New Roman" w:hAnsi="Times New Roman" w:eastAsia="仿宋_GB2312" w:cs="宋体"/>
          <w:b w:val="0"/>
          <w:bCs w:val="0"/>
          <w:i w:val="0"/>
          <w:iCs w:val="0"/>
          <w:caps w:val="0"/>
          <w:strike w:val="0"/>
          <w:dstrike w:val="0"/>
          <w:color w:val="000000" w:themeColor="text1"/>
          <w:spacing w:val="0"/>
          <w:sz w:val="32"/>
          <w:szCs w:val="32"/>
          <w:highlight w:val="none"/>
          <w:shd w:val="clear" w:fill="auto"/>
          <w14:textFill>
            <w14:solidFill>
              <w14:schemeClr w14:val="tx1"/>
            </w14:solidFill>
          </w14:textFill>
        </w:rPr>
        <w:t>形成高水平科技自立自强的强大合力</w:t>
      </w:r>
      <w:r>
        <w:rPr>
          <w:rFonts w:hint="eastAsia" w:ascii="Times New Roman" w:hAnsi="Times New Roman" w:eastAsia="仿宋_GB2312" w:cs="宋体"/>
          <w:b w:val="0"/>
          <w:bCs w:val="0"/>
          <w:i w:val="0"/>
          <w:iCs w:val="0"/>
          <w:caps w:val="0"/>
          <w:strike w:val="0"/>
          <w:dstrike w:val="0"/>
          <w:color w:val="000000" w:themeColor="text1"/>
          <w:spacing w:val="0"/>
          <w:sz w:val="32"/>
          <w:szCs w:val="32"/>
          <w:highlight w:val="none"/>
          <w:shd w:val="clear" w:fill="auto"/>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14:textFill>
            <w14:solidFill>
              <w14:schemeClr w14:val="tx1"/>
            </w14:solidFill>
          </w14:textFill>
        </w:rPr>
        <w:t>坚持平台为支撑、企业为核、人才为基</w:t>
      </w:r>
      <w:r>
        <w:rPr>
          <w:rFonts w:hint="eastAsia" w:ascii="Times New Roman" w:hAnsi="Times New Roman"/>
          <w:b w:val="0"/>
          <w:bCs w:val="0"/>
          <w:strike w:val="0"/>
          <w:dstrike w:val="0"/>
          <w:color w:val="000000" w:themeColor="text1"/>
          <w:highlight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14:textFill>
            <w14:solidFill>
              <w14:schemeClr w14:val="tx1"/>
            </w14:solidFill>
          </w14:textFill>
        </w:rPr>
        <w:t>生态为保障，打破创新要素流动壁垒，打造县域科技创新标杆城市。</w:t>
      </w:r>
    </w:p>
    <w:p w14:paraId="00F3321C">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38" w:name="_Toc12506"/>
      <w:bookmarkStart w:id="39" w:name="_Toc32183"/>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第一节 </w:t>
      </w:r>
      <w:bookmarkEnd w:id="38"/>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夯</w:t>
      </w:r>
      <w:r>
        <w:rPr>
          <w:rFonts w:hint="eastAsia" w:ascii="Times New Roman" w:hAnsi="Times New Roman" w:eastAsia="黑体" w:cs="Heiti SC Medium"/>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实产业升级创新</w:t>
      </w:r>
      <w:r>
        <w:rPr>
          <w:rFonts w:hint="eastAsia" w:ascii="Times New Roman" w:hAnsi="Times New Roman" w:cs="Heiti SC Medium"/>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基础</w:t>
      </w:r>
      <w:bookmarkEnd w:id="39"/>
    </w:p>
    <w:p w14:paraId="54500CE7">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着力构建高端创新平台体系。</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聚焦优势特色产业和战略性新兴产业，以提升原始创新和关键核心技术攻关能力为目标，鼓励高校、科研院所和行业龙头企业，共建重点实验室、企业技术中心、工业设计中心等新型创新载体。鼓励企业建设院士工作站、博士后科研工作站，吸引高端人才团队入驻，提升平台人才集聚和技术攻关能力。紧扣“5+2”七大产业链，打造关键产业链创新载体，加快推进清华大学（荣成）先进核能技术科研基地、山东省稀土磁功能材料及动力装置重点实验室、山东省儿童药物技术创新中心等重点载体建设进度。发挥好威海（荣成）海洋高新技术产业园“孵化+服务+投资”一体化培育模式作用，充分实现现有研发、孵化资源共享。引导永成新材料争创碳纤维领域高能级创新平台。力争到2030年，省级以上高能级创新平台总量突破100家。</w:t>
      </w:r>
    </w:p>
    <w:p w14:paraId="2ECC4C09">
      <w:pPr>
        <w:keepNext w:val="0"/>
        <w:keepLines w:val="0"/>
        <w:pageBreakBefore w:val="0"/>
        <w:widowControl w:val="0"/>
        <w:numPr>
          <w:ilvl w:val="0"/>
          <w:numId w:val="0"/>
        </w:numPr>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以项目攻坚驱动产业升级。</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以“核动未来”等重大科技项目为抓手，坚持引育并重、双向协同，推动项目建设与产业发展深度融合。精准施策开展重大项目培育工作，靶向培育海洋生物医药、高端智能装备、新能源、新材料等优势领域重大科技项目。依托宽能谱超高通量试验堆建设，推动布局建设同位素医药产业园，强化项目要素保障力度，加快推动项目落地生根。加大项目实施过程监管，定期开展项目绩效评估，确保项目按计划推进。鼓励项目承担单位加快科技成果产业化，提高项目对产业升级的支撑作用。</w:t>
      </w:r>
      <w:r>
        <w:rPr>
          <w:rFonts w:hint="eastAsia" w:ascii="Times New Roman" w:hAnsi="Times New Roman" w:eastAsia="仿宋_GB2312"/>
          <w:b w:val="0"/>
          <w:bCs w:val="0"/>
          <w:strike w:val="0"/>
          <w:dstrike w:val="0"/>
          <w:color w:val="000000" w:themeColor="text1"/>
          <w:sz w:val="32"/>
          <w:szCs w:val="32"/>
          <w:highlight w:val="none"/>
          <w:lang w:val="en-US" w:eastAsia="zh-CN"/>
          <w14:textFill>
            <w14:solidFill>
              <w14:schemeClr w14:val="tx1"/>
            </w14:solidFill>
          </w14:textFill>
        </w:rPr>
        <w:t>力争到2030年，</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申报各类省级科技创新项目50个以上</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p>
    <w:p w14:paraId="1F362910">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pPr>
      <w:bookmarkStart w:id="40" w:name="_Toc18568"/>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以双链融合激发产业新动能。</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坚持创新链与产业链深度协同，构建“科技突破—产业升级—人才汇聚”的正向循环，推动科技创新成果高效转化。搭建产学研融合桥梁，深化与清华大学、哈尔滨工业大学、山东大学、哈尔滨理工大学等高校科研院所的战略合作，精准匹配企业技术需求与高校科研成果。鼓励企业与高校科研院所联合开展关键核心技术攻关，建立“企业—高校—政府”协同创新机制，提高技术攻关的针对性和实效性。</w:t>
      </w:r>
    </w:p>
    <w:p w14:paraId="6376A05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6B2EA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231" w:type="dxa"/>
            <w:vAlign w:val="center"/>
          </w:tcPr>
          <w:p w14:paraId="739A2A25">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right="0"/>
              <w:jc w:val="center"/>
              <w:textAlignment w:val="auto"/>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专栏3.</w:t>
            </w:r>
            <w:r>
              <w:rPr>
                <w:rFonts w:hint="eastAsia" w:ascii="Times New Roman" w:hAnsi="Times New Roman" w:eastAsia="黑体" w:cs="黑体"/>
                <w:b w:val="0"/>
                <w:bCs w:val="0"/>
                <w:strike w:val="0"/>
                <w:dstrike w:val="0"/>
                <w:color w:val="000000" w:themeColor="text1"/>
                <w:kern w:val="21"/>
                <w:sz w:val="28"/>
                <w:szCs w:val="28"/>
                <w:highlight w:val="none"/>
                <w:lang w:val="en-US" w:eastAsia="zh-CN"/>
                <w14:textFill>
                  <w14:solidFill>
                    <w14:schemeClr w14:val="tx1"/>
                  </w14:solidFill>
                </w14:textFill>
              </w:rPr>
              <w:t>1</w:t>
            </w: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创新平台重点项目</w:t>
            </w:r>
          </w:p>
        </w:tc>
      </w:tr>
      <w:tr w14:paraId="2AA3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9231" w:type="dxa"/>
            <w:vAlign w:val="center"/>
          </w:tcPr>
          <w:p w14:paraId="2BF6234C">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w:t>
            </w:r>
            <w:r>
              <w:rPr>
                <w:rFonts w:hint="eastAsia" w:ascii="Times New Roman" w:hAnsi="Times New Roman" w:eastAsia="仿宋_GB2312" w:cs="Times New Roman"/>
                <w:b w:val="0"/>
                <w:bCs w:val="0"/>
                <w:strike w:val="0"/>
                <w:dstrike w:val="0"/>
                <w:color w:val="000000" w:themeColor="text1"/>
                <w:kern w:val="21"/>
                <w:sz w:val="24"/>
                <w:highlight w:val="none"/>
                <w14:textFill>
                  <w14:solidFill>
                    <w14:schemeClr w14:val="tx1"/>
                  </w14:solidFill>
                </w14:textFill>
              </w:rPr>
              <w:t>清华大学</w:t>
            </w: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荣成先进核能技术科研基地</w:t>
            </w:r>
          </w:p>
          <w:p w14:paraId="2DB4C331">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u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u w:val="none"/>
                <w:lang w:val="en-US" w:eastAsia="zh-CN"/>
                <w14:textFill>
                  <w14:solidFill>
                    <w14:schemeClr w14:val="tx1"/>
                  </w14:solidFill>
                </w14:textFill>
              </w:rPr>
              <w:t>2.山东省稀土磁功能材料及动力装置重点实验室</w:t>
            </w:r>
          </w:p>
        </w:tc>
      </w:tr>
    </w:tbl>
    <w:p w14:paraId="23DFFED7">
      <w:pPr>
        <w:pStyle w:val="33"/>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41" w:name="_Toc10911"/>
    </w:p>
    <w:p w14:paraId="1CDE03CA">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第二节 </w:t>
      </w:r>
      <w:bookmarkEnd w:id="40"/>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激活科技创新主体动能</w:t>
      </w:r>
      <w:bookmarkEnd w:id="41"/>
    </w:p>
    <w:p w14:paraId="7D6DDCE5">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pPr>
      <w:bookmarkStart w:id="42" w:name="_Toc13068"/>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壮大创新主体梯队。</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围绕</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“5+2”</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产业链发展需求，</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强化</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科技型中小企业</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高新技术企业</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梯次培育</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推动高新企业规上化、规上企业高新化，实现科技型企业量质齐升</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力争到2030年，规上高企占高企总量的比重达到58%以上</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培育一批“瞪羚”“专精特新”企业和制造业单项冠军。加快科技型中小企业创新能力提升，引导中小微企业走“专精特新”道路，引入股权投资支持方式，推动“三高一核心”中小企业发展壮大。</w:t>
      </w:r>
    </w:p>
    <w:p w14:paraId="5DB9BBE0">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激发企业研发活力。</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着力落实高新技术企业税收优惠、先进制造业企业增值税加计抵减等支持政策，</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巩固企业研发投入主体地位。聚焦高端装备与智能制造、海洋生物食品及医药、新能源、新材料等产业领域，</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整合高校院所、央企等科研资源，</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加大企业研发投入，</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大力开展多学科交叉创新研究，强化关键共性技术协同攻关</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全面提升</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科技</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创新对产业发展的支撑能力。</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聚焦基础零部件、基础元器件、基础材料、基础软件、基础工艺“五基”短板，扎实推进好首台套技术装备和核心零部件、首批次新材料、首版次软件“三首”工程。</w:t>
      </w:r>
    </w:p>
    <w:p w14:paraId="3A1AC791">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default"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强化知识产权保护与协同治理。</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实施专利导航强链增效工程，聚焦企业专利风险预警、创新研发等多元化需求，构建专利导航服务体系。深化政策宣讲与业务指导，提升知识产权复合型价值，筑牢高质量知识产权作为知识产权质押融资的基础性支撑作用，进一步增强知识产权增信增贷作用。推进知识产权强市建设，实施示范创建工程，引导</w:t>
      </w:r>
      <w:r>
        <w:rPr>
          <w:rFonts w:hint="default"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优势</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企业争创国家知识产权示范企业。加强知识产权保护，推动企业和创新主体加强知识产权风险管理能力，及时发现和应对知识产权侵权风险。力争到2030年，全市有效商标注册量突破1.1万件，高价值专利突破570件，万人有效发明专利拥有量突破22.5件。</w:t>
      </w:r>
    </w:p>
    <w:p w14:paraId="1E5A31C5">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43" w:name="_Toc25322"/>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第三节 </w:t>
      </w:r>
      <w:bookmarkEnd w:id="42"/>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深化科教才三位一体格局</w:t>
      </w:r>
      <w:bookmarkEnd w:id="43"/>
    </w:p>
    <w:p w14:paraId="7CB9E6AD">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精准汇聚高端智力资源。</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依托“新时代威海英才工程”“荣聚英才”计划</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，围绕高端装备与智能制造、海洋生物食品及医药、核电装备与新能源、高新材料等产业链重点领域</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引育高层次人才</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推动人才链、教育链、产业链、创新链一体化融合发展，积极推进荣成市人才引领县域高质量发展试点工作。</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完善柔性引才与自主培养并重的人才引育机制</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，探索</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市场化引才</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模式</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，构建</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平台引才+以才引才+活动引才</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三位一体的引才聚智体系</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引育</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高精尖缺</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人才</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产业领军人才、海外优秀人才等</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人才团队开展</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项目攻关</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发挥</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博士后平台</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引育人才作用，</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推动国家级博士后科研工作站、省级博士后创新实践</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基地</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提质增效，深化产学研协同育人，推动科研成果与产业需求对接</w:t>
      </w:r>
      <w:r>
        <w:rPr>
          <w:rFonts w:hint="eastAsia" w:ascii="Times New Roman" w:hAnsi="Times New Roman" w:eastAsia="仿宋_GB2312" w:cs="宋体"/>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14:textFill>
            <w14:solidFill>
              <w14:schemeClr w14:val="tx1"/>
            </w14:solidFill>
          </w14:textFill>
        </w:rPr>
        <w:t>争取到2030年</w:t>
      </w:r>
      <w:r>
        <w:rPr>
          <w:rFonts w:hint="eastAsia" w:ascii="Times New Roman" w:hAnsi="Times New Roman" w:eastAsia="仿宋_GB2312" w:cs="宋体"/>
          <w:b w:val="0"/>
          <w:bCs w:val="0"/>
          <w:strike w:val="0"/>
          <w:dstrike w:val="0"/>
          <w:color w:val="000000" w:themeColor="text1"/>
          <w:sz w:val="32"/>
          <w:szCs w:val="32"/>
          <w:highlight w:val="none"/>
          <w:lang w:val="en-US" w:eastAsia="zh-CN"/>
          <w14:textFill>
            <w14:solidFill>
              <w14:schemeClr w14:val="tx1"/>
            </w14:solidFill>
          </w14:textFill>
        </w:rPr>
        <w:t>，新增市级及以上</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高层次人才200人以上，招收博士后人才20人以上。</w:t>
      </w:r>
    </w:p>
    <w:p w14:paraId="6ED3721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多元强化本土人才支撑。</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大力弘扬企业家精神，营造鼓励企业家创新创业、激发市场主体活力的良好氛围。创新“双向流动”用才机制，推广“校招共用”“科技副总”“科技专员”“协同创新工程师”等引才用才机制，推动威海海洋职业学院、哈理工荣成学院等驻威高校面向全市现实需求开展教育改革，参与企业技术攻关与成果转化，促进教育科技人才一体化发展。引导驻威高校在数字经济、核能与核技术应用、现代制造、现代海洋等领域，开展“订单式”产教融合人才联合培养工作，为企业定向培养专业化技能人才。围绕人才发展需求搭建多元化培训平台，做好职业技能竞赛、专家讲堂、专业技术人才继续教育工作。争取到2030年，校企联合攻关项目达到50个以上。</w:t>
      </w:r>
    </w:p>
    <w:p w14:paraId="3944E07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营造近悦远来人才环境。</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持续实施</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荣归故里</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计划，倡导</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城市合伙人</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理念，强化引才政策宣介，带动人才聚荣创新创业。</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深入开展</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人才摸查对接，充实“荣归故里”人才数据库。高标准、实效性地组织实施好“荣成企业家日（荣成人才日）”“金点子”献策、产业推介会等活动，发挥好“荣归故里城”“镇街会客厅”等阵地作用，引导人才以实际行动助力荣成发展，引进落地一批规模体量大、科技含量高、带动能力强的产业项目。</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强化全周期</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服务</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保障，</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为高层次人才选优配齐服务专员，畅通交通出行、医疗保健</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、配偶就业</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等</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绿色通道</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统筹解决创业融资、政务服务、政策申领和生活保障等问题，提升人才服务质效。加强人才服务市场化、社会化探索，提供多元化、个性化人才服务，集聚更多人才来荣创新创业。</w:t>
      </w:r>
      <w:bookmarkStart w:id="44" w:name="_Toc19851"/>
    </w:p>
    <w:p w14:paraId="705FA1B4">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45" w:name="_Toc27378"/>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第四节 </w:t>
      </w:r>
      <w:bookmarkEnd w:id="44"/>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打造一流科技创新生态</w:t>
      </w:r>
      <w:bookmarkEnd w:id="45"/>
    </w:p>
    <w:p w14:paraId="319922A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楷体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健全成果转化机制。</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联动山东科技大市场、山东科技成果转化服务平台，深入挖掘校地合作平台优质成果，引导企业与高校院所共同凝练海洋碳汇、智能养殖、核电装备等领域成果，申报</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“山东好成果”。加快科技成果转化中试基地建设，鼓励各类园区、高校院所、骨干企业建设中试示范基地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，加快</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推动科技</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成果从实验室到生产线的转化速度。</w:t>
      </w:r>
    </w:p>
    <w:p w14:paraId="373DAFD8">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强化金融支撑保障。</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聚焦科技型企业“融资难”“融资贵”问题，发挥金融服务体系作用，实施鲁科贷、人才贷、知识产权抵押等系列融资惠企政策，</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降低企业</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融资门槛与成本，为科技型中小企业提供信贷支持。重点对接上级政策，为企业引入天使投资、创业贷款等资金支持，缓解初创期资金压力。</w:t>
      </w:r>
    </w:p>
    <w:p w14:paraId="4311E289">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延展科技合作渠道。</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发挥国际科技合作基地、离岸创新创业基地等平台作用，打造资源共享、高效运行的合作创新载体，</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助力企业创新发展。</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加强与省内外高校、科研院所在人才、技术、平台、项目等方面的产学研合作，构建资源优势互补、关键技术联合攻关、产业配套衔接的创新链。以威海市建设中日韩创新合作中心威海基地为契机，</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组织企业参与中东欧高价值成果创新合作大会、中韩科技创新合作大会等交流活动，</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挖掘前沿技术、高层次人才资源。</w:t>
      </w:r>
    </w:p>
    <w:p w14:paraId="53CF54C3">
      <w:pPr>
        <w:keepNext w:val="0"/>
        <w:keepLines w:val="0"/>
        <w:pageBreakBefore w:val="0"/>
        <w:widowControl w:val="0"/>
        <w:kinsoku/>
        <w:wordWrap/>
        <w:overflowPunct w:val="0"/>
        <w:topLinePunct w:val="0"/>
        <w:autoSpaceDE/>
        <w:autoSpaceDN/>
        <w:bidi w:val="0"/>
        <w:spacing w:line="560" w:lineRule="exact"/>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br w:type="page"/>
      </w:r>
    </w:p>
    <w:p w14:paraId="2DB6624A">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eastAsia="方正小标宋简体"/>
          <w:b w:val="0"/>
          <w:bCs w:val="0"/>
          <w:strike w:val="0"/>
          <w:dstrike w:val="0"/>
          <w:color w:val="000000" w:themeColor="text1"/>
          <w:highlight w:val="none"/>
          <w:lang w:eastAsia="zh-CN"/>
          <w14:textFill>
            <w14:solidFill>
              <w14:schemeClr w14:val="tx1"/>
            </w14:solidFill>
          </w14:textFill>
        </w:rPr>
      </w:pPr>
      <w:bookmarkStart w:id="46" w:name="_Toc13907"/>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第四章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推动</w:t>
      </w:r>
      <w:r>
        <w:rPr>
          <w:rFonts w:hint="eastAsia" w:ascii="Times New Roman" w:hAnsi="Times New Roman"/>
          <w:b w:val="0"/>
          <w:bCs w:val="0"/>
          <w:strike w:val="0"/>
          <w:dstrike w:val="0"/>
          <w:color w:val="000000" w:themeColor="text1"/>
          <w:highlight w:val="none"/>
          <w:u w:val="none"/>
          <w14:textFill>
            <w14:solidFill>
              <w14:schemeClr w14:val="tx1"/>
            </w14:solidFill>
          </w14:textFill>
        </w:rPr>
        <w:t>实数</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深度融合，激发数字经济</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创新活力</w:t>
      </w:r>
      <w:bookmarkEnd w:id="46"/>
    </w:p>
    <w:p w14:paraId="5B969511">
      <w:pPr>
        <w:keepNext w:val="0"/>
        <w:keepLines w:val="0"/>
        <w:pageBreakBefore w:val="0"/>
        <w:widowControl w:val="0"/>
        <w:kinsoku/>
        <w:wordWrap/>
        <w:overflowPunct w:val="0"/>
        <w:topLinePunct w:val="0"/>
        <w:autoSpaceDE/>
        <w:autoSpaceDN/>
        <w:bidi w:val="0"/>
        <w:spacing w:line="574" w:lineRule="exact"/>
        <w:ind w:firstLine="640"/>
        <w:textAlignment w:val="auto"/>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t>紧密结合省及威海市数字化发展方向，充分发挥数字技术在促进产业协同、助力城市发展中的放大、叠加、倍增效应，稳步推进全市“数字产业化、产业数字化、数据价值化、治理服务数字化”，加快城市数字化转型。</w:t>
      </w:r>
    </w:p>
    <w:p w14:paraId="3A6AD713">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14:textFill>
            <w14:solidFill>
              <w14:schemeClr w14:val="tx1"/>
            </w14:solidFill>
          </w14:textFill>
        </w:rPr>
      </w:pPr>
      <w:bookmarkStart w:id="47" w:name="_Toc1846"/>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第一节 夯实数字产业化根基</w:t>
      </w:r>
      <w:bookmarkEnd w:id="47"/>
    </w:p>
    <w:p w14:paraId="2951DAF3">
      <w:pPr>
        <w:pStyle w:val="7"/>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壮大数字经济核心产业。</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加速新一代信息技术产业升级，重点攻坚集成电路与消费电子两大方向，着力构建自主可控、协同高效、更具竞争优势的产业集群。把握消费电子领域产品终端微型化、集成化、智能化发展趋势，依托龙头企业智能产线建设，大力发展新一代智能整机、智能穿戴设备、虚拟现实产品和智能家居系统，加快构建从核心元器件到整机集成的垂直整合能力，打造形成以智能硬件为牵引的数字消费生态体系。坚持集成电路领域全产业链布局与关键环节突破并重，聚焦传感器、功率半导体和第三代半导体材料等战略方向，加快建设集芯片设计、封装测试及装备配套于一体的产业体系，鼓励龙头企业提升核心芯片设计能力、关键封测制造水平和高端检测装备自主化率，推动建设区域性功率半导体中试平台和封测基地，力争到2030年，实现功率模组产能百万级突破，培育进入国内前列的本土领军企业。</w:t>
      </w:r>
    </w:p>
    <w:p w14:paraId="7475718B">
      <w:pPr>
        <w:pStyle w:val="7"/>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p>
    <w:tbl>
      <w:tblPr>
        <w:tblStyle w:val="19"/>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73FE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1" w:type="dxa"/>
          </w:tcPr>
          <w:p w14:paraId="39C6AE29">
            <w:pPr>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560" w:lineRule="exact"/>
              <w:ind w:left="0" w:right="0"/>
              <w:jc w:val="center"/>
              <w:textAlignment w:val="auto"/>
              <w:rPr>
                <w:rFonts w:hint="default" w:ascii="Times New Roman" w:hAnsi="Times New Roman" w:eastAsia="仿宋_GB2312" w:cs="Times New Roman"/>
                <w:b w:val="0"/>
                <w:bCs w:val="0"/>
                <w:strike w:val="0"/>
                <w:dstrike w:val="0"/>
                <w:color w:val="000000" w:themeColor="text1"/>
                <w:kern w:val="2"/>
                <w:sz w:val="32"/>
                <w:szCs w:val="32"/>
                <w:highlight w:val="none"/>
                <w:u w:val="none"/>
                <w:vertAlign w:val="baseline"/>
                <w:lang w:val="en-US" w:eastAsia="zh-CN" w:bidi="ar-SA"/>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lang w:val="en-US" w:eastAsia="zh-CN"/>
                <w14:textFill>
                  <w14:solidFill>
                    <w14:schemeClr w14:val="tx1"/>
                  </w14:solidFill>
                </w14:textFill>
              </w:rPr>
              <w:t>专栏4.1</w:t>
            </w: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数字经济重点项目</w:t>
            </w:r>
          </w:p>
        </w:tc>
      </w:tr>
      <w:tr w14:paraId="33EE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31" w:type="dxa"/>
          </w:tcPr>
          <w:p w14:paraId="2B847E1F">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bookmarkStart w:id="48" w:name="_OfficeAISelectedParaphsRangeStart"/>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歌尔科技高端智能主机及精密零组件产品项目</w:t>
            </w:r>
          </w:p>
          <w:p w14:paraId="31CDEB37">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2.歌尔微电子微型功能传感器件及模组产业化项目</w:t>
            </w:r>
            <w:bookmarkEnd w:id="48"/>
          </w:p>
          <w:p w14:paraId="76C60B27">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3.芯长征新能源汽车及光伏功率模组扩产项目</w:t>
            </w:r>
          </w:p>
          <w:p w14:paraId="15B0C3EC">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
                <w:sz w:val="28"/>
                <w:szCs w:val="28"/>
                <w:highlight w:val="none"/>
                <w:u w:val="none"/>
                <w:vertAlign w:val="baseline"/>
                <w:lang w:val="en-US" w:eastAsia="zh-CN" w:bidi="ar-SA"/>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4.阅微电子科技（山东）有限公司电子信息产业链项目</w:t>
            </w:r>
          </w:p>
        </w:tc>
      </w:tr>
    </w:tbl>
    <w:p w14:paraId="1780AF66">
      <w:pPr>
        <w:pStyle w:val="7"/>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p>
    <w:p w14:paraId="319B5B0C">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强化数字产业载体建设。</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聚焦数字制造、数字应用、数字服务等数字经济主要产业，充分发挥产业园区承载赋能作用，打造具有影响力的数字产业集群。数字制造领域，以荣成电子信息产业园为依托，充分发挥歌尔科技在电子信息领域的技术、人才积累优势，加快推进新一代信息技术产业发展聚集，提高“厂中厂”配套项目入园率，打造国内重要的智能器件及消费类电子智能产品研发制造高地。数字应用领域，加快新材料与智能制造产业园、智慧房车装备产业园建设，推动数字化技术在碳纤维高端装备、房车新能源等领域应用，做强康派斯与海尔卡奥斯COSMOPlat工业互联网平台，构建“整车制造+核心部件+数字平台”的全产业链生态。数字服务领域，围绕AI大模型、元宇宙等前沿产业，依托数字经济产业园，通过创新专业运营机制、加快设施提质扩容，精准遴选优质合作伙伴，提质招引优质项目，力争“十五五”期间，每年招引项目5个以上，洽谈储备优质企业100家以上，园区企业营收年均增长15%以上。</w:t>
      </w:r>
    </w:p>
    <w:p w14:paraId="76ABF74D">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夯实数字基础设施底座。</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持续推动数字新基建，努力打造智能融合的城市数字基础设施体系，提升城市核心竞争力。</w:t>
      </w:r>
      <w:bookmarkStart w:id="49" w:name="_Toc22675"/>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构建高速泛在通信网络，分阶段推进5G基站建设，并推动5G与卫星、地面网络协同，到2030年，力争建成5G基站3000个，新建基站共建共享比例达到95%以上。加快千兆光纤网络普及，面向家庭、企业、园区推动深度覆盖，持续提升网络接入速率与服务质量，降低千兆宽带使用门槛，到2030年，千兆光纤用户数量增长120%。谋划布局算力基础设施，坚持需求牵引、应用导向，加强通用算力、智能算力等多样化算力优化部署，着力提升本地算力供给能力，有力支撑数字经济发展。深入推进IPv6（互联网协议第6版）规模化部署，全面提升网络性能和服务质量，实现政务、教育、医疗等重点领域深度应用</w:t>
      </w:r>
      <w:bookmarkEnd w:id="49"/>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，力争到2030年，全市IPv6活跃用户占比达到90%以上。</w:t>
      </w:r>
    </w:p>
    <w:p w14:paraId="32C1DF15">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50" w:name="_Toc9001"/>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第二节 推进产业数字化转型</w:t>
      </w:r>
      <w:bookmarkEnd w:id="50"/>
    </w:p>
    <w:p w14:paraId="5782E9C7">
      <w:pPr>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推进工业数字化创新升级。</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以新一代信息技术与制造业融合发展为赋能主线，聚焦制造业重点行业和产业链数字化转型需求，加快打造标杆企业、示范行业、样板片区一体格局。推进数字化转型标杆示范工程，重点推动浦林成山、康派斯、歌尔科技等链主企业分类建设国家卓越级智能工厂、“数字领航”企业、5G工厂。深入探索工业互联网和工业大数据创新应用，形成较为完善的覆盖行业级、企业级的工业互联网平台体系和“产业大脑+晨星工厂”的工业大数据体系。到2030年，培育40个以上省级以上智能制造典型应用场景和工业互联网平台，60家以上数字经济“晨星工厂”，建成省级人工智能大模型典型应用场景5个以上。持续开展工业领域数转智改，重点关注关键领域和产业链关键环节中小企业数字化转型需求，积极融入全省“工赋山东”“工赋百景”活动，通过政策引导、技术支持和服务保障，助力降低中小企业数字化改造成本，确保规上工业中小企业“应改尽改”、规下工业中小企业“愿改尽改”。力争到2030年，实现2条标志性产业链、4个特色产业集群整体数字化转型全覆盖，规模以上工业企业数字化深度转型率达到55%以上。</w:t>
      </w:r>
    </w:p>
    <w:p w14:paraId="2E7B1846">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扩大农业数字化应用规模。</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聚焦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规模化发展、标准化生产、数字化引领、品牌化赋能</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，加快推进大数据、人工智能等技术在农业生产中的集成应用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，以数字化转型带动农民增收致富</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引导龙头企业</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围绕苹果、无花果、甘薯等特色优势产业</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先行试点</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探索</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云端种地、AI务农</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新模式</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实施产业数字化提升行动，加快构建现代数字化农业管理体系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优化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特色</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产业大数据平台，实现生产条件精准动态把控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聚焦推动农产品优质优价，健全产地数字分选体系，推广智能化分选设备，实现多维度精准分级，推动农产品由</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统货混销</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分级定价、精品上市</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转型</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力争到2030年，全市农产品数字化分选能力达到10万吨以上，打造数字化农业应用场景5个以上。</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增设智慧化农业生产设施，围绕粮油作物、特色农业规模化种植，大力发展</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农用植保无人机、辅助驾驶设备</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等</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智慧农机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，丰富无人化农业生产场景。</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力争到2030年，北斗农机自动驾驶系统、植保无人机等数字农机总量达到800台，全市农作物耕种收综合机械化率达到97.5%以上。</w:t>
      </w:r>
    </w:p>
    <w:p w14:paraId="23B85CFB">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提升海洋数字化技术运用。</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立足海洋经济优势，加快海洋产业数字化转型，释放海洋经济活力和发展潜力。引导种业企业开展“设施工厂化、数字智能化”改造，推广陆基标准化、工厂化循环水养殖集成技术，通过养殖全周期智能化、信息化，促进良种研发繁育，到2030年，省级良种场配套数字化管控系统达到90%以上。持续推进深远海养殖设施智慧化建设，利用物联网、大数据等技术，推动环境监测、生长监测等关键环节智能化控制，到2030年，实现深远海大型养殖设施“无人渔场”建设全覆盖。强化数字监控平台融合应用，加快智慧渔港建设，推进涉海视频资源及数据系统集成，并通过安装渔船自动报警设施以及AIS自动识别终端，实现渔船作业全过程监管，进一步提升涉海管理、海洋防灾、资源调度智能决策水平，力争到2030年，全市“纳管”养殖渔船定位终端安装率、远洋渔船电子渔捞日志安装率达到100%。推进海产品加工数字化建设，引导海带、鲍鱼、海参、鱿鱼等主要水产品企业开展工艺与设备自动化改造，力争到2030年，实现海带自动切割、鲍鱼智能分拣、海参流水线加工等技术的研发推广。</w:t>
      </w:r>
    </w:p>
    <w:p w14:paraId="6BD43B6D">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强化文旅数字化服务建设。</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围绕文旅融合高质量发展，以数字技术重塑“吃住行游购娱”全链条体验与服务，打造智慧文旅新生态。以“乐游荣成”项目为载体，科学规划并适时增设智慧服务设施设备，精准对接游客游览、消费等场景需求，深度整合全市文旅资源，积极拓展合作渠道，导入更多特色游玩项目、优质文创产品和购物资源，丰富平台服务内容，为游客提供更全面、多元的文旅消费选择。加大数字体验项目招商力度，重点围绕那香海等核心景区，加快谋划并落地一批沉浸式、互动式数字文旅项目，通过技术赋能完善景区功能，丰富消费场景，为景区长远发展注入持续动力。力争到2030年，实现重点景区智慧化改造全覆盖，线上平台服务游客突破1000万人次。</w:t>
      </w:r>
    </w:p>
    <w:p w14:paraId="7A5CA9E7">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bookmarkStart w:id="51" w:name="_Toc27753"/>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第三节 加速数据价值化进程</w:t>
      </w:r>
      <w:bookmarkEnd w:id="51"/>
    </w:p>
    <w:p w14:paraId="109DB7C3">
      <w:pPr>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加强数据高质量供给。</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建立覆盖数据采集、汇聚、治理全生命周期的质量管理体系，开展数据资源调查，推行数据规范深度治理，实行“一数一源一标准”原则，确保数据完整性、准确性与时效性。研究完善数据产权、流通交易、收益分配等制度规范，聚焦工业制造、现代农业、海洋发展等领域，加快高质量数据集和数据资产化建设，力争到2030年，打造高质量数据集10个以上，完成5家以上重点企业数据资产入表，推动形成机制顺畅、高效合规、创新活跃的数据要素市场体系。</w:t>
      </w:r>
    </w:p>
    <w:p w14:paraId="7E4BB6BB">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强化数据共享开放。</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健全完善公共数据资源分级分类管理制度，优化供需对接机制，精准制定数据供需、数据开放“双清单”，加快推动市场监管、医疗健康、交通运输、生态环境、空间地理等高价值数据“应归尽归”、合规合法开放。鼓励引导行业龙头企业搭建跨行业、跨领域可信数据空间，建设行业特色数据交易平台，采用标准互认、技术兼容的架构，确保数据流转可控可溯，努力培育一批数据服务商和第三方专业机构，提升数据流通和交易全流程服务能力。力争到2030年，全市数据资源归集量增长一倍以上，公共数据开放率不低于99%。</w:t>
      </w:r>
    </w:p>
    <w:p w14:paraId="58418043">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加快数据创新应用。</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依托上级公共数据授权运营平台，构建覆盖数据全生命周期的运营体系，探索通过“整体授权+分领域授权+依场景授权”的运营模式，分类推进全市公共数据授权运营。到2030年，全市公共数据授权运营机制基本完善，数据交易产品达到5个以上。聚焦城市治理、民生服务、产业发展等重点领域，持续开展“数据要素×”专项行动，围绕社会治理、政务服务、智慧农业、智慧海洋等方面打造一批“数据要素×”创新场景，通过探索更多数据要素价值化新模式、新路径，持续推动数据创新应用，力争到2030年，打造5个以上数字化典型应用场景。</w:t>
      </w:r>
      <w:bookmarkStart w:id="52" w:name="_Toc7826"/>
    </w:p>
    <w:p w14:paraId="51D5ED25">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第四节 深化治理服务数字化</w:t>
      </w:r>
      <w:bookmarkEnd w:id="52"/>
    </w:p>
    <w:p w14:paraId="61E4369F">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坚持政府引领的数字化建设总格局。</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完善组织机制，按照“政府引领、部门协同、领域协作”的原则，建立健全数字荣成建设推进机制，统筹协调推进全市数字化建设，引导带动数字化发展由政府引领到社会治理服务普及应用的延伸拓展，逐步形成由点连线成面的数字化发展格局。科学规划布局，坚持“一体规划、巩固基础、提升应用、统筹实施”的思路，优化完善我市数字化建设管理运行体系，按照“市级总平台+行业分平台”的模式，系统构建全域覆盖、层级贯通的数字治理网络，通过不断推进各行业领域平台系统的级联对接和数据汇聚共享，打造一体云计算服务、一个大数据平台支撑、一个“城市大脑”统揽、N个行业领域应用的“1+1+1+N”布局架构，实现城市运行状态智能感知、政务服务贯通协同、社会治理精准高效。</w:t>
      </w:r>
    </w:p>
    <w:p w14:paraId="6BA05F92">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打造高效协同的政府治理新体系。</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加快推进数字政府建设，完善一体化大数据平台功能，推动高频数据直达基层，实现基层数据“一表通”全覆盖，构建基层治理智能应用体系。发挥“爱山东”政务服务平台作用，探索人工智能大模型在市场准入、投资建设等政务服务重点领域应用，通过建设全流程人工智能服务体系，积极拓展智能问答、智能检索、智能填报等应用场景，打造“智慧、协同、高效、安全”的AI政务新模式。持续优化事项申报流程，打造更多荣成特色“高效办成一件事”服务场景，到2030年，实现政务服务事项网办率99%以上、全程网办率95%以上。深化“无证明城市”建设，持续推广电子证照证明全领域应用，力争到2030年，打造10个以上“无证明”应用场景，实现95%以上高频政务服务事项“免证即办”。</w:t>
      </w:r>
    </w:p>
    <w:p w14:paraId="4076E888">
      <w:pPr>
        <w:pStyle w:val="7"/>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构筑普惠便捷的社会服务新模式。</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增强城市综合感知服务能力，健全完善城市建设、应急管理、社会治安、自然资源、交通运输等领域数字化服务体系，持续推进“透明城市”“雪亮工程”建设，不断丰富城市全息感知体系，进一步提升社会治理服务智慧化、数字化水平。打造更加丰富多元的数字惠民应用，聚焦群众在教育、医疗、养老、行政审批、交通出行等领域中遇到的“难点”“痛点”“堵点”，持续推动以数据融通为牵引的“小切口”应用场景建设，不断扩展完善惠民便民服务内容，力争到2030年，在智慧教育、智慧医疗、智慧养老、智慧文旅、智慧交通等领域形成一批可感可及的应用成果，进一步提升群众获得感和体验感。</w:t>
      </w:r>
      <w:r>
        <w:rPr>
          <w:rFonts w:hint="eastAsia" w:ascii="Times New Roman" w:hAnsi="Times New Roman"/>
          <w:b w:val="0"/>
          <w:bCs w:val="0"/>
          <w:strike w:val="0"/>
          <w:dstrike w:val="0"/>
          <w:color w:val="000000" w:themeColor="text1"/>
          <w:highlight w:val="none"/>
          <w:u w:val="none"/>
          <w14:textFill>
            <w14:solidFill>
              <w14:schemeClr w14:val="tx1"/>
            </w14:solidFill>
          </w14:textFill>
        </w:rPr>
        <w:br w:type="page"/>
      </w:r>
    </w:p>
    <w:p w14:paraId="40A00D8E">
      <w:pPr>
        <w:pStyle w:val="31"/>
        <w:keepNext w:val="0"/>
        <w:keepLines w:val="0"/>
        <w:pageBreakBefore w:val="0"/>
        <w:widowControl w:val="0"/>
        <w:kinsoku/>
        <w:wordWrap/>
        <w:overflowPunct w:val="0"/>
        <w:topLinePunct w:val="0"/>
        <w:autoSpaceDE/>
        <w:autoSpaceDN/>
        <w:bidi w:val="0"/>
        <w:adjustRightInd w:val="0"/>
        <w:snapToGrid w:val="0"/>
        <w:spacing w:before="0" w:beforeLines="0" w:after="0" w:afterLines="0" w:line="574" w:lineRule="exact"/>
        <w:jc w:val="center"/>
        <w:textAlignment w:val="auto"/>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pPr>
      <w:bookmarkStart w:id="53" w:name="_Toc28364"/>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五章  推进海洋强市建设，打造现代海洋</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经济发展高地</w:t>
      </w:r>
      <w:bookmarkEnd w:id="53"/>
    </w:p>
    <w:p w14:paraId="16613DDF">
      <w:pPr>
        <w:pStyle w:val="31"/>
        <w:keepNext w:val="0"/>
        <w:keepLines w:val="0"/>
        <w:pageBreakBefore w:val="0"/>
        <w:widowControl w:val="0"/>
        <w:kinsoku/>
        <w:wordWrap/>
        <w:overflowPunct w:val="0"/>
        <w:topLinePunct w:val="0"/>
        <w:autoSpaceDE/>
        <w:autoSpaceDN/>
        <w:bidi w:val="0"/>
        <w:adjustRightInd w:val="0"/>
        <w:snapToGrid w:val="0"/>
        <w:spacing w:before="0" w:beforeLines="0" w:after="0" w:afterLines="0" w:line="574" w:lineRule="exact"/>
        <w:jc w:val="center"/>
        <w:textAlignment w:val="auto"/>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pPr>
    </w:p>
    <w:p w14:paraId="7DA834A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14:ligatures w14:val="none"/>
        </w:rPr>
        <w:t>聚焦</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突破发展海洋经济，贯彻</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科技兴海、产业强海、生态护海、开放活海</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工作导向，用足用好优势海洋岸线资源，科学构建现代海洋产业体系，全力</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推动</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现代海洋经济高质量发展。</w:t>
      </w:r>
    </w:p>
    <w:p w14:paraId="4DE79462">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54" w:name="_Toc22704"/>
      <w:bookmarkStart w:id="55" w:name="_Toc21440"/>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 激</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活</w:t>
      </w:r>
      <w:r>
        <w:rPr>
          <w:rFonts w:hint="eastAsia" w:ascii="Times New Roman" w:hAnsi="Times New Roman"/>
          <w:b w:val="0"/>
          <w:bCs w:val="0"/>
          <w:strike w:val="0"/>
          <w:dstrike w:val="0"/>
          <w:color w:val="000000" w:themeColor="text1"/>
          <w:highlight w:val="none"/>
          <w:u w:val="none"/>
          <w14:textFill>
            <w14:solidFill>
              <w14:schemeClr w14:val="tx1"/>
            </w14:solidFill>
          </w14:textFill>
        </w:rPr>
        <w:t>海洋产业发展潜力</w:t>
      </w:r>
      <w:bookmarkEnd w:id="54"/>
      <w:bookmarkEnd w:id="55"/>
    </w:p>
    <w:p w14:paraId="6857ED27">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坚持海洋科技创新驱动。</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实施</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海洋种业创新</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行动</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，系统整合创新资源要素，聚焦种质资源创新、优良品种培育任务，持续加大研发投入，聚力技术攻关，着力提升贝藻参等优势海洋种业竞争力。</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力争</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到2030年</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定向培育3个以上优质、高产、抗逆、抗病的优良品种（系）；以海参、牡蛎、海带等特色水产</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品</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为原料，开发高附加值功能性产品3</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4个。持续优化北部鲆鲽类、中部贝藻类、南部海参类三大苗种产业园区功能布局，完善基础设施配套，加快传统优势品种提质与特色品种培育，不断丰富种业产品供给，力争到2030年，全市水产良种覆盖率</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突破</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80%，海洋种业年产能突破220亿单位。聚焦海水养殖与捕捞技术创新，开展深远海养殖环境监测、智能化投喂、病害绿色防控等关键技术攻关，研发适配荣成海域特点的养殖环境实时监测系统和智能管控装备，构建</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监测</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预警</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调控</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一体化海水养殖技术体系</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加快海洋捕捞技术升级，研发高效节能捕捞装备、渔获保鲜储运技术，推动捕捞作业精细化、绿色化转型。</w:t>
      </w:r>
    </w:p>
    <w:p w14:paraId="748E0A6D">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推动海洋一产转型提升。</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聚焦深蓝智慧养殖空间拓展，统筹实施深海养殖装备示范工程，探索三倍体虹鳟</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陆地</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远海</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接力养殖模式，加快</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渔机2号</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养殖工船等平台研发，试点开</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展马</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面鲀规模化深远海智能网箱养殖，</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做</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大深远海养殖规模。推广环保塑胶等</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新型材料，加快养殖渔船绿色改造，普及绿色低碳养殖设施，</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力争</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2030年，全市深远海养殖水体超15万立方米。规范提升海洋捕捞产业，推进近海渔船减船转产，</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压减或更新改造近海捕捞渔船100艘，推广新材料养殖渔船1000艘以上。</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鼓励</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企业挺进深蓝，加快鱿钓船等低端船型改造，大力开拓新渔场，布局建设远洋渔业海外基地，推动远洋捕捞拓围发展。力争到2030</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建成大型竹荚鱼拖网加工船2艘、大型金枪鱼围网船2艘，南极磷虾产业园建成投用。</w:t>
      </w:r>
    </w:p>
    <w:p w14:paraId="61235A7A">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强化海洋二产创新引领。</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系统谋划海洋食品、海洋生物科技产业布局，强化涉海科技企业培育，</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力争到2030</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新增涉海创新平台3个。加快推进产业数字化转型与智能化改造，</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鼓励</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龙头企业搭建海洋食品工业互联网平台，深化大数据、人工智能技术集成应用，打通养殖、加工、物流、销售等全流程数据通道，促进产业协同研发、柔性生产，力争到</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14:ligatures w14:val="none"/>
        </w:rPr>
        <w:t>2030</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年</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全市规模以上海洋食品加工企业数字化转型覆盖率超过70%。聚焦海洋多糖、蛋白及功能脂类等海洋特色，加力推进海洋生物医药与保健品研发，引导企业生产高端海洋生物酶制剂、微生物制品、化妆品等高附加值制品，全面提升海洋二产创新活力。</w:t>
      </w:r>
    </w:p>
    <w:p w14:paraId="7D2A8D41">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加快海洋三产体系构建。</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聚焦滨海旅游、港口物流、海洋信息服务</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等重点领域</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加速构建协同高效的现代海洋服务体系。深入挖掘海洋文化、渔家文化等特色资源，研究开发海洋主题演艺、海洋科普研学、渔村风情体验等多样化体验项目，加快推进滨海旅游度假综合体建设，推动旅游流量转化为消费增量。以石岛港、龙眼港为核心，进一步完善港口集疏运体系，搭建智慧港口物流平台，持续拓展航线覆盖范围，强化中西部地区对接合作，谋划内陆无水港建设布局，打造东北亚地区重要航运枢纽。深入</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推进智慧海洋大数据中心建设，</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系统整合海洋环境监测、海洋资源管理、海洋气象预报等多领域数据资源，构建统一的数据共享平台，精准提供海洋信息服务。围绕</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渔业生产、远洋运输、生态保护、海上交通、应急救援</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防灾减灾等关键领域，</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全面</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提升海洋气象精准</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预报</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能力，积极培育海洋卫星应用产业，拓展智慧旅游、智能养殖、智能船舶、智慧风电运维等高端应用服务场景，</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积极</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打造具有区域示范效应的</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数字海洋</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产业集聚区。</w:t>
      </w:r>
    </w:p>
    <w:p w14:paraId="1F3FBB05">
      <w:pPr>
        <w:keepNext w:val="0"/>
        <w:keepLines w:val="0"/>
        <w:pageBreakBefore w:val="0"/>
        <w:widowControl w:val="0"/>
        <w:kinsoku/>
        <w:wordWrap/>
        <w:overflowPunct w:val="0"/>
        <w:topLinePunct w:val="0"/>
        <w:autoSpaceDE/>
        <w:autoSpaceDN/>
        <w:bidi w:val="0"/>
        <w:adjustRightInd/>
        <w:snapToGrid/>
        <w:spacing w:line="574" w:lineRule="exact"/>
        <w:ind w:firstLine="707" w:firstLineChars="221"/>
        <w:textAlignment w:val="auto"/>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做强涉海五个园区承载功能。</w:t>
      </w:r>
      <w:bookmarkStart w:id="56" w:name="_Toc32526"/>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立足</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平台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载体功能，充分发挥五个涉海园区叠加效应，</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坚持“在产业定位上各有侧重、在功能布局上深度融合”的发展理念，推动</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资源吸附、产业孵化与要素配置</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相互融合</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，形成</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分工明确、关联紧密、资源共享、效益倍增</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的发展格局</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打造特色鲜明、创新驱动、绿色低碳的海洋产业发展示范区。锚定国家农业高新技术产业示范区创建目标，以科技创新为核心引擎赋能现代海洋产业转型升级，建立健全大宗、优势海产品精深加工技术体系，打造区域海洋经济高质量发展的示范样板。</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提速建设国家</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级</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沿海渔港经济区，聚焦基础设施升级与智慧管理赋能，实施石岛中心渔港、沙窝岛中心渔港等5个渔港提升工程</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，建设一体化智慧渔港管理平台</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，打造</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智慧、绿色、产业、平安</w:t>
      </w:r>
      <w:r>
        <w:rPr>
          <w:rFonts w:hint="eastAsia"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四型渔港示范标杆。</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提能</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建设</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沙窝岛</w:t>
      </w:r>
      <w:r>
        <w:rPr>
          <w:rFonts w:hint="default" w:ascii="Times New Roman" w:hAnsi="Times New Roman" w:eastAsia="仿宋_GB2312" w:cs="Times New Roman"/>
          <w:b w:val="0"/>
          <w:bCs w:val="0"/>
          <w:color w:val="000000" w:themeColor="text1"/>
          <w:sz w:val="32"/>
          <w:szCs w:val="32"/>
          <w:highlight w:val="none"/>
          <w14:textFill>
            <w14:solidFill>
              <w14:schemeClr w14:val="tx1"/>
            </w14:solidFill>
          </w14:textFill>
        </w:rPr>
        <w:t>远洋渔业基地</w:t>
      </w:r>
      <w:r>
        <w:rPr>
          <w:rFonts w:hint="default" w:ascii="Times New Roman" w:hAnsi="Times New Roman" w:eastAsia="仿宋_GB2312" w:cs="Times New Roman"/>
          <w:b w:val="0"/>
          <w:bCs w:val="0"/>
          <w:color w:val="000000" w:themeColor="text1"/>
          <w:sz w:val="32"/>
          <w:szCs w:val="32"/>
          <w:highlight w:val="none"/>
          <w:lang w:eastAsia="zh-CN"/>
          <w14:textFill>
            <w14:solidFill>
              <w14:schemeClr w14:val="tx1"/>
            </w14:solidFill>
          </w14:textFill>
        </w:rPr>
        <w:t>，强化政策集成与要素集聚，支持远洋基地全链条升级，</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推动海外渔业基地建设、远洋渔船更新换代、船厂与港区升级改造、金枪鱼及三文鱼精深加工等重点项目落地，加快构建</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远洋捕捞</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渔港贸易</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精深加工</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交易集散</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综合服务</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一体化协同发展格局。</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力争</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到2030年，基地总营业收入较</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十四五</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末实现翻一番，年水产品卸港量突破50万吨，交易额超过100亿元。</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深度融入鲁陕藏和东部沿海冷链物流大通道，</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提规建设国家骨干冷链物流基地，以基础设施扩容和数字平台建设为双驱动，</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推动铭晖食品海鲜预制菜全产业链基地、广汇生物智能冷库等冷链项目建设，力争到2030年</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新增冷库库容50万吨以上，建成覆盖冷链物流全生命周期的数字化运营管理平台</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加快推进石岛国际冷链物流产业园建设，实施石岛渔港冷链物流平台等项目，整合多元化海产品信息渠道，深化与省内大型商超合作，拓展营销网络，提升</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石岛冷链</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default"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品牌影响力。</w:t>
      </w:r>
    </w:p>
    <w:p w14:paraId="36CABF3A">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57" w:name="_Toc7992"/>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第二节 </w:t>
      </w:r>
      <w:bookmarkEnd w:id="56"/>
      <w:r>
        <w:rPr>
          <w:rFonts w:hint="eastAsia" w:ascii="Times New Roman" w:hAnsi="Times New Roman"/>
          <w:b w:val="0"/>
          <w:bCs w:val="0"/>
          <w:strike w:val="0"/>
          <w:dstrike w:val="0"/>
          <w:color w:val="000000" w:themeColor="text1"/>
          <w:highlight w:val="none"/>
          <w:u w:val="none"/>
          <w14:textFill>
            <w14:solidFill>
              <w14:schemeClr w14:val="tx1"/>
            </w14:solidFill>
          </w14:textFill>
        </w:rPr>
        <w:t>做优做强现代港口经济</w:t>
      </w:r>
      <w:bookmarkEnd w:id="57"/>
    </w:p>
    <w:p w14:paraId="60E0A74A">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放大渔港经济示范作用。</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聚焦海洋强市发展目标，以产业结合紧密、聚集效应明显、经济效益突出为导向，加快推进国家级沿海渔港经济区建设。以石岛管理区、人和镇重点渔港为核心，系统摸排海洋渔业资源优势，统筹实施智慧渔港、平安渔港、绿色渔港、产业渔港等载体项目，加快推进渔港基础设施升级改造，及时疏浚海上通行航道，全面提升渔港停泊补给、渔获流通、冷链物流等服务功能，打造现代化渔港经济发展区，以点带面形成沿海渔港产业带，加快形成</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两核、两区、一带</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渔业产业布局，突破发展现代化渔港经济。</w:t>
      </w:r>
    </w:p>
    <w:p w14:paraId="6F5B47A1">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提升港口开放枢纽功能。</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锚定</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构建现代化综合交通运输体系</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目标，以《威海港总体规划修订（2022</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2035年）》为引领，进一步优化港口资源配置，</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加强与山东港口集团合作，推动港口一体化协调发展</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北部规划龙眼湾作业区，中部规划俚岛作业区，南部规划石岛作业区、王家湾作业区、鑫弘作业区、凤凰尾作业区、好当家作业区，重点推进多用途泊位、通用泊位、滚装泊位和舾装泊位升级改造，提升港口通过能力，助力海洋食品、海工装备等临港产业发展。发挥我市</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毗邻日韩的区位优势，以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提升</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跨境</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运输</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便利化</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和时效性</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为核心，加密日韩跨境运输</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航线</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，争取开通</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至</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韩国大山</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港</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客滚精品航线</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同步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推进</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石岛</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宁波集装箱内支线，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2030年，全面完成重点码头项目建设并投入运营，我市国际国内航线从17条增加到18条，</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国际航线辐射东北亚、国内支线贯通沿海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的航线网络</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格局。</w:t>
      </w:r>
    </w:p>
    <w:p w14:paraId="34320219">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推动港城一体融合发展。</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以</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融合</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共生、一体发展”</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为导向，构建</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交通</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畅</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联、产业互融、功能互补</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的港产城园</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生态。以港口为核心枢纽，织密</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海铁公</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空”</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多式联运网络，优化</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构建</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港区与荣乌高速、威青高速的快速通道，</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建成</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石岛港</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—主</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城区、龙眼港</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临港产业园的快速路，</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完善</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港区与城区、园区的通勤专线，不断扩大</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港城生活圈</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园区通勤圈</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半径。以交通联动带动产业融合，围绕海洋渔业、海</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工</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装备制造、海洋新能源、临港物流等主导产业，在石岛港、龙眼港周边规划建设专业化临港产业园区，配套建设智慧冷链仓储、保税物流中心等设施，重点引进风电装备、海洋食品加工等上下游企业15家以上</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，引导</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皇朝马汉申报保税物流中心（B型）</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拓展港口生鲜物流</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链条</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扩大鲜活进口水产品暂养中转加工规模，</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打造</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高端鲜活海产品集散地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加强与中西部城市口岸合作，推动与内陆无水港联动发展，加快构筑联通日韩国际市场和国内市场的海运黄金通道。</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依托滨海交通廊道，串联</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海驴岛—</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鸡鸣岛—刘公岛—小石岛</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精品航线，打造“跳岛游”等滨海旅游业态。力争</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到2030年，</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基本形成港区一体、港城联动、港产融合的发展格局，全面提升港口对经济发展的贡献度</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w:t>
      </w:r>
    </w:p>
    <w:p w14:paraId="7CAA5827">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建设威海东南（荣成）海事综合服务基地。</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主动融入威海东部“五位一体”海运大通道建设大局，以建设“一站式、全方位、高品质”的国际海事综合服务体系为核心，加快构建“一基地三板块”协同发展的海事服务格局。石岛东南海事综合服务区板块：以和顺集团项目为重点，深化与山东港口集团合作，建设“石岛东南海事综合服务区”，为石岛国际锚地通航船舶和南部国际运输、坞修船舶进行保税油加注、海上应急救援和海事服务保障。成山海上应急救援基地板块：依托成山通用机场，建设“成山海上应急救援基地”，为经成山头水域进出渤海和黄海的国际通航船舶提供服务保障，覆盖成山头“两制”水域，提升区域海上安全综合治理能力。沙窝岛远洋渔业海事服务基地板块：依托沙窝岛国家远洋渔业基地，建设“沙窝岛远洋渔业海事服务基地”，重点开展国际航行渔业船舶保税油加注业务，为我市远洋基地回运、转运、贸易的远洋渔业等相关船舶提供海事服务保障。</w:t>
      </w:r>
    </w:p>
    <w:p w14:paraId="55A9E279">
      <w:pPr>
        <w:keepNext w:val="0"/>
        <w:keepLines w:val="0"/>
        <w:pageBreakBefore w:val="0"/>
        <w:widowControl w:val="0"/>
        <w:kinsoku/>
        <w:wordWrap/>
        <w:overflowPunct w:val="0"/>
        <w:topLinePunct w:val="0"/>
        <w:autoSpaceDE/>
        <w:autoSpaceDN/>
        <w:bidi w:val="0"/>
        <w:adjustRightInd/>
        <w:snapToGrid/>
        <w:spacing w:after="0" w:line="540" w:lineRule="exact"/>
        <w:ind w:firstLine="640" w:firstLineChars="200"/>
        <w:jc w:val="both"/>
        <w:textAlignment w:val="auto"/>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280E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41" w:hRule="atLeast"/>
        </w:trPr>
        <w:tc>
          <w:tcPr>
            <w:tcW w:w="9231" w:type="dxa"/>
            <w:tcBorders>
              <w:top w:val="single" w:color="auto" w:sz="4" w:space="0"/>
              <w:left w:val="single" w:color="auto" w:sz="4" w:space="0"/>
              <w:bottom w:val="single" w:color="auto" w:sz="4" w:space="0"/>
              <w:right w:val="single" w:color="auto" w:sz="4" w:space="0"/>
              <w:tl2br w:val="nil"/>
              <w:tr2bl w:val="nil"/>
            </w:tcBorders>
            <w:vAlign w:val="center"/>
          </w:tcPr>
          <w:p w14:paraId="75A22EEE">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专栏</w:t>
            </w:r>
            <w:r>
              <w:rPr>
                <w:rFonts w:hint="eastAsia" w:ascii="Times New Roman" w:hAnsi="Times New Roman" w:eastAsia="黑体" w:cs="黑体"/>
                <w:b w:val="0"/>
                <w:bCs w:val="0"/>
                <w:strike w:val="0"/>
                <w:dstrike w:val="0"/>
                <w:color w:val="000000" w:themeColor="text1"/>
                <w:kern w:val="21"/>
                <w:sz w:val="28"/>
                <w:szCs w:val="28"/>
                <w:highlight w:val="none"/>
                <w:u w:val="none"/>
                <w:lang w:val="en-US" w:eastAsia="zh-CN"/>
                <w14:textFill>
                  <w14:solidFill>
                    <w14:schemeClr w14:val="tx1"/>
                  </w14:solidFill>
                </w14:textFill>
              </w:rPr>
              <w:t>5</w:t>
            </w: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.1港口码头建设项目</w:t>
            </w:r>
          </w:p>
        </w:tc>
      </w:tr>
      <w:tr w14:paraId="03C1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9231" w:type="dxa"/>
            <w:tcBorders>
              <w:top w:val="single" w:color="auto" w:sz="4" w:space="0"/>
              <w:left w:val="single" w:color="auto" w:sz="4" w:space="0"/>
              <w:bottom w:val="single" w:color="auto" w:sz="4" w:space="0"/>
              <w:right w:val="single" w:color="auto" w:sz="4" w:space="0"/>
              <w:tl2br w:val="nil"/>
              <w:tr2bl w:val="nil"/>
            </w:tcBorders>
            <w:vAlign w:val="center"/>
          </w:tcPr>
          <w:p w14:paraId="1FE647BD">
            <w:pPr>
              <w:keepNext w:val="0"/>
              <w:keepLines w:val="0"/>
              <w:pageBreakBefore w:val="0"/>
              <w:widowControl w:val="0"/>
              <w:numPr>
                <w:ilvl w:val="0"/>
                <w:numId w:val="0"/>
              </w:numPr>
              <w:kinsoku/>
              <w:wordWrap/>
              <w:overflowPunct w:val="0"/>
              <w:topLinePunct w:val="0"/>
              <w:autoSpaceDE/>
              <w:autoSpaceDN/>
              <w:bidi w:val="0"/>
              <w:adjustRightInd w:val="0"/>
              <w:snapToGrid w:val="0"/>
              <w:spacing w:line="560" w:lineRule="exact"/>
              <w:ind w:firstLine="480" w:firstLineChars="200"/>
              <w:rPr>
                <w:rFonts w:hint="eastAsia" w:ascii="Times New Roman" w:hAnsi="Times New Roman" w:eastAsia="仿宋_GB2312"/>
                <w:b w:val="0"/>
                <w:bCs w:val="0"/>
                <w:strike w:val="0"/>
                <w:dstrike w:val="0"/>
                <w:color w:val="000000" w:themeColor="text1"/>
                <w:kern w:val="21"/>
                <w:sz w:val="24"/>
                <w:highlight w:val="none"/>
                <w:u w:val="none"/>
                <w:lang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石岛港区石岛港码头及防波堤建设项目、石岛港区朝阳码头建设项目、石岛港区和兴港码头建设项目、石岛港区人和港码头建设项目、石岛港区鑫弘港码头建设项目、石岛港区原扬帆船厂码头建设项目、石岛港区靖海码头建设项目、石岛港区好当家码头建设项目、</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龙眼湾港区龙眼港码头建设项目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龙眼湾港区烟墩角码头建设项目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石岛港区黄海舾装码头建设项目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石岛港区荣通舾装码头建设项目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石岛港区荣成造船工业舾装码头建设项目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龙眼湾港区</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福尔顿</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舾装码头建设项目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龙眼湾港区三星船厂码头建设项目</w:t>
            </w:r>
            <w:r>
              <w:rPr>
                <w:rFonts w:hint="eastAsia" w:ascii="Times New Roman" w:hAnsi="Times New Roman" w:eastAsia="仿宋_GB2312" w:cs="Times New Roman"/>
                <w:b w:val="0"/>
                <w:bCs w:val="0"/>
                <w:color w:val="000000" w:themeColor="text1"/>
                <w:kern w:val="21"/>
                <w:sz w:val="24"/>
                <w:highlight w:val="none"/>
                <w:u w:val="none"/>
                <w:lang w:eastAsia="zh-CN"/>
                <w14:textFill>
                  <w14:solidFill>
                    <w14:schemeClr w14:val="tx1"/>
                  </w14:solidFill>
                </w14:textFill>
              </w:rPr>
              <w:t>、</w:t>
            </w:r>
            <w:r>
              <w:rPr>
                <w:rFonts w:hint="eastAsia" w:ascii="Times New Roman" w:hAnsi="Times New Roman" w:eastAsia="仿宋_GB2312" w:cs="Times New Roman"/>
                <w:b w:val="0"/>
                <w:bCs w:val="0"/>
                <w:color w:val="000000" w:themeColor="text1"/>
                <w:kern w:val="21"/>
                <w:sz w:val="24"/>
                <w:highlight w:val="none"/>
                <w:u w:val="none"/>
                <w14:textFill>
                  <w14:solidFill>
                    <w14:schemeClr w14:val="tx1"/>
                  </w14:solidFill>
                </w14:textFill>
              </w:rPr>
              <w:t>龙眼湾港区伽耶船厂</w:t>
            </w: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码头建设项目及石岛港区石岛港航道工程、石岛港区鑫弘港航道工程等9条航道工程。</w:t>
            </w:r>
          </w:p>
        </w:tc>
      </w:tr>
    </w:tbl>
    <w:p w14:paraId="4167DA59">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58" w:name="_Toc17208"/>
      <w:bookmarkStart w:id="59" w:name="_Toc4546"/>
      <w:r>
        <w:rPr>
          <w:rFonts w:hint="eastAsia" w:ascii="Times New Roman" w:hAnsi="Times New Roman"/>
          <w:b w:val="0"/>
          <w:bCs w:val="0"/>
          <w:strike w:val="0"/>
          <w:dstrike w:val="0"/>
          <w:color w:val="000000" w:themeColor="text1"/>
          <w:highlight w:val="none"/>
          <w:u w:val="none"/>
          <w14:textFill>
            <w14:solidFill>
              <w14:schemeClr w14:val="tx1"/>
            </w14:solidFill>
          </w14:textFill>
        </w:rPr>
        <w:t>第三节 深化海洋开发利用保护</w:t>
      </w:r>
      <w:bookmarkEnd w:id="58"/>
      <w:bookmarkEnd w:id="59"/>
    </w:p>
    <w:p w14:paraId="3F109553">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构建海洋能源动力体系。</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大力推进海上风电开发与产业融合，科学规划海上风电场，推动深远海风电规模化、集群化发展。围绕风场开发、设备制造、新材料研发等关键环节，建设风电装备产业链，促进海上风电与深海规模养殖、海洋文旅及高端装备制造等多元业态协同融合。在严格遵守国家政策和生态保护要求的前提下，稳妥推进海上光伏项目，推动海上光伏与风电、养殖等融合发展，形成光伏、风电、养殖多能互补、综合利用新格局。开展中小型海水淡化工程示范，加强海水淡化产品高附加值综合利用技术研发，着力构建海水资源化利用创新模式。探索海水淡化与电力联产机制，积极拓展供水、海洋牧场平台等新型应用场景</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有序推进潮汐能、波浪能等海洋可再生能源开发利用路径，建立完善海洋能源数据库，加强资源勘查与评估，加快海洋能源转换、储能等关键技术研发，降低能源开发成本，提高综合利用效率。</w:t>
      </w:r>
    </w:p>
    <w:p w14:paraId="77E3250C">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有序开发海洋生物资源。</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建立海洋生物资源库，对海洋生物资源进行系统收集、保存和鉴定，为产业发展提供有力支持</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力争到2030</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全市渔业总</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收入</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达到</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14</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14:ligatures w14:val="none"/>
        </w:rPr>
        <w:t>00</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亿元</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以上</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，水产品总产量达到</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22</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14:ligatures w14:val="none"/>
        </w:rPr>
        <w:t>0</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万吨</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以上</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推进渔业资源总量管理制度，合理确定捕捞限额，引导渔民有序捕捞，鼓励发展生态养殖，推广多营养层次综合养殖模式，提高养殖空间利用率和资源利用效率，实现渔业资源可持续利用。严格执行海洋伏季休渔制度，细化休渔时段、作业类型、禁渔区域管控措施，严厉打击</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绝户网</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”“三无”船舶</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非法捕捞、违规作业等行为，科学制定增殖放流规划，切实保护渔业资源再生能力</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促进海洋生物多样性恢复。</w:t>
      </w:r>
    </w:p>
    <w:p w14:paraId="7BA246C5">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深挖海洋碳汇复合价值。</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依托</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唐启升</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院士工作站，加快蓝碳科学研究与成果转化，探索建设蓝碳交易市场体系，打造蓝碳与零碳技术示范区。开展海洋碳汇增汇行动，深化与中华环保基金会等机构合作，持续推进全国首个海草床公益修复项目，进一步扩大海草床修复面积。有序建设大叶藻高效繁育基地，探索开展盐沼等其他蓝碳生态系统修复模式，构建多元蓝碳增汇体系。开发蓝碳特色金融产品，推广以养殖海产品减碳量远期收益权为质押的</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海洋碳汇贷</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，加快出台海洋碳汇指数保险，推动蓝碳项目纳入全国碳市场交易体系，为海洋生态保护和可持续发展提供经济激励。</w:t>
      </w:r>
      <w:bookmarkStart w:id="60" w:name="_Toc19129"/>
      <w:bookmarkStart w:id="61" w:name="_Toc9189"/>
    </w:p>
    <w:p w14:paraId="598B49BC">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b w:val="0"/>
          <w:bCs w:val="0"/>
          <w:strike w:val="0"/>
          <w:dstrike w:val="0"/>
          <w:color w:val="000000" w:themeColor="text1"/>
          <w:highlight w:val="none"/>
          <w:u w:val="none"/>
          <w14:textFill>
            <w14:solidFill>
              <w14:schemeClr w14:val="tx1"/>
            </w14:solidFill>
          </w14:textFill>
        </w:rPr>
        <w:t>第四节 优化海洋综合治理格局</w:t>
      </w:r>
      <w:bookmarkEnd w:id="60"/>
      <w:bookmarkEnd w:id="61"/>
    </w:p>
    <w:p w14:paraId="22B39361">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统筹海洋空间合理布局。</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加强海域使用权管理，严格执行海域使用论证和环评制度，杜绝违规用海行为，保障海洋空间资源可持续利用。提高海域资源利用效率，明确不同海域的功能定位和开发方向，合理规划渔业用海区、交通运输用海区、工矿通信用海区、游憩用海区、特殊用海区海域使用，严格落实分类管控要求。推进海岛保护与开发利用，根据海岛分布、资源环境、保护开发、发展现状等实际情况，逐步改善2个有居民海岛生活条件，将113个无居民海岛按照生态保护类、生态控制类和开发利用类进行分类保护与利用。加强海岸带保护与利用，</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实行海岸线精细化管理，</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优先保障国家和省级重大战略项目用海，优化海岸线开发利用格局，严守自然岸线保护红线，从严管控围填海开发活动，保护好</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优质沙滩、</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滩涂湿地和自然潟湖湿地，打造美丽海岸线景观。</w:t>
      </w:r>
    </w:p>
    <w:p w14:paraId="1F2566DE">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强化海洋环境多元监管。</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强化海事专业化监管能力建设，完善海事安全预警机制，提升海上应急救援水平。构建</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海洋+</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跨部门联合执法监管</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机制</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整合海事、海警、海洋发展、公安等执法力量，建立联合执法制度，</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聚焦海洋生态保护、海域使用、渔业生产、海事服务等重点领域，</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常态化</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开展联合执法行动，严厉打击</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涉海</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违法违规行为</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。推行</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湾长制</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工作制度，实行网格化海洋管理，动态做好巡逻检查，全面压实海洋治理责任。引导海洋治理社会化参与，建立海洋公益诉讼制度，鼓励环保组织、志愿者参与海洋保护，形成政府主导、社会参与的海洋治理新格局。</w:t>
      </w:r>
    </w:p>
    <w:p w14:paraId="193CDFA1">
      <w:pPr>
        <w:keepNext w:val="0"/>
        <w:keepLines w:val="0"/>
        <w:pageBreakBefore w:val="0"/>
        <w:widowControl w:val="0"/>
        <w:kinsoku/>
        <w:wordWrap/>
        <w:overflowPunct w:val="0"/>
        <w:topLinePunct w:val="0"/>
        <w:autoSpaceDE/>
        <w:autoSpaceDN/>
        <w:bidi w:val="0"/>
        <w:adjustRightInd/>
        <w:snapToGrid/>
        <w:spacing w:after="0" w:line="574" w:lineRule="exact"/>
        <w:ind w:firstLine="640" w:firstLineChars="200"/>
        <w:jc w:val="both"/>
        <w:textAlignment w:val="auto"/>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促进陆海发展有机统一。</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坚持</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以陆促海、以海兴陆、陆海联动</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工作</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理念，统筹陆海空间布局，推动陆域产业与海洋产业深度融合。</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强化</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陆海资源要素配置，引导人才、资金、技术等优质资源</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有序流动</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，推动海洋渔业、海洋能源、海洋生物、海事服务等</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涉海</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产业与陆域产业协同发展，拓展海洋经济发展空间。</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织密陆海交通网络，</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实现海铁联运、公水联运无缝衔接，</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持续</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优化港口服务效能</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统筹陆海生态环境保护，整合</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生态环境</w:t>
      </w:r>
      <w:r>
        <w:rPr>
          <w:rFonts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14:ligatures w14:val="none"/>
        </w:rPr>
        <w:t>、海洋、气象等部门监测资源，构建海陆空一体化环境监测网络，提升海洋污染预警能力。建立陆域污染源管控与海域生态修复联动机制，加强陆域污水处理、垃圾处置等环保设施建设，减少陆源污染对海洋生态环境的影响。</w:t>
      </w:r>
    </w:p>
    <w:p w14:paraId="311F91F7">
      <w:pPr>
        <w:keepNext w:val="0"/>
        <w:keepLines w:val="0"/>
        <w:pageBreakBefore w:val="0"/>
        <w:widowControl w:val="0"/>
        <w:kinsoku/>
        <w:wordWrap/>
        <w:overflowPunct w:val="0"/>
        <w:topLinePunct w:val="0"/>
        <w:autoSpaceDE/>
        <w:autoSpaceDN/>
        <w:bidi w:val="0"/>
        <w:spacing w:line="574" w:lineRule="exact"/>
        <w:textAlignment w:val="auto"/>
        <w:rPr>
          <w:rFonts w:ascii="Times New Roman" w:hAnsi="Times New Roman"/>
          <w:b w:val="0"/>
          <w:bCs w:val="0"/>
          <w:strike w:val="0"/>
          <w:dstrike w:val="0"/>
          <w:color w:val="000000" w:themeColor="text1"/>
          <w:highlight w:val="none"/>
          <w:u w:val="none"/>
          <w14:textFill>
            <w14:solidFill>
              <w14:schemeClr w14:val="tx1"/>
            </w14:solidFill>
          </w14:textFill>
        </w:rPr>
        <w:sectPr>
          <w:headerReference r:id="rId5" w:type="default"/>
          <w:footerReference r:id="rId6" w:type="default"/>
          <w:pgSz w:w="11906" w:h="16838"/>
          <w:pgMar w:top="1814" w:right="1417" w:bottom="1814" w:left="1474" w:header="851" w:footer="992" w:gutter="0"/>
          <w:pgBorders>
            <w:top w:val="none" w:sz="0" w:space="0"/>
            <w:left w:val="none" w:sz="0" w:space="0"/>
            <w:bottom w:val="none" w:sz="0" w:space="0"/>
            <w:right w:val="none" w:sz="0" w:space="0"/>
          </w:pgBorders>
          <w:pgNumType w:fmt="decimal" w:start="1"/>
          <w:cols w:space="0" w:num="1"/>
          <w:rtlGutter w:val="0"/>
          <w:docGrid w:type="lines" w:linePitch="312" w:charSpace="0"/>
        </w:sectPr>
      </w:pPr>
    </w:p>
    <w:p w14:paraId="312EA0C6">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pPr>
      <w:bookmarkStart w:id="62" w:name="_Toc16772"/>
      <w:bookmarkStart w:id="63" w:name="_Toc32716"/>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第六章</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深化体制机制改革，增强高质量</w:t>
      </w:r>
      <w:bookmarkStart w:id="64" w:name="_Toc21861"/>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发展动力</w:t>
      </w:r>
      <w:bookmarkEnd w:id="62"/>
      <w:bookmarkEnd w:id="63"/>
      <w:bookmarkEnd w:id="64"/>
    </w:p>
    <w:p w14:paraId="02F5DECE">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全面</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融入全国统一大市场建设，加快构建高水平社会主义市场经济体制，聚焦市场运行、市场主体、招商引资、政商关系、信用建设五大核心领域，深化系统性、深层次改革，破除体制机制障碍，充分激发荣成各类市场主体活力，增强高质量发展动力。</w:t>
      </w:r>
    </w:p>
    <w:p w14:paraId="1B8EA69B">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65" w:name="_Toc26397"/>
      <w:bookmarkStart w:id="66" w:name="_Toc30883"/>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第一节 激发市场运行新动能</w:t>
      </w:r>
      <w:bookmarkEnd w:id="65"/>
      <w:bookmarkEnd w:id="66"/>
    </w:p>
    <w:p w14:paraId="6DBF2D5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深化要素市场化配置改革。</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加快完善要素市场化配置体制机制，提升宏观经济治理效能。</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全面落实市场准入负面清单制度，引导推动土地、资本、数据等资源向具有创新能力和市场竞争力的高效市场主体集聚，加速要素自由流动与高效配置。</w:t>
      </w:r>
      <w:r>
        <w:rPr>
          <w:rFonts w:hint="eastAsia" w:ascii="Times New Roman" w:hAnsi="Times New Roman" w:eastAsia="仿宋_GB2312" w:cs="Times New Roman"/>
          <w:b w:val="0"/>
          <w:bCs w:val="0"/>
          <w:sz w:val="32"/>
          <w:szCs w:val="32"/>
          <w:highlight w:val="none"/>
          <w:lang w:val="en-US" w:eastAsia="zh-CN"/>
        </w:rPr>
        <w:t>建立金融与重点战略对接机制，衔接上级结构性货币政策工具，创新推广特色金融产品，在产融结合领域形成一批可复制、可推广的“荣成亮点”</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建立数据资源清单管理机制，推动公共数据共享开放，培育数据要素交易市场。通过完善市场机制，形成</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资源跟着项目走、要素跟着效益走</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的良性循环</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确保优质资源精准匹配优质项目。</w:t>
      </w:r>
    </w:p>
    <w:p w14:paraId="6EB7AF6B">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全力保障市场平稳运行。</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坚决保障国企、民企、外资企业等各类市场主体在资质许可、政府采购、科技项目、标准制定等领域主体公平待遇，有效降低有形和无形准入制度壁垒</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扩大公平竞争审查范围，加强反垄断和反不正当竞争执法，严厉打击市场垄断、不正当竞争等违法行为，维护市场竞争秩序</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完善市场价格形成机制，加强价格监管，防止价格欺诈、哄抬物价等行为，保障消费者合法权益。在保障公平的前提下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建立覆盖重点项目、基础设施、民生保障、生态保护等关键领域的要素保障制度体系，确保要素精准匹配重点领域需求。建立要素保障</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白名单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制度，对纳入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白名单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的项目和主体，在用地指标、能耗额度、排放配额等方面给予优先保障。</w:t>
      </w:r>
    </w:p>
    <w:p w14:paraId="55E647E7">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持续优化市场监管与协同治理。</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构建以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双随机、一公开</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监管为基本手段、以重点监管为补充、以信用监管为基础的新型监管机制，推进跨部门联合监管和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互联网+监管</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，提升监管精准性和有效性</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针对走私、涉企违规收费等突出问题，开展专项行动，实现线索互通、案件联查、结果互认。建立市场违法违规行为</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黑名单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共享机制，对失信主体实施跨领域联合惩戒。强化市场秩序全民监督，形成</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政府监管+社会监督</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协同共治格局，维护公平有序的市场环境。</w:t>
      </w:r>
    </w:p>
    <w:p w14:paraId="5B61213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67" w:name="_Toc30341"/>
      <w:bookmarkStart w:id="68" w:name="_Toc27192"/>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第二节 提振市场主体新活力</w:t>
      </w:r>
      <w:bookmarkEnd w:id="67"/>
      <w:bookmarkEnd w:id="68"/>
    </w:p>
    <w:p w14:paraId="34ED3E0C">
      <w:pPr>
        <w:pStyle w:val="33"/>
        <w:keepNext w:val="0"/>
        <w:keepLines w:val="0"/>
        <w:pageBreakBefore w:val="0"/>
        <w:widowControl w:val="0"/>
        <w:kinsoku/>
        <w:wordWrap/>
        <w:overflowPunct w:val="0"/>
        <w:topLinePunct w:val="0"/>
        <w:autoSpaceDE/>
        <w:autoSpaceDN/>
        <w:bidi w:val="0"/>
        <w:adjustRightInd/>
        <w:snapToGrid/>
        <w:spacing w:before="0" w:beforeLines="0" w:after="0" w:afterLines="0" w:line="574" w:lineRule="exact"/>
        <w:jc w:val="both"/>
        <w:textAlignment w:val="auto"/>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楷体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 xml:space="preserve">   </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 xml:space="preserve"> </w:t>
      </w:r>
      <w:bookmarkStart w:id="69" w:name="_Toc22928"/>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强化财税金融支撑。</w:t>
      </w:r>
      <w:bookmarkEnd w:id="69"/>
      <w:r>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t>围绕“强链育新、聚财增效”主线，聚焦全市“5+2”七大产业链，切实发挥省财政参照直管试点县体制优势，在上级专款、专项债券、超长期特别国债、中央预算内投资、省级产业引导基金及贷款贴息、设备奖补等方面争取更大政策性支持。联动土地供给、人才引育等配套措施，通过全周期跟踪管理及产业链税收协同治理，建立税负预警模型与骨干企业梯度培育体系，夯实高质量发展财源根基。落实结构性减税降费政策，优化财政预算管理，整合专项资金，集中财力支持科技创新、重大项目建设等重点领域，扩大政策性、普惠性贷款规模。</w:t>
      </w:r>
    </w:p>
    <w:p w14:paraId="7A7427B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夯实土地要素供给。</w:t>
      </w:r>
      <w:r>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t>以提高土地利用效益为核心，坚持用地跟着项目走，积极推广工业土地“用地清单制”流转、“标准地”供应，深化农村集体经营性建设用地入市改革，保障土地有序流转积极推广。进一步激活土地二级市场，推动闲置、低效土地交易。全面推行土地（房屋）带抵押过户，探索带查封收回土地（房屋）再出让，允许依据预告登记证或不动产登记证书+土地租赁合同办理工程规划许可证和施工许可证。</w:t>
      </w:r>
    </w:p>
    <w:p w14:paraId="65982BA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赋能多元市场主体。</w:t>
      </w:r>
      <w:r>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t>做强做优国有经济，加快国有企业改革，优化国企布局与主业定位，按照产业板块和功能属性，对市属国有企业进行重组整合，增强主业核心竞争力，提升市场化开拓能力和资源配置效率。提高国有企业服务地方产业发展和城市建设能力，加大国有资本在社会民生、基础设施等关键领域的布局力度，提升国有资源利用效率与发展质量。通过强化机制创新、促进存量提质与增量培育、深化内需拉动与区域协同，系统提升资产盘活效能与产业发展能级，切实提升国有资产整体使用效益与运营价值。大力发展民营经济，全面清理妨碍统一市场和公平竞争的政策措施，切实保护民营企业产权和企业家合法权益。鼓励民营企业牵头组建产学研联合体，参与国家重大技术攻关，在人工智能、生物医药等新赛道布局，培育更多专精特新“小巨人”企业。拓宽民间投资项目准入，鼓励民营企业参与能源、交通、民生等重大基础设施项目建设。多维引导外资经济，保障外资企业合法权益，引导外资投向海洋生物医药、高端装备制造、新能源等重点领域，提升重点产业链贸易便利化水平，推动外资企业与本土企业协同发展。</w:t>
      </w:r>
    </w:p>
    <w:p w14:paraId="672FCB1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70" w:name="_Toc4015"/>
      <w:bookmarkStart w:id="71" w:name="_Toc1797"/>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第三节 实现营商环境新突破</w:t>
      </w:r>
      <w:bookmarkEnd w:id="70"/>
      <w:bookmarkEnd w:id="71"/>
    </w:p>
    <w:p w14:paraId="11C2818B">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打造高效便捷行政审批体系。</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在更多领域更大范围推进</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高效办成一件事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工作改革，建立健全重点事项常态化推进机制，</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强化</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线上线下服务融合，创新推出工程建设领域</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等</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特色</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一件事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服务场景</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深化经营场所标准化登记改革，全面推广应用数字化电子证照，推进相关证照全流程电子化、无纸化办理</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推行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智能预审与人工审核</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相结合服务模式，深化企业简易注销</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四险一金</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联检改革，推动</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企业开办+用电报装</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一件事落地</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强化审批与监管部门信息共享，迭代更新审管互动系统，完善</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双推送、互反馈</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机制，建立健全复杂事项联合踏勘机制，实现现场勘验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一次办、一次过</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w:t>
      </w:r>
    </w:p>
    <w:p w14:paraId="2DDD523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建设政务服务智慧集成体系。</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加快推进政务服务大厅转型升级，打造集成化、标准化、智慧化、便利化的现代智慧</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政务综合体</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持续推进线下办事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只进一门</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、线上办事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一网通办</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，动态调整政务服务事项清单目录，实现线上线下同源同质办理</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依托企业一体化平台，统筹整合涉企服务渠道，一站式集成政策、法律、金融、人才等精准化增值服务</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完善主城区15分钟、乡村30分钟</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1530</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政务服务圈工作机制，加强镇街便民服务中心、村级政务代办点服务功能，推动更多事项</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就近办</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多点办</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探索人工智能大模型在政务服务领域的应用，深化数据共享和电子证照应用，建设覆盖全流程的人工智能服务体系，拓展智能问答、智能检索、AI全流程导办、表单智能填报等应用场景，推行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AI预审+人工核验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审批模式，实现高频审批事项秒批秒办</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无感审批。</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力争</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到2030年，高频事项</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一次办好</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率超98%</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p>
    <w:p w14:paraId="5F37A627">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优化涉企服务全周期保障体系。</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创新政企常态化对接模式，通过</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荣成</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企业家日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（荣成</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人才日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下午茶</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畅聊等多样化形式，搭建沙龙、座谈、</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调研</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、交流学习等沟通平台，畅通政企互动渠道，倾听企业意见建议</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完善企业问题闭环解决机制，汇总企业发展过程中的各类需求，建立问题台账并动态更新，健全分办、会商、推进</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督导体系</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val="en-US" w:eastAsia="zh-CN"/>
          <w14:textFill>
            <w14:solidFill>
              <w14:schemeClr w14:val="tx1"/>
            </w14:solidFill>
          </w14:textFill>
        </w:rPr>
        <w:t>确保“事事有回应”</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强化企业培育服务，</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鼓励“</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链主</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及链上企业建设创新平台，引导组建创新联合体协同攻关关键技术，推动</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链主</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企业与</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专精特新</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企业建立协作联合体，在技术、产销、资金、标准制定等方面深化合作</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强化全要素保障支撑，通过产学研对接活动深化高校院所与企业合作，健全企业用工保障机制，开展针对性招工服务</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在项目选址、审批办证、落地运营全流程提供跟踪服务，精简审批材料、缩减审批流程，保障项目用地规划需求，推动惠企政策全面惠及市场主体</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p>
    <w:p w14:paraId="20FF0CD5">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构建长效亲清政商关系体系。</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开展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律企同行</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公益法律服务，组织律师为产业链关联企业提供精准服务，帮助企业规避法律风险</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严格落实行政执法三项制度和行政处罚裁量权基准制度，推行柔性执法和说理式执法，开展涉企行政执法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三同达</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两评议</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工作</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实行涉企行政检查计划清单化管理，依托</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鲁执法</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平台监督检查计划备案及实施情况，严禁</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计划外</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随意检查</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推进企业数据填报改革，整合多部门数据需求，建立</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一次填报、多部门共享</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机制，减少企业重复填报负担。</w:t>
      </w:r>
    </w:p>
    <w:p w14:paraId="20B5D835">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72" w:name="_Toc29908"/>
      <w:bookmarkStart w:id="73" w:name="_Toc17701"/>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第四节 开创信用赋能新局面</w:t>
      </w:r>
      <w:bookmarkEnd w:id="72"/>
      <w:bookmarkEnd w:id="73"/>
    </w:p>
    <w:p w14:paraId="3AC9D890">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健全信用制度标准体系。</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全面贯彻《山东省社会信用条例》，健全信用建设标准化体系，将标准化融入</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信用荣成</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建设全流程</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优化覆盖信用信息归集、查询使用、评价分级、</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信用修复</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、安全保护等关键环节的规章制度，推动行业主管部门完善重点领域信用信息管理共享、分级分类监管、信用奖惩等配套实施细则</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建立起覆盖各类信用主体、重点领域、关键环节的“信用政策+行业规范+目录清单+制度标准”法规制度体系</w:t>
      </w:r>
      <w:r>
        <w:rPr>
          <w:rFonts w:hint="eastAsia" w:ascii="Times New Roman" w:hAnsi="Times New Roman" w:eastAsia="仿宋_GB2312"/>
          <w:b w:val="0"/>
          <w:bCs w:val="0"/>
          <w:color w:val="000000" w:themeColor="text1"/>
          <w:sz w:val="32"/>
          <w:szCs w:val="32"/>
          <w:highlight w:val="none"/>
          <w:u w:val="none" w:color="auto"/>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u w:val="none" w:color="auto"/>
          <w:lang w:eastAsia="zh-CN"/>
          <w14:textFill>
            <w14:solidFill>
              <w14:schemeClr w14:val="tx1"/>
            </w14:solidFill>
          </w14:textFill>
        </w:rPr>
        <w:t>推动</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国家制度规范在荣成全面落地，信用建设法治化、规范化程度明显提升。</w:t>
      </w:r>
    </w:p>
    <w:p w14:paraId="79B3CEE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夯实信用平台基础建设。</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加快推进数字基础设施建设，全面融入国家、省一体化公共数据平台，打造“AI+信用大脑”，通过信用数据与多源数据融合分析，构建“信用风险画像—风险传导模型—分级响应机制”的全流程治理框架，实现信用风险防控预警前置化、精准化，全力支撑全域数字化改革，为推动社会信用体系建设高质量发展提供有效的数字支撑。运用大数据、人工智能等技术，建成以信用数据标准体系、多层级信用产品体系和县域公共信用总枢纽为核心的技术支撑体系，公共信用信息应归尽归，信息报送率、合规率和及时率保持100%。</w:t>
      </w:r>
    </w:p>
    <w:p w14:paraId="3BE5A693">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深化信用分级分类监管。</w:t>
      </w:r>
      <w:r>
        <w:rPr>
          <w:rFonts w:hint="eastAsia" w:ascii="Times New Roman" w:hAnsi="Times New Roman" w:eastAsia="仿宋_GB2312" w:cs="仿宋_GB2312"/>
          <w:b w:val="0"/>
          <w:bCs w:val="0"/>
          <w:color w:val="000000" w:themeColor="text1"/>
          <w:sz w:val="32"/>
          <w:szCs w:val="32"/>
          <w:highlight w:val="none"/>
          <w:lang w:eastAsia="zh-CN"/>
          <w14:textFill>
            <w14:solidFill>
              <w14:schemeClr w14:val="tx1"/>
            </w14:solidFill>
          </w14:textFill>
        </w:rPr>
        <w:t>聚焦数智赋能重塑机制，深化信用修复高效办成一件事，</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大力推广专项信用报告替代有无违法违规证明，并逐步实现跨省跨域互认。在行政审批、证明事项、信用修复等领域推行信用承诺制，健全信用承诺践诺跟踪机制。聚焦文化旅游、消费等重点领域和关键环节，落实行业信用监管主体责任，推广公共信用综合评价应用，推动与行业信用评价融合。实施信用分级分类监管，健全信用联合奖惩长效机制，到2030年，行业信用监管领域由45个扩展到60个，信用监管示范行业由7个拓展到13个以上。推进信用园区、信用街区建设，加快发展信用经济，为市场主体创业发展营造诚实守信的良好环境。</w:t>
      </w:r>
    </w:p>
    <w:p w14:paraId="42E6F81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完善信用赋能社会有效治理。</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持续推进美德荣成和信用荣成建设，深化“信用五进”工程，围绕“制度共建、信息共用、监管共治、场景共享”的思路，推动社区、农村与党政机关、企事业单位、学校等信用共建、互促共进，通过信用的有机连接，打通生活圈与生产圈“信息壁垒”。实施“信用+精致城市”计划，将外来人口纳入信用奖惩范围，构建信用建设一体化社会治理共同体，让诚实守信成为全社会共同的价值追求和行为准则。创新“信用+”新模式、新经验，到2030年，“信用会客厅”“信用服务驿站”等综合性信用应用场景由1000个扩展到1500个。</w:t>
      </w:r>
    </w:p>
    <w:p w14:paraId="6644E9F4">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拓展“信易+”信用激励应用场景。</w:t>
      </w:r>
      <w:r>
        <w:rPr>
          <w:rFonts w:hint="eastAsia" w:ascii="Times New Roman" w:hAnsi="Times New Roman" w:eastAsia="仿宋_GB2312" w:cs="仿宋_GB2312"/>
          <w:b w:val="0"/>
          <w:bCs w:val="0"/>
          <w:color w:val="000000" w:themeColor="text1"/>
          <w:sz w:val="32"/>
          <w:szCs w:val="32"/>
          <w:highlight w:val="none"/>
          <w:lang w:val="en-US" w:eastAsia="zh-CN"/>
          <w14:textFill>
            <w14:solidFill>
              <w14:schemeClr w14:val="tx1"/>
            </w14:solidFill>
          </w14:textFill>
        </w:rPr>
        <w:t>以人民群众需求为导向，充分发挥信用价值正向激励作用，推动社会化、市场化力量参与，推进多渠道、多元化的“信易+”便民惠企应用，加强重点民生领域信用应用场景建设，推动“无证明城市”等体制机制创新。构建覆盖企业、社会组织及个人的“信用+碳普惠”机制，制定量化核算标准与信用激励规则，推出零碳信用积分兑换、政策优惠等激励措施，将绿色信用激励机制贯穿零碳城市建设全过程，推动形成“减排有收益、降碳有回报”的社会氛围。到2030年，“信易+”惠民便企激励政策超过300条。创新“信易贷”“银税互动”联动融资模式，推动金融机构推出更加多元化、多样化、差异化、定制化的“信易贷”产品，实现“一企一策”的精准融资服务，切实提升金融服务实体经济的适配性，信用贷款占比由28%提升到35%，信用贷款规模由400亿提升到700亿。持续扩大信用联盟“朋友圈”，深化城市信用信息共享和信用分互认，推进跨区域信用激励“一体化”联动和场景共享，扩大信用消费，实现信用激励“二次迭代”，信用联盟“朋友圈”扩展到10省20地以上。</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br w:type="page"/>
      </w:r>
    </w:p>
    <w:p w14:paraId="6DE1139D">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eastAsia="方正小标宋简体"/>
          <w:b w:val="0"/>
          <w:bCs w:val="0"/>
          <w:strike w:val="0"/>
          <w:dstrike w:val="0"/>
          <w:color w:val="000000" w:themeColor="text1"/>
          <w:w w:val="100"/>
          <w:sz w:val="44"/>
          <w:highlight w:val="none"/>
          <w:u w:val="none"/>
          <w:lang w:eastAsia="zh-CN"/>
          <w14:textFill>
            <w14:solidFill>
              <w14:schemeClr w14:val="tx1"/>
            </w14:solidFill>
          </w14:textFill>
        </w:rPr>
      </w:pPr>
      <w:bookmarkStart w:id="74" w:name="_Toc6923"/>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fldChar w:fldCharType="begin"/>
      </w:r>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instrText xml:space="preserve"> HYPERLINK \l "bookmark21" </w:instrText>
      </w:r>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fldChar w:fldCharType="separate"/>
      </w:r>
      <w:bookmarkStart w:id="75" w:name="_Toc208942981"/>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w w:val="100"/>
          <w:sz w:val="44"/>
          <w:highlight w:val="none"/>
          <w:u w:val="none"/>
          <w:lang w:eastAsia="zh-CN"/>
          <w14:textFill>
            <w14:solidFill>
              <w14:schemeClr w14:val="tx1"/>
            </w14:solidFill>
          </w14:textFill>
        </w:rPr>
        <w:t>七</w:t>
      </w:r>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t>章</w:t>
      </w:r>
      <w:bookmarkEnd w:id="75"/>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t xml:space="preserve">  </w:t>
      </w:r>
      <w:r>
        <w:rPr>
          <w:rFonts w:hint="eastAsia" w:ascii="Times New Roman" w:hAnsi="Times New Roman"/>
          <w:b w:val="0"/>
          <w:bCs w:val="0"/>
          <w:strike w:val="0"/>
          <w:dstrike w:val="0"/>
          <w:color w:val="000000" w:themeColor="text1"/>
          <w:w w:val="100"/>
          <w:sz w:val="44"/>
          <w:highlight w:val="none"/>
          <w:u w:val="none"/>
          <w:lang w:eastAsia="zh-CN"/>
          <w14:textFill>
            <w14:solidFill>
              <w14:schemeClr w14:val="tx1"/>
            </w14:solidFill>
          </w14:textFill>
        </w:rPr>
        <w:t>统筹扩大内需和高水平对外开放</w:t>
      </w:r>
      <w:r>
        <w:rPr>
          <w:rFonts w:hint="eastAsia" w:ascii="Times New Roman" w:hAnsi="Times New Roman"/>
          <w:b w:val="0"/>
          <w:bCs w:val="0"/>
          <w:strike w:val="0"/>
          <w:dstrike w:val="0"/>
          <w:color w:val="000000" w:themeColor="text1"/>
          <w:w w:val="100"/>
          <w:sz w:val="44"/>
          <w:highlight w:val="none"/>
          <w:u w:val="none"/>
          <w:lang w:val="en-US" w:eastAsia="zh-CN"/>
          <w14:textFill>
            <w14:solidFill>
              <w14:schemeClr w14:val="tx1"/>
            </w14:solidFill>
          </w14:textFill>
        </w:rPr>
        <w:t>，</w:t>
      </w:r>
      <w:r>
        <w:rPr>
          <w:rFonts w:hint="eastAsia" w:ascii="Times New Roman" w:hAnsi="Times New Roman"/>
          <w:b w:val="0"/>
          <w:bCs w:val="0"/>
          <w:strike w:val="0"/>
          <w:dstrike w:val="0"/>
          <w:color w:val="000000" w:themeColor="text1"/>
          <w:w w:val="100"/>
          <w:sz w:val="44"/>
          <w:highlight w:val="none"/>
          <w:u w:val="none"/>
          <w:lang w:eastAsia="zh-CN"/>
          <w14:textFill>
            <w14:solidFill>
              <w14:schemeClr w14:val="tx1"/>
            </w14:solidFill>
          </w14:textFill>
        </w:rPr>
        <w:t>服</w:t>
      </w:r>
      <w:r>
        <w:rPr>
          <w:rFonts w:hint="eastAsia" w:ascii="Times New Roman" w:hAnsi="Times New Roman"/>
          <w:b w:val="0"/>
          <w:bCs w:val="0"/>
          <w:strike w:val="0"/>
          <w:dstrike w:val="0"/>
          <w:color w:val="000000" w:themeColor="text1"/>
          <w:w w:val="100"/>
          <w:sz w:val="44"/>
          <w:highlight w:val="none"/>
          <w:u w:val="none"/>
          <w14:textFill>
            <w14:solidFill>
              <w14:schemeClr w14:val="tx1"/>
            </w14:solidFill>
          </w14:textFill>
        </w:rPr>
        <w:fldChar w:fldCharType="end"/>
      </w:r>
      <w:bookmarkEnd w:id="28"/>
      <w:r>
        <w:rPr>
          <w:rFonts w:hint="eastAsia" w:ascii="Times New Roman" w:hAnsi="Times New Roman"/>
          <w:b w:val="0"/>
          <w:bCs w:val="0"/>
          <w:strike w:val="0"/>
          <w:dstrike w:val="0"/>
          <w:color w:val="000000" w:themeColor="text1"/>
          <w:w w:val="100"/>
          <w:sz w:val="44"/>
          <w:highlight w:val="none"/>
          <w:u w:val="none"/>
          <w:lang w:eastAsia="zh-CN"/>
          <w14:textFill>
            <w14:solidFill>
              <w14:schemeClr w14:val="tx1"/>
            </w14:solidFill>
          </w14:textFill>
        </w:rPr>
        <w:t>务和融入新发展格局</w:t>
      </w:r>
      <w:bookmarkEnd w:id="74"/>
    </w:p>
    <w:p w14:paraId="28B2A52C">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积极扩大自主开放，推动贸易创新发展，拓展双向投资合作空间，坚持扩大内需战略基点，坚持惠民生和促消费，着力构建内外联动、双向互促的开放型双循环新格局。系统部署对外格局构建、消费活力激发、品质标准提升等重点任务，为全市经济高质量发展注入持久动力。</w:t>
      </w:r>
    </w:p>
    <w:p w14:paraId="54A1713E">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76" w:name="_Toc12872"/>
      <w:bookmarkStart w:id="77" w:name="_Toc8940"/>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第一节 坚定不移推动扩大内需</w:t>
      </w:r>
      <w:bookmarkEnd w:id="76"/>
      <w:bookmarkEnd w:id="77"/>
    </w:p>
    <w:p w14:paraId="7F8F1279">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全面激活生活消费潜力。</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锚定大宗消费与日常消费两大需求，构建消费促进长效机制。以节假日为重要节点，依托九龙城、吉兴商场等核心商圈，打造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季季有主题、月月有活动、周周有场景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的全域消费氛围，持续办好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新春消费季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海鲜美食节</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特色品牌活动。聚力推动大宗消费扩容提质，重点支持新能源汽车、智能家电等品类消费升级；持续深化消费品以旧换新活动，在汽车领域大力推进新能源化转型，丰富汽车下乡举措，加速老旧车辆淘汰更新；在家电领域聚焦绿色、智能、适老方向迭代升级，全方位释放大宗消费市场活力。鼓励商贸企业创新推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厂家让利+</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店铺折扣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叠加优惠模式，不断丰富服务内容、拓展服务场景、升级服务模式，全面提升消费体验感与获得感。立足民生需求升级服务消费，提振文旅消费，推出景区门票优惠、融合线路打造特色消费活动，打响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一桌最海鲜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餐饮名片，推动餐饮住宿品质提升。</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立足失能老年人照护需求，积极开展养老服务消费补贴项目，激活养老消费市场。</w:t>
      </w:r>
    </w:p>
    <w:p w14:paraId="2651F1A9">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打造多元新型消费场景。</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顺应消费升级趋势，打造新型消费增长极。发展首发经济，引导重点商超引进国内外知名品牌及日韩优质消费品，在重点商圈设立首发展区，配套主题促销、互动体验活动，以首店经济带动全景消费。推动数字化消费，培育元宇宙创新产品与应用场景，在景点打造沉浸式体验；探索</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人工智能+消费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，引导大型商业综合体建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智能导购、结算系统；加快数字农业应用场景建设，强化区域品牌数字化运营。壮大绿色与赛事消费，持续开展新能源汽车、绿色智能家电和建材下乡，推进巡游出租车电动化；围绕</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跟着赛事去旅行</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，办好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荣马</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体育赛事，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同步举办摄影展、美食嘉年华等衍生活动，释放赛事消费潜力。优化信用消费优惠，开发</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信用惠民</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消费产品，为高信用消费者提供专属折扣；建立商家信用积分体系，将诚信经营与优惠挂钩；</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优化“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信用荣成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”微信服务号功能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，打造便捷信用消费生态。</w:t>
      </w:r>
    </w:p>
    <w:p w14:paraId="01C20760">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完善城乡商贸流通网络。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持续开展县域商业体系建设行动，分层次打造城市商业布局，建设以县城为中心、乡镇为重点、农村为基础的商业体系，优化县级综合商贸中心、物流配送中心、乡镇商贸中心服务功能。</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健全日用品下行、农产品上行销售渠道，在市区建设商贸流通企业和集配中心，在镇村建设供销综合服务站（社），不断拓宽日用品下行“最后一公里”、农产品上行“最初一公里”。完善市镇村三级物流配送体系，加强物流基础设施建设，布局设置快递驿站和智能快递柜，畅通镇村末端物流渠道。夯实县级客货邮分拨中心分拨能力，进一步推动镇街邮快协作，提升寄递物流服务质量。</w:t>
      </w:r>
    </w:p>
    <w:p w14:paraId="3592983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78" w:name="_Toc20983"/>
      <w:bookmarkStart w:id="79" w:name="_Toc32617"/>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第二节 </w:t>
      </w:r>
      <w:bookmarkEnd w:id="78"/>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培育壮大外贸发展动能</w:t>
      </w:r>
      <w:bookmarkEnd w:id="79"/>
    </w:p>
    <w:p w14:paraId="126193A2">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优化外贸结构体系。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以构建高质量开放型经济体系为目标，优化外贸结构，全面提升贸易质效与竞争力。聚焦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货物</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贸易提质升级，锚定海产品精深加工、轮胎制造、房车等本土特色产业，提升出口产品技术含量与附加值；依托康派斯房车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莫林车业</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等龙头企业，培育</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新三样</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、二手车出口等外贸新赛道。聚力服务贸易扩容增效，立足港口与海洋资源优势，发展国际航运物流、船舶维修、滨海旅游等特色服务出口，依托</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两港联动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完善物流体系，提升客货班轮承载能级与转运效率；推动生产性服务与货物贸易融合，形成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产品+服务</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打包出口模式。推动进出口均衡发展，持续放大高端海工装备、精品水产品等出口拳头产品的竞争力，通过跨境电商、海外仓布局拓宽国际市场，依托港口群优化配套通关服务，打通进出口堵点，实现贸易规模与结构双提升</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，“十五五”期间，外贸进出口保持稳定增长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p>
    <w:p w14:paraId="11C3F20C">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创新外贸业态体系。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以平台搭建与模式创新为核心，推动外贸业态迭代升级，培育新的增长引擎。打造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“荣成优品·全球Mall”一体化平台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，整合全市外贸优质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产业产品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bidi="ar-SA"/>
          <w14:textFill>
            <w14:solidFill>
              <w14:schemeClr w14:val="tx1"/>
            </w14:solidFill>
          </w14:textFill>
          <w14:ligatures w14:val="standardContextual"/>
        </w:rPr>
        <w:t>联动上海现代服务业联合会、</w:t>
      </w:r>
      <w:bookmarkStart w:id="80" w:name="OLE_LINK1"/>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长三角G60科创走廊国际商服中心</w:t>
      </w:r>
      <w:bookmarkEnd w:id="80"/>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bidi="ar-SA"/>
          <w14:textFill>
            <w14:solidFill>
              <w14:schemeClr w14:val="tx1"/>
            </w14:solidFill>
          </w14:textFill>
          <w14:ligatures w14:val="standardContextual"/>
        </w:rPr>
        <w:t>境内外商协会资源，</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构建线上线下融合、国内外链接的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外贸超市</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bidi="ar-SA"/>
          <w14:textFill>
            <w14:solidFill>
              <w14:schemeClr w14:val="tx1"/>
            </w14:solidFill>
          </w14:textFill>
          <w14:ligatures w14:val="standardContextual"/>
        </w:rPr>
        <w:t>拓展增量市场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。壮大跨境电商产业规模，创新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跨境电商产业园+外贸综合服务平台+海外仓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模式，打造涵盖多功能区的跨境电商产业园。</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锚定船舶维修保养、工业设计、设备定制化改装等本地特色服务贸易领域，持续加大政策引导力度。聚焦鑫弘重工、</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华东造船、</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康派斯等重点企业，</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鼓励</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其开展服务贸易模式创新与实践探索，推动产业能级实现跨越式提升</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，创建“国家级船舶维修服务贸易特色服务出口基地”</w:t>
      </w:r>
      <w:r>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bidi="ar"/>
          <w14:textFill>
            <w14:solidFill>
              <w14:schemeClr w14:val="tx1"/>
            </w14:solidFill>
          </w14:textFill>
        </w:rPr>
        <w:t>。</w:t>
      </w:r>
    </w:p>
    <w:p w14:paraId="1BA78035">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构建多元贸易格局。</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以深化区域合作与融入国家战略为抓手，构建多层次、宽领域的多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元贸易</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格局。深耕日韩传统市场，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深度融入</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中韩自贸区地方经济合作示范区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，发挥地理与港口协同优势，深化海洋食品、船舶制造等领域合作，巩固优势产品市场份额</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依托进口指定口岸，扩大韩国优质消费品进口。积极融入国家开放战略，落实RCEP、中韩等自贸协定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以及山东—海南自贸港合作机制</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，释放关税红利，引导企业申领原产地证书扩大出口。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积极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开拓新兴市场，组织企业参加境外展会；提供海外资信、风险评估与政策支持，引导企业布局海外仓与经销商网络，降低单一市场依赖。</w:t>
      </w:r>
    </w:p>
    <w:p w14:paraId="4338A3C9">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81" w:name="_Toc8833"/>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第三节 扩大对外开放合作空间</w:t>
      </w:r>
      <w:bookmarkEnd w:id="81"/>
    </w:p>
    <w:p w14:paraId="69129BFC">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强化企业出海支撑。</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以企业出海全程保障与风险防控为重点，夯实开放型经济发展支撑体系。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深</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化国际产能合作，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引导</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海洋食品、装备制造等优势产业，与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一带一路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沿线国家共建海外产业园，推动产业链上下游协同布局。</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鼓励</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企业开展境外投资，建立海外仓、营销网络等国际营销体系，鼓励企业通过并购、参股等方式整合全球资源，提升国际竞争力。加强对外投资风险防控，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落实</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企业国际化发展支持计划，为本土企业提供海外市场调研、法律咨询、品牌推广等一站式服务，降低企业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走出去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成本与风险；推动企业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组链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出海，实施优质产品出海计划，鼓励龙头企业联合配套企业组建产业联盟与出海集群，通过共享资源、协同创新，提升企业整体抗风险能力与市场竞争力，打造荣成优质出海企业集群。</w:t>
      </w:r>
    </w:p>
    <w:p w14:paraId="7116A33A">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双向拓展投资质效。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坚持深耕日韩、拓展东盟、突破欧美，加强与在港央企、国企和民企的外资合作，积极参加跨国公司领导人青岛峰会、港澳山东周、新加坡山东周等重点招商活动，围绕高端装备、新能源、电子信息等细分领域，引导外资向绿色低碳制造业和先进服务业领域投入，力争到2030年，高技术外资占比达到30%以上。深入实施准入前国民待遇加负面清单管理制度，依法保护外商投资权益。鼓励外资企业境内再投资，鼓励现有企业通过利润再投资、债转股、跨国股权并购等方式扩大投资，全力稳住外资基本盘。</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建设“1+4”招商体系，围绕“5+2”七大产业链，开展精准招商，加大重大项目和总部经济项目招引力度，提升招商引资质效。参与“一带一路”建设，鼓励企业“组链”出海，加快推进海洋渔业阿根廷远洋渔业基地项目、百合生物新西兰研发销售中心等项目。</w:t>
      </w:r>
    </w:p>
    <w:p w14:paraId="458CCE2A">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提升城市国际化水平。</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深度融入威海城市国际化战略，拓展对外合作空间，塑造城市开放形象，增创城市高质量发展优势。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探索举办高能级国际活动，紧密联动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西班牙商会、中国亚洲经济发展协会、中法城市可持续发展协会等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机构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lang w:val="en-US" w:eastAsia="zh-CN"/>
          <w14:textFill>
            <w14:solidFill>
              <w14:schemeClr w14:val="tx1"/>
            </w14:solidFill>
          </w14:textFill>
          <w14:ligatures w14:val="standardContextual"/>
        </w:rPr>
        <w:t>围绕优势产业和资源开展双向推介，</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推动境外企业与我市企业嫁接合作，深度嵌入全球产业链。加强与外国驻华使领馆、国际商协会组织的沟通联系，积极为引资引智引技活动牵线搭桥。深化与友城在文旅、教育、科技等领域的务实合作。搭建民间组织对外友好桥梁，拓展沟通渠道，推动建立可持续发展的民间交流网络。</w:t>
      </w:r>
    </w:p>
    <w:p w14:paraId="0CBE344A">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82" w:name="_Toc4286"/>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第四节 加快推动品质荣成建设</w:t>
      </w:r>
      <w:bookmarkEnd w:id="82"/>
    </w:p>
    <w:p w14:paraId="3CFB87A2">
      <w:pPr>
        <w:pStyle w:val="16"/>
        <w:keepNext w:val="0"/>
        <w:keepLines w:val="0"/>
        <w:pageBreakBefore w:val="0"/>
        <w:widowControl w:val="0"/>
        <w:suppressLineNumbers w:val="0"/>
        <w:kinsoku/>
        <w:wordWrap/>
        <w:overflowPunct w:val="0"/>
        <w:topLinePunct w:val="0"/>
        <w:autoSpaceDE/>
        <w:autoSpaceDN/>
        <w:bidi w:val="0"/>
        <w:spacing w:before="0" w:beforeAutospacing="0" w:after="0" w:afterAutospacing="0" w:line="574" w:lineRule="exact"/>
        <w:ind w:left="0" w:firstLine="640" w:firstLineChars="200"/>
        <w:jc w:val="left"/>
        <w:textAlignment w:val="auto"/>
        <w:rPr>
          <w:rFonts w:hint="eastAsia" w:ascii="Times New Roman" w:hAnsi="Times New Roman" w:eastAsia="楷体_GB2312" w:cs="楷体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严守产品质量底线。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以全链条质量管控为核心，强化监管与规范，夯实产业高质量发展基础。</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持续推动质量提升强企强链工作，以质量品牌集成赋能提质为抓手，</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通过政策引导、技术帮扶、资源倾斜等方式</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推动企业强化质量管控，</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鼓励更多市场主体走以</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取胜、以</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增效的发展道路</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强化质量基础设施建设，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推进房车、海洋预制菜产业质量基础设施“一站式”服务站建设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；促进计量、标准、检测、认证要素集成融合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提升质量服务效能。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聚焦轮胎、碳纤维等特色产品开展质量诊断帮扶，力争制造业产品质量合格率稳居全省县级前列。</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延展质量认证维度，为经营规范、基础较好的企业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量身定制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”认证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方案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加快培育AEO企业，提升外贸领域质量竞争力。</w:t>
      </w:r>
    </w:p>
    <w:p w14:paraId="7D1E07F0">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提升“品质荣成”影响力。</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聚焦高端化、特色化方向，分行业、分领域、分层次开展质量品牌培育计划，实施质量品牌培育工程，全面提升产业竞争力与城市品牌价值</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构建多层次品牌体系。聚力培育高端质量品牌，深度融入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好品山东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威海精品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等区域品牌建设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加大优质企业培育力度，力争实现争创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省长质量奖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市长质量奖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好品山东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威海</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等奖项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50</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个以上。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依托</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质量月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品牌日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等活动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多种途径</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开展质量品牌</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宣传，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不断提升品牌影响力。</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强化商标品牌保护，健全知识产权保护协同机制，严厉打击侵犯知识产权和制售假冒伪劣商品等行为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维护公平竞争市场秩序，为我市品牌高质量发展保驾护航。</w:t>
      </w:r>
    </w:p>
    <w:p w14:paraId="65F7290A">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强化高质量标准建设。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聚焦特色产业与关键领域，</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实施标准化强链工程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，以标准化创新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t>驱动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产业提质增效。发挥标准引领作用，紧扣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5+2</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七大产业链发展需求，指导龙头企业参与国际、国家标准制修订，承担标准化创新项目</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，引导</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省级以上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专精特新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中小企业、制造业单项冠军企业健全标准化体系，力争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全市累计新增标准制修订项目60项以上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。加强新型工业化、现代农业等重点领域标准化体系建设，依托康派斯旅居房车制造标准化试点，总结推广试点经验，全面推动房车产业高质量发展。</w:t>
      </w:r>
    </w:p>
    <w:p w14:paraId="0FF99854">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sectPr>
          <w:headerReference r:id="rId7" w:type="default"/>
          <w:footerReference r:id="rId9" w:type="default"/>
          <w:headerReference r:id="rId8" w:type="even"/>
          <w:footerReference r:id="rId10" w:type="even"/>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4245312">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pPr>
      <w:bookmarkStart w:id="83" w:name="_Toc1109"/>
      <w:bookmarkStart w:id="84" w:name="_Toc31723"/>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八</w:t>
      </w:r>
      <w:r>
        <w:rPr>
          <w:rFonts w:hint="eastAsia" w:ascii="Times New Roman" w:hAnsi="Times New Roman"/>
          <w:b w:val="0"/>
          <w:bCs w:val="0"/>
          <w:strike w:val="0"/>
          <w:dstrike w:val="0"/>
          <w:color w:val="000000" w:themeColor="text1"/>
          <w:highlight w:val="none"/>
          <w:u w:val="none"/>
          <w14:textFill>
            <w14:solidFill>
              <w14:schemeClr w14:val="tx1"/>
            </w14:solidFill>
          </w14:textFill>
        </w:rPr>
        <w:t>章  加快绿色低碳转型，</w:t>
      </w:r>
      <w:bookmarkEnd w:id="83"/>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建设更高水平</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美丽荣成</w:t>
      </w:r>
      <w:bookmarkEnd w:id="84"/>
    </w:p>
    <w:p w14:paraId="220F7202">
      <w:pPr>
        <w:pStyle w:val="17"/>
        <w:keepNext w:val="0"/>
        <w:keepLines w:val="0"/>
        <w:pageBreakBefore w:val="0"/>
        <w:widowControl w:val="0"/>
        <w:kinsoku/>
        <w:wordWrap/>
        <w:overflowPunct w:val="0"/>
        <w:topLinePunct w:val="0"/>
        <w:autoSpaceDE/>
        <w:autoSpaceDN/>
        <w:bidi w:val="0"/>
        <w:spacing w:after="0" w:line="574" w:lineRule="exact"/>
        <w:ind w:left="0" w:leftChars="0" w:firstLine="640"/>
        <w:textAlignment w:val="auto"/>
        <w:rPr>
          <w:rFonts w:ascii="Times New Roman" w:hAnsi="Times New Roman" w:eastAsia="仿宋_GB2312" w:cs="Times New Roman"/>
          <w:b w:val="0"/>
          <w:bCs w:val="0"/>
          <w:strike w:val="0"/>
          <w:dstrike w:val="0"/>
          <w:color w:val="000000" w:themeColor="text1"/>
          <w:szCs w:val="32"/>
          <w:highlight w:val="none"/>
          <w:u w:val="none"/>
          <w14:textFill>
            <w14:solidFill>
              <w14:schemeClr w14:val="tx1"/>
            </w14:solidFill>
          </w14:textFill>
        </w:rPr>
      </w:pPr>
      <w:bookmarkStart w:id="85" w:name="_Toc23736"/>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锚定零碳城市建设核心目标，坚持</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向绿而行、向碳求索</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实践导向，稳妥推进碳达峰碳中和，全面落实碳排放总量和强度</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双控</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制度，深度融入</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降碳、减污、扩绿、增长</w:t>
      </w:r>
      <w:r>
        <w:rPr>
          <w:rFonts w:hint="eastAsia" w:ascii="Times New Roman" w:hAnsi="Times New Roman" w:eastAsia="仿宋_GB2312" w:cs="仿宋_GB2312"/>
          <w:b w:val="0"/>
          <w:bCs w:val="0"/>
          <w:strike w:val="0"/>
          <w:dstrike w:val="0"/>
          <w:color w:val="000000" w:themeColor="text1"/>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Cs w:val="32"/>
          <w:highlight w:val="none"/>
          <w:u w:val="none"/>
          <w14:textFill>
            <w14:solidFill>
              <w14:schemeClr w14:val="tx1"/>
            </w14:solidFill>
          </w14:textFill>
        </w:rPr>
        <w:t>协同推进机制，系统发力产业绿色转型、环境综合治理、生态涵养修复、绿色生活方式等重点任务，</w:t>
      </w:r>
      <w:r>
        <w:rPr>
          <w:rFonts w:hint="eastAsia" w:ascii="Times New Roman" w:hAnsi="Times New Roman" w:eastAsia="仿宋_GB2312" w:cs="Times New Roman"/>
          <w:b w:val="0"/>
          <w:bCs w:val="0"/>
          <w:strike w:val="0"/>
          <w:dstrike w:val="0"/>
          <w:color w:val="000000" w:themeColor="text1"/>
          <w:szCs w:val="32"/>
          <w:highlight w:val="none"/>
          <w:u w:val="none"/>
          <w14:textFill>
            <w14:solidFill>
              <w14:schemeClr w14:val="tx1"/>
            </w14:solidFill>
          </w14:textFill>
        </w:rPr>
        <w:t>推动经济高质量发展与生态环境高水平保护协同共进。</w:t>
      </w:r>
    </w:p>
    <w:p w14:paraId="072C1A0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86" w:name="_Toc9065"/>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第一节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推动</w:t>
      </w:r>
      <w:r>
        <w:rPr>
          <w:rFonts w:hint="eastAsia" w:ascii="Times New Roman" w:hAnsi="Times New Roman"/>
          <w:b w:val="0"/>
          <w:bCs w:val="0"/>
          <w:strike w:val="0"/>
          <w:dstrike w:val="0"/>
          <w:color w:val="000000" w:themeColor="text1"/>
          <w:highlight w:val="none"/>
          <w:u w:val="none"/>
          <w14:textFill>
            <w14:solidFill>
              <w14:schemeClr w14:val="tx1"/>
            </w14:solidFill>
          </w14:textFill>
        </w:rPr>
        <w:t>产业绿色转型</w:t>
      </w:r>
      <w:bookmarkEnd w:id="85"/>
      <w:bookmarkEnd w:id="86"/>
    </w:p>
    <w:p w14:paraId="630A242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推动产业降碳转型。</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严格落实地区生产总值二氧化碳排放约束性指标，将碳排放双控要求贯穿产业发展全流程，通过</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严控增量、优化存量、壮大绿量</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，推动绿色产业成为荣成高质量发展核心支撑。对</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两高</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项目建立全流程审核机制，从手续合规性、产业政策符合性、碳足迹评估等多维度把关，遏制高耗能项目盲目发展。聚焦水产加工、电机、轮胎等</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传统</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产业，通过能耗对标、碳效评价退出高耗高排环节，开展能效、水效、碳效</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领跑者</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行动，推广节能降碳技术装备。创新激励机制，引入</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碳配额质押融资</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等工具，建立分行业碳强度标杆体系，允许指标统筹调剂，</w:t>
      </w:r>
      <w:r>
        <w:rPr>
          <w:rFonts w:hint="eastAsia" w:ascii="Times New Roman" w:hAnsi="Times New Roman" w:eastAsia="仿宋_GB2312" w:cs="楷体_GB2312"/>
          <w:b w:val="0"/>
          <w:bCs w:val="0"/>
          <w:strike w:val="0"/>
          <w:dstrike w:val="0"/>
          <w:color w:val="000000" w:themeColor="text1"/>
          <w:kern w:val="0"/>
          <w:sz w:val="32"/>
          <w:szCs w:val="32"/>
          <w:highlight w:val="none"/>
          <w:u w:val="none"/>
          <w14:textFill>
            <w14:solidFill>
              <w14:schemeClr w14:val="tx1"/>
            </w14:solidFill>
          </w14:textFill>
        </w:rPr>
        <w:t>实现柔性管控。</w:t>
      </w:r>
    </w:p>
    <w:p w14:paraId="36C96A6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推进产业提质增效。</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做强一产，立足海洋与农业资源禀赋，发展生态农业与低碳渔业，加快生态农业示范园建设和绿色种植技术推广；推动海洋捕捞渔业减船转产、更新改造，强化企业种业能力建设，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开展</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育苗车间改造升级</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，优化养殖海域空间结构，提高产量</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和质量。</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升级海洋牧场智能化装备，推广多营养层次海水立体混养模式，推动水产加工副产品资源化利用，构建</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养殖</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加工</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废弃物循环</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全链条绿色体系。做优二产，</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鼓励</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企业运用云计算、5G、区块链、物联网、人工智能等新一代信息技术，对工艺设备和管理进行全链条改造，搭建</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市级</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省级</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国家级</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数实融合梯度培育体系，构建</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智能工厂+工业互联网平台</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数字经济转型赋能模式，形成层次分明、递进发展的数字化转型路径。</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打造绿色制造集群，依托产业与生态优势，推动优势制造业创建绿色工厂、建设绿色园区，培育一批零碳示范企业，形成</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绿电直供</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低碳生产</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的产业闭环，吸引绿色低碳产业链上下游企业集聚，实现</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以绿聚绿</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highlight w:val="none"/>
          <w:u w:val="none"/>
          <w14:textFill>
            <w14:solidFill>
              <w14:schemeClr w14:val="tx1"/>
            </w14:solidFill>
          </w14:textFill>
        </w:rPr>
        <w:t>的招商优势，</w:t>
      </w:r>
      <w:r>
        <w:rPr>
          <w:rFonts w:hint="eastAsia" w:ascii="Times New Roman" w:hAnsi="Times New Roman" w:eastAsia="仿宋_GB2312" w:cs="楷体_GB2312"/>
          <w:b w:val="0"/>
          <w:bCs w:val="0"/>
          <w:strike w:val="0"/>
          <w:dstrike w:val="0"/>
          <w:color w:val="000000" w:themeColor="text1"/>
          <w:sz w:val="32"/>
          <w:highlight w:val="none"/>
          <w:u w:val="none"/>
          <w:lang w:eastAsia="zh-CN"/>
          <w14:textFill>
            <w14:solidFill>
              <w14:schemeClr w14:val="tx1"/>
            </w14:solidFill>
          </w14:textFill>
        </w:rPr>
        <w:t>力争到</w:t>
      </w:r>
      <w:r>
        <w:rPr>
          <w:rFonts w:hint="eastAsia" w:ascii="Times New Roman" w:hAnsi="Times New Roman" w:eastAsia="仿宋_GB2312" w:cs="楷体_GB2312"/>
          <w:b w:val="0"/>
          <w:bCs w:val="0"/>
          <w:strike w:val="0"/>
          <w:dstrike w:val="0"/>
          <w:color w:val="000000" w:themeColor="text1"/>
          <w:sz w:val="32"/>
          <w:highlight w:val="none"/>
          <w:u w:val="none"/>
          <w:lang w:val="en-US" w:eastAsia="zh-CN"/>
          <w14:textFill>
            <w14:solidFill>
              <w14:schemeClr w14:val="tx1"/>
            </w14:solidFill>
          </w14:textFill>
        </w:rPr>
        <w:t>2030年，培育市级以上</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绿色工厂及</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绿色</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供应链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管理</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企业达</w:t>
      </w:r>
      <w:r>
        <w:rPr>
          <w:rFonts w:hint="eastAsia" w:ascii="Times New Roman" w:hAnsi="Times New Roman" w:eastAsia="仿宋_GB2312" w:cs="楷体_GB2312"/>
          <w:b w:val="0"/>
          <w:bCs w:val="0"/>
          <w:strike w:val="0"/>
          <w:dstrike w:val="0"/>
          <w:color w:val="000000" w:themeColor="text1"/>
          <w:sz w:val="32"/>
          <w:szCs w:val="32"/>
          <w:highlight w:val="none"/>
          <w:u w:val="none"/>
          <w:lang w:val="en-US" w:eastAsia="zh-CN"/>
          <w14:textFill>
            <w14:solidFill>
              <w14:schemeClr w14:val="tx1"/>
            </w14:solidFill>
          </w14:textFill>
        </w:rPr>
        <w:t>30</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家以上。推动循环经济稳步发展，构建建筑垃圾全链条治理体系，</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指导再生资源回收网点建立</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分类预处理</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机制，落实再生资源综合利用行业规范条件，培育一批再生资源综合利用骨干企业，推动废钢铁、废轮胎、废塑料等资源综合利用产业规范化、规模化发展。</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升级三产，推动服务业低碳转型，打造</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绿色文旅</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精品线路，推广节能文旅设施和低碳游览模式；建设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智慧</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绿色物流园区，推广新能源车辆与绿色包装，推进现代物流园重点设施建设并引入智慧物流管理系统，实现园区绿电使用率逐年提升。培育零碳商圈，引导商家与消费者践行低碳理念。加快推进绿色金融体系建设，创新绿色信贷、绿色债券、碳基金等产品与服务，对符合条件的绿色金融产品给予扶持，建立绿色项目库，引导社会资本流向低碳领域。</w:t>
      </w:r>
    </w:p>
    <w:p w14:paraId="35ACF562">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深化能源结构转型。</w:t>
      </w:r>
      <w:bookmarkStart w:id="87" w:name="_Toc5736"/>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实施煤炭等传统能源消费总量约束，坚持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核能引领，多能共生</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的清洁能源发展方向，提高新能源利用水平</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实施一批源网荷储一体化项目，提升绿电消费占比；加快绿电产业园建设，针对各类负荷端差异化需求，构建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自发自用+绿电直供+绿电交易</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三位一体绿电供给体系，形成示范效应；持续扩容虚拟电厂，扩大分布式能源、可调节负荷聚合规模，显著提升区域电网灵活调节能力</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2030年，核电与可再生能源总装机容量突破700万千瓦，占全域装机规模98%以上。加快推进高压天然气管道宋村分输站至城投门站管线工程建设，织密天然气输送网络，夯实稳定可靠的供气保障基础；</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推动伯家岛区域与海上风电基地同步谋划、一体发展，打造综合性绿色低碳产业隆起带；</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分类推进燃煤供暖锅炉关停退出或改造为应急调峰热源，深入推进工业窑炉清洁能源替代工程</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拓展核能供汽应用场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景。建立智慧供热指挥中心，搭建智慧供热管理服务平台，通过实时采集热源、管网温度数据，结合气象预测和用热习惯，系统自动调节供热参数，实现热源、管网、换热站的全链条数字化管控。加快可再生能源开发利用，提高清洁能源在能源消费中的比重，力争到2030年，核能供热能力突破1000兆瓦，供暖区域覆盖荣成市区、石岛管理区，并向文登及南海新区扩展。</w:t>
      </w:r>
    </w:p>
    <w:p w14:paraId="49CC335C">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88" w:name="_Toc4554"/>
    </w:p>
    <w:p w14:paraId="6DA663EA">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第二节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开展</w:t>
      </w:r>
      <w:r>
        <w:rPr>
          <w:rFonts w:hint="eastAsia" w:ascii="Times New Roman" w:hAnsi="Times New Roman"/>
          <w:b w:val="0"/>
          <w:bCs w:val="0"/>
          <w:strike w:val="0"/>
          <w:dstrike w:val="0"/>
          <w:color w:val="000000" w:themeColor="text1"/>
          <w:highlight w:val="none"/>
          <w:u w:val="none"/>
          <w14:textFill>
            <w14:solidFill>
              <w14:schemeClr w14:val="tx1"/>
            </w14:solidFill>
          </w14:textFill>
        </w:rPr>
        <w:t>环境综合治理</w:t>
      </w:r>
      <w:bookmarkEnd w:id="87"/>
      <w:bookmarkEnd w:id="88"/>
    </w:p>
    <w:p w14:paraId="6BA3D669">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深化大气污染综合整治。</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强化工业企业污染综合治理，聚焦重点行业挥发性有机物（</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VOCs</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）污染管控，深化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散乱污</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企业综合整治，坚决防范死灰复燃；严格管控燃煤污染，加强中心城区禁燃区管理，全面推广清洁取暖模式；推进移动源污染防治提质，强化机动车污染管控，推动非道路移动机械清洁化改造；严格落实扬尘精细化管控要求，压实扬尘治理责任，加强施工工地扬尘全过程监管，积极创建绿色工地，探索构建城乡一体化道路路面保洁机制；开展</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VOCs</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专项整治行动，加大对修造船等涉</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VOCs</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行业企业的监管与治理力度，确保</w:t>
      </w:r>
      <w:r>
        <w:rPr>
          <w:rFonts w:hint="eastAsia" w:ascii="Times New Roman" w:hAnsi="Times New Roman" w:eastAsia="仿宋_GB2312" w:cs="仿宋_GB2312"/>
          <w:b w:val="0"/>
          <w:bCs w:val="0"/>
          <w:sz w:val="32"/>
          <w:szCs w:val="32"/>
          <w:highlight w:val="none"/>
        </w:rPr>
        <w:t>全市大气环境质量全省领先</w:t>
      </w:r>
      <w:r>
        <w:rPr>
          <w:rFonts w:hint="eastAsia" w:ascii="Times New Roman" w:hAnsi="Times New Roman" w:eastAsia="仿宋_GB2312" w:cs="仿宋_GB2312"/>
          <w:b w:val="0"/>
          <w:bCs w:val="0"/>
          <w:sz w:val="32"/>
          <w:szCs w:val="32"/>
          <w:highlight w:val="none"/>
          <w:lang w:eastAsia="zh-CN"/>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稳定达到国家二级标准。积极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争取</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环保技术改造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政策支持</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，加速推进企业污染治理进程。</w:t>
      </w:r>
    </w:p>
    <w:p w14:paraId="3B29E725">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开展全域水环境提质行动。</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全面贯彻“四水四定”原则，落实水资源刚性约束制度，强化用水总量和强度双控制度，建立县级用水指标控制体系，强化建设项目水资源论证，推进再生水等非常规水综合利用，</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推动节水技术创新与模式变革，通过</w:t>
      </w:r>
      <w:r>
        <w:rPr>
          <w:rFonts w:hint="eastAsia"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活动宣传、</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典型示范</w:t>
      </w:r>
      <w:r>
        <w:rPr>
          <w:rFonts w:hint="eastAsia"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等方式</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普及</w:t>
      </w:r>
      <w:r>
        <w:rPr>
          <w:rFonts w:hint="eastAsia"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生活</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节水器具，引导</w:t>
      </w:r>
      <w:r>
        <w:rPr>
          <w:rFonts w:hint="eastAsia"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群众</w:t>
      </w:r>
      <w:r>
        <w:rPr>
          <w:rFonts w:hint="default"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主动更新改造用水设备，减少生活用水浪费</w:t>
      </w:r>
      <w:r>
        <w:rPr>
          <w:rFonts w:hint="eastAsia" w:ascii="Times New Roman" w:hAnsi="Times New Roman" w:eastAsia="仿宋_GB2312" w:cs="Times New Roman"/>
          <w:b w:val="0"/>
          <w:bCs w:val="0"/>
          <w:color w:val="000000" w:themeColor="text1"/>
          <w:kern w:val="0"/>
          <w:sz w:val="32"/>
          <w:szCs w:val="32"/>
          <w:highlight w:val="none"/>
          <w:lang w:val="en-US"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力争到2030年，完成非常规水资源利用量目标任务，水资源利用效率达到省内先进水平。严格落实上级主管部门下达的地下水可开采量指标，严控水资源开发利用强度，明确区域用水权益，保护水生态环境。加强地下水污染源头防控，控制地下水污染增量。</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加强饮用水源地保护，</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确保水源地的规范化建设和风险防控</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；加大对入河排污口的监管力度，建立重点水域自动在线监测监控体系，严格落实入河</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湖</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排污口审批制度，开展辖区河湖排污口排查溯源，强化重点排污企业污水处理设施建设与管理，严厉打击违法排污；推进城镇污水处理设施扩容升级，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实施第二污水处理厂、宁津污水处理厂新改扩建工程，</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完善污水管网建设</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力争</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到2030年</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城市污水集中处理率达到98%以上，城市生活污水集中收集率达到73%以上，</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农村生活污水治理率</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达</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到90%以上，</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污水处理能力显著提高</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。加强近岸海域污染防治，推动海水养殖尾水达标排放，减少陆源污染物入海，确保近岸海域水质达到要求。</w:t>
      </w:r>
    </w:p>
    <w:p w14:paraId="2D347269">
      <w:pPr>
        <w:keepNext w:val="0"/>
        <w:keepLines w:val="0"/>
        <w:pageBreakBefore w:val="0"/>
        <w:widowControl w:val="0"/>
        <w:kinsoku/>
        <w:wordWrap/>
        <w:overflowPunct w:val="0"/>
        <w:topLinePunct w:val="0"/>
        <w:autoSpaceDE/>
        <w:autoSpaceDN/>
        <w:bidi w:val="0"/>
        <w:adjustRightInd/>
        <w:snapToGrid/>
        <w:spacing w:line="540"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1381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231" w:type="dxa"/>
            <w:vAlign w:val="center"/>
          </w:tcPr>
          <w:p w14:paraId="6C9135A5">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专栏</w:t>
            </w:r>
            <w:r>
              <w:rPr>
                <w:rFonts w:hint="eastAsia" w:ascii="Times New Roman" w:hAnsi="Times New Roman" w:eastAsia="黑体" w:cs="黑体"/>
                <w:b w:val="0"/>
                <w:bCs w:val="0"/>
                <w:strike w:val="0"/>
                <w:dstrike w:val="0"/>
                <w:color w:val="000000" w:themeColor="text1"/>
                <w:kern w:val="21"/>
                <w:sz w:val="28"/>
                <w:szCs w:val="28"/>
                <w:highlight w:val="none"/>
                <w:u w:val="none"/>
                <w:lang w:val="en-US" w:eastAsia="zh-CN"/>
                <w14:textFill>
                  <w14:solidFill>
                    <w14:schemeClr w14:val="tx1"/>
                  </w14:solidFill>
                </w14:textFill>
              </w:rPr>
              <w:t>8</w:t>
            </w: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.1生态环保重点项目</w:t>
            </w:r>
          </w:p>
        </w:tc>
      </w:tr>
      <w:tr w14:paraId="3E2A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9231" w:type="dxa"/>
            <w:vAlign w:val="center"/>
          </w:tcPr>
          <w:p w14:paraId="4E9254C2">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1.沽河流域水污染溯源监测和监管能力提升项目</w:t>
            </w:r>
          </w:p>
          <w:p w14:paraId="10403122">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2.沽河水质净化及生态修复工程</w:t>
            </w:r>
          </w:p>
          <w:p w14:paraId="3FDABF63">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dstrike w:val="0"/>
                <w:color w:val="000000" w:themeColor="text1"/>
                <w:kern w:val="21"/>
                <w:sz w:val="24"/>
                <w:highlight w:val="yellow"/>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3.海洋生态保护修复工程</w:t>
            </w:r>
          </w:p>
          <w:p w14:paraId="48B401A7">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4.污水管网改造工程</w:t>
            </w:r>
          </w:p>
          <w:p w14:paraId="125CFE7B">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ascii="Times New Roman" w:hAnsi="Times New Roman" w:eastAsia="仿宋_GB2312" w:cs="Times New Roman"/>
                <w:b w:val="0"/>
                <w:bCs w:val="0"/>
                <w:strike w:val="0"/>
                <w:dstrike w:val="0"/>
                <w:color w:val="000000" w:themeColor="text1"/>
                <w:kern w:val="21"/>
                <w:sz w:val="24"/>
                <w:highlight w:val="none"/>
                <w:u w:val="none"/>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5.污水处理厂新改扩建工程</w:t>
            </w:r>
          </w:p>
        </w:tc>
      </w:tr>
    </w:tbl>
    <w:p w14:paraId="1298C07B">
      <w:pPr>
        <w:keepNext w:val="0"/>
        <w:keepLines w:val="0"/>
        <w:pageBreakBefore w:val="0"/>
        <w:widowControl w:val="0"/>
        <w:kinsoku/>
        <w:wordWrap/>
        <w:overflowPunct w:val="0"/>
        <w:topLinePunct w:val="0"/>
        <w:autoSpaceDE/>
        <w:autoSpaceDN/>
        <w:bidi w:val="0"/>
        <w:spacing w:line="560" w:lineRule="exact"/>
        <w:ind w:firstLine="640" w:firstLineChars="200"/>
        <w:textAlignment w:val="auto"/>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pPr>
    </w:p>
    <w:p w14:paraId="532FF0FB">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健全土壤固废协同治理体系。</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开展土壤污染状况调查，建立健全土壤环境监测评估体系，强化未污染土壤保护力度，严格管控新增土壤污染；推进土壤污染治理与修复工程，加强土壤污染防治技术研究，加大适用治理技术推广应用力度，持续改善区域土壤环境质量，确保土壤安全利用率达到</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100</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推进农业面源污染综合治理，开展</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科学施肥增效</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农药安全科学使用</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专项行动，推广测土配方施肥、水肥一体化、有机肥替代化肥等绿色农业技术，普及高效低毒低残留农药</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以创建全国土壤酸化治理重点县为契机，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建设</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8</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万亩酸化耕地治理示范区，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通过三年连续治理，</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推动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项目区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酸化耕地土壤</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pH</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值稳定提升</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0.5</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个单位，增加耕地土壤有机质含量。</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持续推进秸秆肥料化、饲料化利用，提高秸秆综合利用率</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构建覆盖全市的废弃农膜回收贮运体系，确保废旧农膜清理回收率稳定在</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92%</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以上。</w:t>
      </w:r>
    </w:p>
    <w:p w14:paraId="657BEC0B">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完善环境综合防控机制。</w:t>
      </w:r>
      <w:bookmarkStart w:id="89" w:name="_Toc8255"/>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深入推进</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无废城市</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建设，制定</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无废机关</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无废商超</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无废校园</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等</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无废细胞</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建设创建标准和评价体系；持续开展</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清废行动</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，加强对工业固体废物、危险废物的环境监管，建立动态排查机制。</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围绕海洋城市建设核心需求，重点保障近岸海域生态安全、远洋及近海渔业生产安全、城乡居民饮用水安全与居住环境安全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强化环境监测能力建设，提升环境执法规范化水平，明确部门职责分工与应急响应流程，确保突发环境风险快速联动、高效处置；推进环境管理信息化建设，整合环境监测、执法监管、行政审批等各类信息资源，实现环境管理数字化、智能化升级。高效解决群众急难愁盼的鱼粉企业异味扰民、海带加工海区污染、河道淤积水质波动等生态环境痛点问题；定期组织海上溢油处置、养殖尾水应急管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、核与辐射应急处置</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等实战化演练，</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加大核与辐射监管力度，</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提升科学防控与快速响应能力，</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做好风险防范化解，</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持续增强群众在生态环境领域的获得感、幸福感与满意度。</w:t>
      </w:r>
    </w:p>
    <w:p w14:paraId="130ED00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90" w:name="_Toc30794"/>
      <w:r>
        <w:rPr>
          <w:rFonts w:hint="eastAsia" w:ascii="Times New Roman" w:hAnsi="Times New Roman"/>
          <w:b w:val="0"/>
          <w:bCs w:val="0"/>
          <w:strike w:val="0"/>
          <w:dstrike w:val="0"/>
          <w:color w:val="000000" w:themeColor="text1"/>
          <w:highlight w:val="none"/>
          <w:u w:val="none"/>
          <w14:textFill>
            <w14:solidFill>
              <w14:schemeClr w14:val="tx1"/>
            </w14:solidFill>
          </w14:textFill>
        </w:rPr>
        <w:t>第三节 优化生态涵养修复</w:t>
      </w:r>
      <w:bookmarkEnd w:id="89"/>
      <w:bookmarkEnd w:id="90"/>
    </w:p>
    <w:p w14:paraId="6F5DDF9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bookmarkStart w:id="91" w:name="_Toc15413"/>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加快海洋生态修复。</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深入实施陆海统筹生态保护战略，严格加强成山头、海驴岛等生态保护区监管力度，有序清退不符合生态保护要求的用海项目；生态控制区聚焦强化生态保育核心功能，严格限制各类影响海洋生态的用海活动；海洋发展区科学优化渔业、交通用海空间布局，积极推广多营养层次综合养殖模式。从严管控陆源污染物入海，开展入海排污口</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查、测、溯、治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全流程闭环整治，强化渔港、船舶污染防治，推动海水养殖尾水达标排放；按照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一湾一策、分类施治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原则，系统推进美丽海湾建设，着力构建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水清滩净、鱼鸥翔集、人海和谐</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的海湾生态格局，力争</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到</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2027年</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实现全域国家级美丽海湾创建目标，始终坚持海洋生态保护优先理念，牢牢守住</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自在荣成</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的蔚蓝生态底色。</w:t>
      </w:r>
    </w:p>
    <w:p w14:paraId="32EB184B">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dstrike w:val="0"/>
          <w:color w:val="000000" w:themeColor="text1"/>
          <w:sz w:val="32"/>
          <w:szCs w:val="32"/>
          <w:highlight w:val="yellow"/>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推动陆地生态提质。</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依托陆地生态系统核心脉络，推动各生态系统间协同联动，以小流域为基本单元，统筹推进山水林田湖草沙一体化保护和系统治理，实现区域生态保护与修复的系统性、整体性、协同性提升。开展天鹅湖生态环境综合治理工程，持续改善水体环境质量，全面提升湖泊生态服务功能；重点建设生态护岸体系，推进流域植被恢复计划，构建完善的水土保持防控体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十五五</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期间，持续改善流域生态环境质量，加快埠柳河、蚧口河、崖西河等小流域水土流失综合治理步伐，完成综合治理水土流失面积</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27</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平方公里。</w:t>
      </w:r>
    </w:p>
    <w:p w14:paraId="41EA7D0C">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加速碳汇价值释放。</w:t>
      </w:r>
      <w:bookmarkEnd w:id="91"/>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系统培育</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海洋+陆地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多元协同碳汇体系，持续推进海岸带保护修复工作，增加滨海湿地、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潟</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湖盐沼和海草床的面积，全面增强生态固碳能力。全域推广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镇办林场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模式，提升森林碳汇储备量，建立涵盖近海碳储量、固碳速率及林地碳汇增量的标准化监测核算机制</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加快推进以桑沟湾蓝碳为核心特色的碳汇交易试点建设，开发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碳汇质押贷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蓝碳预期收益权融资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等碳金融产品，简化碳排放权交易登记、履约清缴等流程，引导重点排放企业主动对接全国碳市场配额交易</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将碳汇交易收益按比例定向反哺桑沟湾岸线环境整治、天鹅湖湿地生态补水等重点生态工程，配套出台收益管理办法，形成</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生态保护</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碳汇增量</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交易变现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反哺保护</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的闭环机制，推动生态价值与产业发展良性互促。</w:t>
      </w:r>
      <w:bookmarkStart w:id="92" w:name="_Toc8124"/>
    </w:p>
    <w:p w14:paraId="1216257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eastAsia="黑体"/>
          <w:b w:val="0"/>
          <w:bCs w:val="0"/>
          <w:strike w:val="0"/>
          <w:dstrike w:val="0"/>
          <w:color w:val="000000" w:themeColor="text1"/>
          <w:highlight w:val="none"/>
          <w:u w:val="none"/>
          <w:lang w:eastAsia="zh-CN"/>
          <w14:textFill>
            <w14:solidFill>
              <w14:schemeClr w14:val="tx1"/>
            </w14:solidFill>
          </w14:textFill>
        </w:rPr>
      </w:pPr>
      <w:bookmarkStart w:id="93" w:name="_Toc20310"/>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第四节 </w:t>
      </w:r>
      <w:bookmarkEnd w:id="92"/>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倡导绿色生活方式</w:t>
      </w:r>
      <w:bookmarkEnd w:id="93"/>
    </w:p>
    <w:p w14:paraId="6E64FD76">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倡导零碳旅游理念。</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推动旅游发展与环境保护深度融合，打造</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2</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处以上高品质海洋休闲度假湾区。加快生态廊道建设，依托桑干河、崖头河、十里河、沽河、荣乌高速打造通海生态廊道，构建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蓝绿交织、廊带相通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的城市绿化开放空间体系。以成山头、那香海、赤山等景区为重点，强化数字技术赋能，丰富沉浸式体验业态，践行星级饭店</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双减双升</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行动，严格落实节能减排措施，倡导餐饮节约、杜绝浪费。积极发展乡村旅游，通过艺术乡建赋能提质升级，打造一批乡村美学体验空间。串联千里山海自驾旅游公路沿线生态、农事资源，策划推出不少于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20条</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零碳主题线路，通过推广绿色出行等，引导游客践行低碳旅游</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方式</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，实现旅游资源有序开发、适度利用，让零碳理念渗透旅游全流程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p>
    <w:p w14:paraId="1C13528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建设绿色交通体系。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用好新能源城市公交车及动力电池更新补贴、农村客运补贴政策，支持老旧高排放公交车辆更新，推动出租车行业批量置换新能源车辆，</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十五五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期间，城市建成区新增及更新公交车新能源占比100%、出租汽车</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新能源</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占比不低于95%，</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十五五</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末实现公共交通新能源化全覆盖；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按照国家</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道路、水路老旧高排放交通运输工具淘汰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政策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对国Ⅲ及以下排放标准非营运柴油货车</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、高能耗船舶实施分阶段淘汰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鼓励物流企业购置新能源货运车辆</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引导船舶运输企业改造船舶动力系统，推广清洁动力船舶，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淘汰更新客船1艘、12客位以下小艇8艘；推广新能源叉车、牵引车等机械及车辆在港口装卸、运输环节的应用，引导港口企业缩短高能耗设备淘汰时间；持续推进港口</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岸电基础设施建设及升级改造，对现有泊位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岸电设施进行技术升级，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力争到2030年，实现靠港船舶岸电100%使用。实施船舶动力改造及绿色智慧码头建设，完善新能源汽车配套基础设施网</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络，科学布局充电桩、加氢站等设施，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新能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源汽车保有量占汽车总量比重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超过</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30%。聚焦绿色交通转型，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实施“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零碳作业区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示范工程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，巩固扩大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港口岸电全覆盖成果，建设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充电基础设施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与风</w:t>
      </w:r>
      <w:r>
        <w:rPr>
          <w:rFonts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光互补供电系统，在石岛、龙眼湾等核心港区推广新能源集卡应用</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。整合公共交通</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、出租车、港口作业、重点路段</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运行监测</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等多源数据模块</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，构建</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智慧交通</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一张图</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可视化综合管理平台，</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实现交通运行监测、数据分析研判、应急指挥调度等功能，提升交通运输管理规范化、智能化水平。</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到2030年，智慧交通系统</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全面投入使用</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，公共交通</w:t>
      </w:r>
      <w:r>
        <w:rPr>
          <w:rFonts w:hint="eastAsia" w:ascii="Times New Roman" w:hAnsi="Times New Roman" w:eastAsia="仿宋_GB2312"/>
          <w:b w:val="0"/>
          <w:bCs w:val="0"/>
          <w:strike w:val="0"/>
          <w:dstrike w:val="0"/>
          <w:color w:val="000000" w:themeColor="text1"/>
          <w:sz w:val="32"/>
          <w:szCs w:val="32"/>
          <w:highlight w:val="none"/>
          <w:u w:val="none"/>
          <w:lang w:eastAsia="zh-CN"/>
          <w14:textFill>
            <w14:solidFill>
              <w14:schemeClr w14:val="tx1"/>
            </w14:solidFill>
          </w14:textFill>
        </w:rPr>
        <w:t>运行线路和运营车型不断优化，</w:t>
      </w:r>
      <w:r>
        <w:rPr>
          <w:rFonts w:hint="eastAsia" w:ascii="Times New Roman" w:hAnsi="Times New Roman" w:eastAsia="仿宋_GB2312"/>
          <w:b w:val="0"/>
          <w:bCs w:val="0"/>
          <w:strike w:val="0"/>
          <w:dstrike w:val="0"/>
          <w:color w:val="000000" w:themeColor="text1"/>
          <w:sz w:val="32"/>
          <w:szCs w:val="32"/>
          <w:highlight w:val="none"/>
          <w:u w:val="none"/>
          <w14:textFill>
            <w14:solidFill>
              <w14:schemeClr w14:val="tx1"/>
            </w14:solidFill>
          </w14:textFill>
        </w:rPr>
        <w:t>班次准点率达到</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95%以上</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出租车行业服务投诉</w:t>
      </w:r>
      <w:r>
        <w:rPr>
          <w:rFonts w:hint="eastAsia" w:ascii="Times New Roman" w:hAnsi="Times New Roman" w:eastAsia="仿宋_GB2312" w:cs="宋体"/>
          <w:b w:val="0"/>
          <w:bCs w:val="0"/>
          <w:strike w:val="0"/>
          <w:dstrike w:val="0"/>
          <w:color w:val="000000" w:themeColor="text1"/>
          <w:sz w:val="32"/>
          <w:szCs w:val="32"/>
          <w:highlight w:val="none"/>
          <w:u w:val="none"/>
          <w:lang w:eastAsia="zh-CN"/>
          <w14:textFill>
            <w14:solidFill>
              <w14:schemeClr w14:val="tx1"/>
            </w14:solidFill>
          </w14:textFill>
        </w:rPr>
        <w:t>回访满意率上升</w:t>
      </w:r>
      <w:r>
        <w:rPr>
          <w:rFonts w:hint="eastAsia" w:ascii="Times New Roman" w:hAnsi="Times New Roman" w:eastAsia="仿宋_GB2312" w:cs="宋体"/>
          <w:b w:val="0"/>
          <w:bCs w:val="0"/>
          <w:strike w:val="0"/>
          <w:dstrike w:val="0"/>
          <w:color w:val="000000" w:themeColor="text1"/>
          <w:sz w:val="32"/>
          <w:szCs w:val="32"/>
          <w:highlight w:val="none"/>
          <w:u w:val="none"/>
          <w:lang w:val="en-US" w:eastAsia="zh-CN"/>
          <w14:textFill>
            <w14:solidFill>
              <w14:schemeClr w14:val="tx1"/>
            </w14:solidFill>
          </w14:textFill>
        </w:rPr>
        <w:t>2</w:t>
      </w:r>
      <w:r>
        <w:rPr>
          <w:rFonts w:hint="eastAsia" w:ascii="Times New Roman" w:hAnsi="Times New Roman" w:eastAsia="仿宋_GB2312" w:cs="宋体"/>
          <w:b w:val="0"/>
          <w:bCs w:val="0"/>
          <w:strike w:val="0"/>
          <w:dstrike w:val="0"/>
          <w:color w:val="000000" w:themeColor="text1"/>
          <w:sz w:val="32"/>
          <w:szCs w:val="32"/>
          <w:highlight w:val="none"/>
          <w:u w:val="none"/>
          <w14:textFill>
            <w14:solidFill>
              <w14:schemeClr w14:val="tx1"/>
            </w14:solidFill>
          </w14:textFill>
        </w:rPr>
        <w:t>0%，人工巡查成本降低30%。</w:t>
      </w:r>
    </w:p>
    <w:p w14:paraId="20E7F992">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加快节能建筑推广。</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城市建设全过程融入零碳、海绵城市等理念，推动建造技术由传统建造向新型建造转变，助力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好房子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抓好中德低碳生态示范城创建工作，围绕樱花南湖一带约3平方公里核心区，因地制宜谋划一批零碳实践项目，探索绿色建材、绿色施工等新技术，其中清华核研住宅区达到绿建二级标准，公建配套设施全部采用被动房技术设计施工。强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装配式建筑</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应用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，积极推广被动式超低能耗建筑，鼓励利用太阳能、光伏发电、地热能等可再生能源与智能温控等建筑技术深度融合；打造建筑材料循环经济模式，将建筑垃圾转化为机制砂、再生砖、混凝土等建材，循环利用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到2030年，绿色建筑占城镇新建民用建筑比例达到100%，居住建筑执行83%节能设计标准，新建公共建筑节能标准提升至78%</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建筑垃圾资源化利用率提升到75%以上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全面推进城市绿色照明，加强城市照明规划、设计、建设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运营全过程管理，控制过度亮化和光污染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LED等高效节能灯具使用占比超过80%，</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节电率达到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50%以上。</w:t>
      </w:r>
    </w:p>
    <w:p w14:paraId="526897F8">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打造零碳示范场景。</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构建全域覆盖、分类施策的零碳示范场景体系，重点聚焦核心领域，打造可复制、可推广的零碳建设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示范</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推动零碳社区建设，</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制定《</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城市</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社区零碳行为激励清单》，把主动参与零碳创建、节水节电等33项</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小微善举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纳入美德信用激励范畴。分类推进</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共享菜园</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、碳积分兑换、零碳出行等公益服务项目，让居民在日常生活中便捷参与零碳建设</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在机关、学校、医院等公共机构，常态化开展</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人均能耗比</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楼耗比</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”等</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活动，聚焦</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办公区、</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食堂</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等</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重点场景，</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开展</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节能、节水、节电专项竞赛；以公共机构示范创建为牵引，逐步将该模式向企业工厂延伸，引导全员牢固树立节能降碳意识。机关以合同能源管理推动节能改造，学校深耕零碳教育与绿色校园建设，医院优化用能结构、推广节能医疗设备</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园区引入智慧管理系统与清洁能源，工厂推进生产工艺低碳升级与废弃物循环利用，商圈推广节能设施与环保包装，公园打造生态循环型低碳休憩空间。各场景立足自身业态特点，探索差异化零碳路径，形成</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一场景一方案</w:t>
      </w:r>
      <w:r>
        <w:rPr>
          <w:rFonts w:hint="eastAsia" w:ascii="Times New Roman" w:hAnsi="Times New Roman" w:eastAsia="仿宋_GB2312" w:cs="楷体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的建设模式，通过点上突破、串点成线、全域推进，筑牢零碳城市建设的坚实载体，凝聚全社会协同转型的强大合力。</w:t>
      </w:r>
    </w:p>
    <w:p w14:paraId="171986DA">
      <w:pPr>
        <w:keepNext w:val="0"/>
        <w:keepLines w:val="0"/>
        <w:pageBreakBefore w:val="0"/>
        <w:widowControl w:val="0"/>
        <w:kinsoku/>
        <w:wordWrap/>
        <w:overflowPunct w:val="0"/>
        <w:topLinePunct w:val="0"/>
        <w:autoSpaceDE/>
        <w:autoSpaceDN/>
        <w:bidi w:val="0"/>
        <w:spacing w:line="560" w:lineRule="exact"/>
        <w:ind w:firstLine="640" w:firstLineChars="200"/>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sectPr>
          <w:headerReference r:id="rId11" w:type="default"/>
          <w:footerReference r:id="rId12" w:type="default"/>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69B7C4F8">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94" w:name="_Toc3130"/>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九</w:t>
      </w: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章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统筹城乡融合发展</w:t>
      </w:r>
      <w:r>
        <w:rPr>
          <w:rFonts w:hint="eastAsia" w:ascii="Times New Roman" w:hAnsi="Times New Roman"/>
          <w:b w:val="0"/>
          <w:bCs w:val="0"/>
          <w:strike w:val="0"/>
          <w:dstrike w:val="0"/>
          <w:color w:val="000000" w:themeColor="text1"/>
          <w:highlight w:val="none"/>
          <w:u w:val="none"/>
          <w14:textFill>
            <w14:solidFill>
              <w14:schemeClr w14:val="tx1"/>
            </w14:solidFill>
          </w14:textFill>
        </w:rPr>
        <w:t>，</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推动以人为本的新型城镇化</w:t>
      </w:r>
      <w:bookmarkEnd w:id="94"/>
    </w:p>
    <w:p w14:paraId="44ACAD26">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深入贯彻中央城市工作会议精神，深度融入国家及区域战略，加快城市更新提质、城市公共空间升级、城市韧性提升，推动城市高质量、内涵式发展，着力优化全域精致城市建设荣成方案。</w:t>
      </w:r>
    </w:p>
    <w:p w14:paraId="44376042">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95" w:name="_Toc10848"/>
      <w:bookmarkStart w:id="96" w:name="_Toc14407"/>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 优化全域空间发展格局</w:t>
      </w:r>
      <w:bookmarkEnd w:id="95"/>
      <w:bookmarkEnd w:id="96"/>
    </w:p>
    <w:p w14:paraId="4481447D">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构建“一主两翼”城市布局。</w:t>
      </w:r>
      <w:r>
        <w:rPr>
          <w:rFonts w:hint="eastAsia" w:ascii="Times New Roman" w:hAnsi="Times New Roman" w:eastAsia="FangSong_GB2312" w:cs="Times New Roman"/>
          <w:b w:val="0"/>
          <w:bCs w:val="0"/>
          <w:strike w:val="0"/>
          <w:dstrike w:val="0"/>
          <w:color w:val="000000" w:themeColor="text1"/>
          <w:sz w:val="32"/>
          <w:szCs w:val="30"/>
          <w:highlight w:val="none"/>
          <w:lang w:val="en-US" w:eastAsia="zh-CN"/>
          <w14:textFill>
            <w14:solidFill>
              <w14:schemeClr w14:val="tx1"/>
            </w14:solidFill>
          </w14:textFill>
        </w:rPr>
        <w:t>充分发挥城镇开发边界指导约束作用，在开发边界内规划建设产业园区和进行城镇集中建设。</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发挥重点区域增长极作用，构建优势互补、高质量发展的区域经济布局和国土空间体系，实现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核心强、两翼兴</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的全域均衡发展态势。强化中心城区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主引擎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辐射带动作用，聚焦公共服务提质、人口集聚增效、高端产业集聚三大核心任务，完善教育、医疗、文化等优质公共服务供给，推动行政办公、科技创新、现代服务深度融合，发挥经济开发区产业集聚、交通便利优势，积极推动高新技术、生物医药、数字经济等新型工业集群发展，打造全市工业经济高质量发展新高地。立足</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石岛、好运角</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南北</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两翼</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资源禀赋与发展基础，突出差异化定位、特色化发展，推动石岛聚焦海洋装备制造、港口物流、国际贸易等产业升级，打造临港经济增长极；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发挥好运角旅游度假区滨海文旅资源优势</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与威海东部滨海新城联动打造黄金海岸带，</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深耕生态旅游、康养度假、高端民宿等业态，培育打造文旅融合增长极。</w:t>
      </w:r>
    </w:p>
    <w:p w14:paraId="3C67E1E1">
      <w:pPr>
        <w:keepNext w:val="0"/>
        <w:keepLines w:val="0"/>
        <w:pageBreakBefore w:val="0"/>
        <w:widowControl w:val="0"/>
        <w:numPr>
          <w:ilvl w:val="0"/>
          <w:numId w:val="0"/>
        </w:numPr>
        <w:kinsoku/>
        <w:wordWrap/>
        <w:overflowPunct w:val="0"/>
        <w:topLinePunct w:val="0"/>
        <w:autoSpaceDE/>
        <w:autoSpaceDN/>
        <w:bidi w:val="0"/>
        <w:adjustRightInd/>
        <w:snapToGrid/>
        <w:spacing w:line="574" w:lineRule="exact"/>
        <w:ind w:firstLine="640" w:firstLineChars="200"/>
        <w:jc w:val="both"/>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强化“协同联动”镇域布局。</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立足各镇</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街</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资源禀赋、产业基础与区位优势，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推动</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中心镇、专业镇、特色镇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协同发展</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核心引领、周边呼应、镇域互补</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的联动发展格局。以中心城区周边镇</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街</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为依托，强化与核心区的产业配套、功能衔接，重点发展高端制造配套、现代物流、生活服务等业态，打造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主城辐射承接带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，缓解中心城区功能压力</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以石岛、好运角周边镇</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街</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为纽带，深度嵌入临港产业、文旅融合产业链条，发展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修造船配套</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冷链</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仓储、乡村旅游等协作产业，</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打造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两翼产业延伸带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”。聚焦</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西南</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片区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突破，</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夯实</w:t>
      </w:r>
      <w:r>
        <w:rPr>
          <w:rFonts w:hint="eastAsia" w:ascii="Times New Roman" w:hAnsi="Times New Roman" w:eastAsia="仿宋_GB2312" w:cs="仿宋_GB2312"/>
          <w:b w:val="0"/>
          <w:bCs w:val="0"/>
          <w:kern w:val="2"/>
          <w:sz w:val="32"/>
          <w:szCs w:val="32"/>
          <w:highlight w:val="none"/>
          <w:lang w:val="en-US" w:eastAsia="zh-CN" w:bidi="ar-SA"/>
        </w:rPr>
        <w:t>海工装备、海洋食品加工产业支撑作用，推动石岛管理区、人和镇、虎山镇相向对接、深度融合，实现西南片区突破发展，打造我市新的经济增长极。建设能源产业园</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，构建集约化能源产业集群；发挥国家级沿海渔港经济区、沙窝岛国家远洋渔业基地平台优势，</w:t>
      </w:r>
      <w:r>
        <w:rPr>
          <w:rFonts w:hint="eastAsia" w:ascii="Times New Roman" w:hAnsi="Times New Roman" w:eastAsia="仿宋_GB2312" w:cs="仿宋_GB2312"/>
          <w:b w:val="0"/>
          <w:bCs w:val="0"/>
          <w:kern w:val="2"/>
          <w:sz w:val="32"/>
          <w:szCs w:val="32"/>
          <w:highlight w:val="none"/>
          <w:lang w:val="en-US" w:eastAsia="zh-CN" w:bidi="ar-SA"/>
        </w:rPr>
        <w:t>以山东大东海洋科技工业园为龙头，配套规划大东船舶海工装备产业承载区，整合区域内石材厂资源，招引产业链上下游</w:t>
      </w:r>
      <w:r>
        <w:rPr>
          <w:rFonts w:hint="eastAsia" w:ascii="Times New Roman" w:hAnsi="Times New Roman" w:eastAsia="仿宋_GB2312" w:cs="仿宋_GB2312"/>
          <w:b w:val="0"/>
          <w:bCs w:val="0"/>
          <w:color w:val="auto"/>
          <w:sz w:val="32"/>
          <w:szCs w:val="32"/>
          <w:highlight w:val="none"/>
          <w:lang w:val="en-US" w:eastAsia="zh-CN"/>
        </w:rPr>
        <w:t>项目落地，</w:t>
      </w:r>
      <w:r>
        <w:rPr>
          <w:rFonts w:hint="eastAsia" w:ascii="Times New Roman" w:hAnsi="Times New Roman" w:eastAsia="仿宋_GB2312" w:cs="仿宋_GB2312"/>
          <w:b w:val="0"/>
          <w:bCs w:val="0"/>
          <w:kern w:val="2"/>
          <w:sz w:val="32"/>
          <w:szCs w:val="32"/>
          <w:highlight w:val="none"/>
          <w:lang w:val="en-US" w:eastAsia="zh-CN" w:bidi="ar-SA"/>
        </w:rPr>
        <w:t>提升本地配套能力；有序推进海洋食品蒸汽产业园一期、二期工程，利用蒸汽资源，带动海洋食品加工向精深加工转型，延伸产业链条、提升产品附加值；精准定位石岛管理区与人和镇产业发展梯度，构建“高端引领+中端承接”的产业分工体系，推动人和镇有序承接石岛管理区产能溢出的海洋食品加工、仓储物流等项目，引导虎山镇海洋食品加工产业主动融入分工体系；系统推进“七网”基础设施建设，提升区域发展承载能力。</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以</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内陆镇</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支</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点，立足农业基础与生态本底，聚焦农产品初加工、特色种养等领域，夯实</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内陆镇域产业基础</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依托千里山海自驾旅游公路，全面提升天鹅湖板块内涵，统筹推进荣成湾、桑沟湾、石岛湾等环海湾地区产业园区、滨海旅游景区等建设，推动镇域协同高效发展。</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深化生态环境协同治理，跨镇联防联控环境污染，共建生态廊道与绿色屏障，筑牢全域生态安全底线。通过强化产业联动、服务联动、生态联动，破解镇域发展同质化、碎片化问题，形成</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镇镇有特色、全域一盘棋</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发展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格局</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，让镇域成为连接城市核心与乡村腹地的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桥梁纽带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p>
    <w:p w14:paraId="12BC387A">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强化“集群融合”乡村布局。</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立足山地、平原、滨海交织的农业生产条件，以八河抬田生态农业、荫子田园综合体、伟德山现代农业等7个农业示范园为核心，通过土地流转、规模经营等方式，强化生态种植、农产品精深加工、农业科技示范等功能，促进农业产业向园区集中，形成各具特色的农业产业集群。</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以北部好运角旅游度假区为依托，加强功能互动互补，打造集海洋生态体验、生态度假、主题游乐、农业旅游等产业为主导的康养旅游产业板块。以</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中</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西部集中连片优质耕地为依托，通过发展机械化生产、规模化经营，打造规模种养产业板块。以</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东南</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宁津、港湾等片区东楮岛古村落、胶东渔家民俗文化、山水田园等特色资源等为依托，重点发掘乡村民俗文化，打造以</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渔业+文化+民宿+旅游</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为主要模式的山海文旅产业板块。以</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西南</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虎山、人和规模化养殖业为</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基础</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大力发展</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产品精深加工，打造以海洋养殖为特色的</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高效</w:t>
      </w:r>
      <w:r>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t>养殖综合产业板块。</w:t>
      </w:r>
    </w:p>
    <w:p w14:paraId="7345E95B">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FangSong_GB2312" w:cs="Times New Roman"/>
          <w:b w:val="0"/>
          <w:bCs w:val="0"/>
          <w:strike w:val="0"/>
          <w:dstrike w:val="0"/>
          <w:color w:val="000000" w:themeColor="text1"/>
          <w:sz w:val="32"/>
          <w:szCs w:val="30"/>
          <w:highlight w:val="none"/>
          <w14:textFill>
            <w14:solidFill>
              <w14:schemeClr w14:val="tx1"/>
            </w14:solidFill>
          </w14:textFill>
        </w:rPr>
      </w:pPr>
    </w:p>
    <w:p w14:paraId="7434B959">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97" w:name="_Toc16553"/>
      <w:bookmarkStart w:id="98" w:name="_Toc1816"/>
      <w:r>
        <w:rPr>
          <w:rFonts w:hint="eastAsia" w:ascii="Times New Roman" w:hAnsi="Times New Roman"/>
          <w:b w:val="0"/>
          <w:bCs w:val="0"/>
          <w:strike w:val="0"/>
          <w:dstrike w:val="0"/>
          <w:color w:val="000000" w:themeColor="text1"/>
          <w:highlight w:val="none"/>
          <w:u w:val="none"/>
          <w14:textFill>
            <w14:solidFill>
              <w14:schemeClr w14:val="tx1"/>
            </w14:solidFill>
          </w14:textFill>
        </w:rPr>
        <w:t>第二节 推动城乡深度融合发展</w:t>
      </w:r>
      <w:bookmarkEnd w:id="97"/>
      <w:bookmarkEnd w:id="98"/>
    </w:p>
    <w:p w14:paraId="47A825A5">
      <w:pPr>
        <w:keepNext w:val="0"/>
        <w:keepLines w:val="0"/>
        <w:pageBreakBefore w:val="0"/>
        <w:widowControl w:val="0"/>
        <w:suppressLineNumbers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大力发展区域块状经济。</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聚焦“数字产业化、产业数字化、数据价值化、治理服务数字化”，</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以产业组团、园区集聚、飞地经济理念，</w:t>
      </w:r>
      <w:r>
        <w:rPr>
          <w:rFonts w:hint="eastAsia" w:ascii="Times New Roman" w:hAnsi="Times New Roman" w:eastAsia="FangSong_GB2312" w:cs="Times New Roman"/>
          <w:b w:val="0"/>
          <w:bCs w:val="0"/>
          <w:strike w:val="0"/>
          <w:dstrike w:val="0"/>
          <w:color w:val="000000" w:themeColor="text1"/>
          <w:sz w:val="32"/>
          <w:szCs w:val="30"/>
          <w:highlight w:val="none"/>
          <w:lang w:eastAsia="zh-CN"/>
          <w14:textFill>
            <w14:solidFill>
              <w14:schemeClr w14:val="tx1"/>
            </w14:solidFill>
          </w14:textFill>
        </w:rPr>
        <w:t>构建</w:t>
      </w:r>
      <w:r>
        <w:rPr>
          <w:rFonts w:hint="eastAsia" w:ascii="Times New Roman" w:hAnsi="Times New Roman" w:eastAsia="FangSong_GB2312" w:cs="Times New Roman"/>
          <w:b w:val="0"/>
          <w:bCs w:val="0"/>
          <w:strike w:val="0"/>
          <w:dstrike w:val="0"/>
          <w:color w:val="000000" w:themeColor="text1"/>
          <w:sz w:val="32"/>
          <w:szCs w:val="30"/>
          <w:highlight w:val="none"/>
          <w:lang w:val="en-US" w:eastAsia="zh-CN"/>
          <w14:textFill>
            <w14:solidFill>
              <w14:schemeClr w14:val="tx1"/>
            </w14:solidFill>
          </w14:textFill>
        </w:rPr>
        <w:t>产业突出、块状融合、优势互补的十二个区域经济片区。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埠柳—崖西甘薯产业片区，聚焦培育甘薯产业全产业链，发挥龙头企业示范引领作用，</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推动甘薯品种培优、品质提升、品牌打造，带动片区农户规模化种植、标准化生产，打响甘薯产业发展品牌。滕家—上庄—大疃—城西规模种粮片区，健全粮食产销对接机制，培育种粮大户、家庭农场、农民合作社等新型经营主体，提升规模化、集约化综合效益，建设中部片区乡村振兴示范样板。崖西—城西花生产业片区，聚焦“荣成大花生”传统优势品种，建设提纯复壮与良种繁育基地，示范推广高油酸花生新品种，推动传统花生产业向优质化、高效化、现代化转型升级。夏庄—城西—崖西—荫子苹果产业片区，鼓励龙头企业搭建智能化产销服务体系，带动苹果产业规模化、标准化、品牌化发展，打造现代苹果产业带。港西—成山—埠柳无花果产业片区，聚焦打造全国青皮无花果产业基地，推进标准化种植基地建设与产业化经营，强化采后处理、冷链物流和精深加工能力建设，加快构建全产业链发展体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俚岛—寻山海带和鲍鱼产业片区，</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开展海带鲍鱼优质品种繁育、高效生态养殖技术攻关，发挥国家海产贝类工程技术研究中心技术研发与海带小镇转化优势，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加速优质品种繁育、</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高效养殖技术攻关，建设产业研发、生产集散示范基地。虎山海参产业片区，依托</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国家级海参产业技术创新战略联盟，</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开展海参副产物资源利用技术攻关，</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聚焦高值利用提升产品附加值，打造特色鲜明的海参小镇。港湾—人和海工产业片区，依托现有船舶修造和港口资源，引导传统修造船行业、海洋渔业向风电运维、海事服务、远洋渔业发展升级，推动“海工+”融合发展，打造船舶维修基地、国际海事综合服务区。经济开发区—崂山房车产业片区，做强房车整车品牌矩阵，提升智能网联制造能级，加快培育新能源商用车和专用车辆产业，打造智慧房车高端装备产业园。东山—斥山—港湾海洋预制菜产业片区，围绕产线智能化、冷库标准化、冷链物流高效化，加大产品研发、品牌营销投入，打造海洋预制菜产业发展集聚区。石岛—人和核能综合利用片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依托</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石岛湾核电基地</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谋划</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布局零碳园区，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探索建立清洁能源基地，精准提供“电、热、汽、水、网、荷、储”一体化智慧能源解决方案，定向吸引优质用汽、用热企业集聚，推动新能源资源与高载能产业精准耦合。</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成山—港西休闲旅游片区，发挥滨海旅游度假区资源优势，</w:t>
      </w:r>
      <w:r>
        <w:rPr>
          <w:rFonts w:hint="eastAsia" w:ascii="Times New Roman" w:hAnsi="Times New Roman" w:eastAsia="仿宋_GB2312"/>
          <w:b w:val="0"/>
          <w:bCs w:val="0"/>
          <w:color w:val="000000" w:themeColor="text1"/>
          <w:kern w:val="0"/>
          <w:sz w:val="32"/>
          <w:szCs w:val="32"/>
          <w:highlight w:val="none"/>
          <w:lang w:val="en-US" w:eastAsia="zh-CN" w:bidi="ar"/>
          <w14:textFill>
            <w14:solidFill>
              <w14:schemeClr w14:val="tx1"/>
            </w14:solidFill>
          </w14:textFill>
        </w:rPr>
        <w:t>统筹推进文旅业态系统性升级、服务品质全方位提质，推动智慧文旅数字转型、创新应用和服务提效，打造智慧文旅管理样板。</w:t>
      </w:r>
    </w:p>
    <w:p w14:paraId="224D9B4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推动城乡要素双向流动。</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打破城乡要素流动壁垒，促进技术、信息、人才等资源在城乡间自由流动、优化配置。深化户籍制度改革，全面放宽城镇落户限制，保障进城落户农民土地承包权、宅基地使用权、集体收益分配权</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三权</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不变，妥善解决</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新市民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子女入学、医疗保障、住房租赁等实际需求。依托</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万企兴万村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战略，引导市内外龙头企业下沉农村，投资建设农产品加工基地、休闲农业园区、民宿集群等项目，带动甘薯、无花果、海带等特色产业延链增值，拓宽农民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增收</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渠道。建立城乡人才双向交流机制，设立返乡创业扶持资金和专项补贴，鼓励城市技术人才、青年创客、高校毕业生返乡投身民宿运营、数字农业、农村电商等新业态；推动城市医生、教师、科技人员通过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组团服务</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定点帮扶</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技术结对</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常态化下乡，同时拓宽农村优秀村干部、致富带头人、技术能手进城进修、挂职锻炼渠道，促进城乡人才双向赋能、共同提升。</w:t>
      </w:r>
    </w:p>
    <w:p w14:paraId="438E1075">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推动城乡公共服务一体化建设。</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快城乡基础设施互联互通，统筹推进水利、能源、通信设施一体化规划建设，加密城乡公交网线与站点，完善农村公路养护机制，升级城乡路网衔接水平，构建客货邮融合发展线路。优化村级邮政快递网点布局，依托</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电商进农村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工程和县域电商公共服务中心，推广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快递+合作社+农户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模式，打通快递进村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最后一公里</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，助力特色农产品出村进城。深化公共服务均等化改革，扩大农村社保覆盖范围，提高养老保险、医疗保险缴费补贴标准，健全城乡居民大病保险和医疗救助制度。</w:t>
      </w:r>
    </w:p>
    <w:p w14:paraId="1446EB4E">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99" w:name="_Toc27398"/>
      <w:bookmarkStart w:id="100" w:name="_Toc7698"/>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第三节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积极</w:t>
      </w:r>
      <w:r>
        <w:rPr>
          <w:rFonts w:hint="eastAsia" w:ascii="Times New Roman" w:hAnsi="Times New Roman"/>
          <w:b w:val="0"/>
          <w:bCs w:val="0"/>
          <w:strike w:val="0"/>
          <w:dstrike w:val="0"/>
          <w:color w:val="000000" w:themeColor="text1"/>
          <w:highlight w:val="none"/>
          <w:u w:val="none"/>
          <w14:textFill>
            <w14:solidFill>
              <w14:schemeClr w14:val="tx1"/>
            </w14:solidFill>
          </w14:textFill>
        </w:rPr>
        <w:t>融入上级重大战略</w:t>
      </w:r>
      <w:bookmarkEnd w:id="99"/>
      <w:bookmarkEnd w:id="100"/>
    </w:p>
    <w:p w14:paraId="4600B999">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主动融入胶东经济圈。</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提升基础设施互联互通水平，依托莱荣高铁及石岛港、龙眼港两大核心港口资源，构建海陆联动交通网络。加快产业延链补链，依托“5+2”七大产业链，聚焦高端装备、现代海洋等领域，深化与青岛、烟台企业协作，打造一体化发展的产业格局。推动科技创新合作，鼓励重点企业与胶东五市高校院所精准对接，深化产学研用融合，联合开展关键核心技术攻关，加速科技成果转化应用，构建互利共赢的区域创新共同体。按照上级统一部署，推动与青岛、烟台重点县市区在基础设施、产业链条、科技创新与公共服务等方面一体化发展，促进各类要素高效协同、深度融合。促进公共服务普惠共享，推动户籍通迁、社保互认、医保异地结算、住房公积金异地互认互贷等便民举措落实见效，让群众共享胶东经济圈一体化发展红利。</w:t>
      </w:r>
    </w:p>
    <w:p w14:paraId="2EBAA6FB">
      <w:pPr>
        <w:keepNext w:val="0"/>
        <w:keepLines w:val="0"/>
        <w:pageBreakBefore w:val="0"/>
        <w:widowControl w:val="0"/>
        <w:kinsoku/>
        <w:wordWrap/>
        <w:overflowPunct w:val="0"/>
        <w:topLinePunct w:val="0"/>
        <w:autoSpaceDE/>
        <w:autoSpaceDN/>
        <w:bidi w:val="0"/>
        <w:adjustRightInd/>
        <w:snapToGrid/>
        <w:spacing w:line="574" w:lineRule="exact"/>
        <w:ind w:firstLine="640"/>
        <w:jc w:val="both"/>
        <w:textAlignment w:val="auto"/>
        <w:rPr>
          <w:rFonts w:hint="eastAsia" w:ascii="Times New Roman" w:hAnsi="Times New Roman" w:eastAsia="仿宋_GB2312" w:cs="Times New Roman"/>
          <w:b w:val="0"/>
          <w:bCs w:val="0"/>
          <w:strike w:val="0"/>
          <w:dstrike w:val="0"/>
          <w:color w:val="000000" w:themeColor="text1"/>
          <w:spacing w:val="0"/>
          <w:kern w:val="0"/>
          <w:sz w:val="32"/>
          <w:szCs w:val="32"/>
          <w:highlight w:val="none"/>
          <w:u w:val="none"/>
          <w:shd w:val="clear" w:color="auto" w:fill="FFFFFF"/>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靶向强化重点沿海区域协作。</w:t>
      </w:r>
      <w:r>
        <w:rPr>
          <w:rFonts w:hint="eastAsia" w:ascii="Times New Roman" w:hAnsi="Times New Roman" w:eastAsia="仿宋_GB2312" w:cs="Times New Roman"/>
          <w:b w:val="0"/>
          <w:bCs w:val="0"/>
          <w:strike w:val="0"/>
          <w:dstrike w:val="0"/>
          <w:color w:val="000000" w:themeColor="text1"/>
          <w:spacing w:val="0"/>
          <w:kern w:val="0"/>
          <w:sz w:val="32"/>
          <w:szCs w:val="32"/>
          <w:highlight w:val="none"/>
          <w:u w:val="none"/>
          <w:shd w:val="clear" w:color="auto" w:fill="FFFFFF"/>
          <w:lang w:val="en-US" w:eastAsia="zh-CN"/>
          <w14:textFill>
            <w14:solidFill>
              <w14:schemeClr w14:val="tx1"/>
            </w14:solidFill>
          </w14:textFill>
        </w:rPr>
        <w:t>聚焦产业共兴、科创共建、交通共联等关键维度，深化环渤海经济圈合作。立足“5+2”七大产业链实际，深度对接环渤海经济圈区域内先进产业集群，推进产业基础高级化、产业链现代化、产业品牌高端化，实现与区域内产业错位发展、互补共赢的良好态势。围绕提升海洋经略能力，探索共建海洋生物、智能装备等联合实验室，推动创新资源共享、人才双向流动。加强港口间干支联动，积极拓展陆海联运、海铁联运通道，扩大冷链物流的营运能力和辐射范围。拓展与长三角、珠三角等国内发达地区的“点对点”合作，积极承接符合产业定位的产业转移，探索“研发飞地+生产基地”的协作模式，在人才、技术密集地区设立“科创飞地”，在我市布局产业化基地，实现“研发在外、转化在内”的良性互动。依托进博会、渔博会等国家级展会平台，争取设立“荣成特色产品专区”，提升荣成品牌影响力。</w:t>
      </w:r>
    </w:p>
    <w:p w14:paraId="58F4F323">
      <w:pPr>
        <w:keepNext w:val="0"/>
        <w:keepLines w:val="0"/>
        <w:pageBreakBefore w:val="0"/>
        <w:widowControl w:val="0"/>
        <w:kinsoku/>
        <w:wordWrap/>
        <w:overflowPunct w:val="0"/>
        <w:topLinePunct w:val="0"/>
        <w:autoSpaceDE/>
        <w:autoSpaceDN/>
        <w:bidi w:val="0"/>
        <w:adjustRightInd/>
        <w:snapToGrid/>
        <w:spacing w:line="574" w:lineRule="exact"/>
        <w:ind w:firstLine="640"/>
        <w:jc w:val="both"/>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融入黄河流域生态保护和高质量发展战略。</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落实</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中央统筹、省负总责、市县落实</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工作机制，结合荣成独特的地理气候条件、生态资源禀赋及产业发展现状，滚动实施一批黄河流域生态保护和高质量发展重点项目，构建人与自然和谐共生的现代化发展格局。聚焦提升与沿黄地区之间人员和货物</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过河渡海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的通行承载能力，拓展沿黄达海双向高效运输大通道，强化跨区域互联互通，促进黄河流域经济社会协同发展。积极参与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沿着黄河遇见海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黄河大集</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等活动，持续开展</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山东手造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荣成推进工程，充分展示本土特色与资源优势，扩大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荣成制造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和</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荣成文旅</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等品牌沿黄知名度。</w:t>
      </w:r>
      <w:bookmarkStart w:id="101" w:name="_Toc13321"/>
      <w:bookmarkStart w:id="102" w:name="_Toc3519"/>
    </w:p>
    <w:p w14:paraId="312E9D6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第四节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增强</w:t>
      </w:r>
      <w:r>
        <w:rPr>
          <w:rFonts w:hint="eastAsia" w:ascii="Times New Roman" w:hAnsi="Times New Roman"/>
          <w:b w:val="0"/>
          <w:bCs w:val="0"/>
          <w:strike w:val="0"/>
          <w:dstrike w:val="0"/>
          <w:color w:val="000000" w:themeColor="text1"/>
          <w:highlight w:val="none"/>
          <w:u w:val="none"/>
          <w14:textFill>
            <w14:solidFill>
              <w14:schemeClr w14:val="tx1"/>
            </w14:solidFill>
          </w14:textFill>
        </w:rPr>
        <w:t>城市发展长效韧性</w:t>
      </w:r>
      <w:bookmarkEnd w:id="101"/>
      <w:bookmarkEnd w:id="102"/>
    </w:p>
    <w:p w14:paraId="465FF963">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塑造荣成特色城市风貌。</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坚持中心城区多心引领、轴线串联，以城市</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核心功能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设计为核心，塑造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三心辉映、两带点睛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风貌体系，实现山海</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景观</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与城市空间融合；紧扣自然本底，构建桑干河水系</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蓝绿交织</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开放空间网络，分段打造水系功能区，形成滨水风貌典范；围绕樱花湖深化</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生态+文旅+消费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融合，推动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生态</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公园与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休闲</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街区联动，打造城市地标，擦亮城市形象，增强吸引力与竞争力。立足门户枢纽与产城共生定位，依托荣成站打造集交通、产业、形象展示于一体的门户功能区，布局现代服务业并植入海洋文化元素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p>
    <w:p w14:paraId="4C3E1AC0">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完善城市服务配套功能。</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聚焦关键领域，补齐市政设施短板，筑牢城市运行安全防线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，搭建城市生命线和建筑安全领域风险智能监测系统，</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制定老旧供排水、燃气、供热</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、供电</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管网改造计划，优化管网布局，提高水、</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电、</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气、暖供给的稳定性、安全性和可靠性，</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提升污水处理能力，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到2030年，城镇供热保供面积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达到</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1960万平方米</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z w:val="32"/>
          <w:szCs w:val="32"/>
          <w:highlight w:val="none"/>
          <w:lang w:val="en-US" w:eastAsia="zh-CN"/>
        </w:rPr>
        <w:t>清洁取暖全覆盖</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。强化重点片区更新，编制《荣成市城市更新专项规划片区指引》，加快推进老旧区域改造升级，聚焦老旧街区、厂区、社区等8个重点领域，启动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幸福里街区、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蜊江港区域等城市更新项目；实施道路更新改造工程，保持道路完好率98%以上。</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推动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城乡</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升级</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网架结构，建设适应高比例新能源接入的现代智慧配电网；改造老旧小区供电设施，优化充电网络布局并探索智能互动技术，提升供电服务品质。构建供水安全保障与水资源配置基础设施网络，配合长会口水库工程建设，推动流域面积200平方公里以上中小河流治理，常态化开展防洪隐患排查防治，新建一批河道治理、水库除险加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老旧水库改造、</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水土保持生态清洁小流域示范工程，</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力争</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到2030年，水土保持率达到81.52%。</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在配合国家、省推动南水北调东线二期工程决策部署的基础上，全力配合威海市推进水库连通工程，实现主要水库水系互联互通，构建“多源互补、丰枯调剂”的供水保障网络。</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构建综合立体交通网络，重点</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实施G206威汕线、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rPr>
        <w:t>G228丹东线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等国省道改建工程，推进</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旅游公路</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和县道升级改造，全面提升公路通行效率和质量；完善莱荣高铁配套设施，加密列车班次，开通莱荣、青荣跨线路运行旅客列车，全面融入畅连全国的高速铁路网，同步推动公铁网络深度融合；加快港口项目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推进石岛港客滚泊位、和兴港通用泊位</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及核心港区航道疏浚</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等工程</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，配套建设智能化引航辅助系统，提升大型船舶通航效率。</w:t>
      </w:r>
    </w:p>
    <w:p w14:paraId="6E4AB31F">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lang w:val="en-US"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构建全龄友好公共空间。</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集约高效、功能融合</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理念，积极推广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一址多用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模式，突破公共空间单一功能局限，最大化释放使用价值。推动机关、学校、企事业单位的绿地广场、图书馆、体育场馆、停车场等设施分时段向社会开放，扩大公共服务供给；</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因地制宜改造</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城市半闲置小微地块、废弃厂房旧址，改善城市微生态。秉持全龄覆盖、普惠均等、精准适配原则，聚焦婴幼儿、青少年、老年人、残障人士等重点群体，构建友好型公共空间。加快普惠性幼儿园与托育机构建设</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深度挖掘青年集聚的社区、街区，打造一批青年发展友好型阵地平台，</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完善日间照料中心、社区食堂等老年友好空间的助餐、助医、助娱功能，推进城市道路、场馆、公交站点等适老化改造</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w:t>
      </w:r>
      <w:r>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全面加强公共建筑、道路、公园无障碍设施建设与改造，让不同群体平等便捷享受公共空间服务。</w:t>
      </w:r>
    </w:p>
    <w:p w14:paraId="6B5A0FF8">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优化提升城市治理效能。</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加强数字贯通，构建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普查一管理一应用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的全链条地下管线管理体系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计划2030年完成测绘。启动城市生命线系统，整合防汛、供水、污水、供热、燃气、桥梁、环卫、园林、城市巡查等领域数字化监测资源，构建城市生命线安全工程监测感知网，提高城市安全运行监管水平，计划2026年建成并投入使用。</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坚持人民城市人民管，构建政府部门、</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街长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、沿街商户、市民</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四位一体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的城市管理新格局，加强城市常态化全域维护，推动城市</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治理</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向网格化、智能化、精细化转变。严格规范垃圾分类全流程管理，开展</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美丽街区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创建，规范广告招牌，整治占道经营等行为；擦亮</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“城市管理进社区”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品牌，以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主动治理、未诉先办</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为核心，建立巡查整治机制，延伸管理触角；探索社区与物业共建，打造</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家·社区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幸福家园。围绕</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幼有所育、学有所教、劳有所得、病有所医、老有所养、住有所居、弱有所扶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的民生目标，优化公共服务设施布局，推动优质公共服务资源向基层延伸、向社区下沉，加强社区综合服务设施的广泛覆盖和标准化建设，健全家门口服务体系。全面实施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好房子</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建设标准体系，严</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把</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新建住房安全品质，执行建筑工程质量终身责任制，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打造一批安全、舒适、绿色、智慧的高品质住宅</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；深化存量住房安全改造，对老旧住房常态化排查、系统性改造，实现农村危房</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动态清零</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；明确物业服务企业安全责任，构建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政府监管、企业负责、居民参与</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管理体系。构建</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陆海空三位一体</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消防安全体系，补足镇街消防站缺口；完善灾害防御标准与规划，建立全域灾害监测网络，强化防灾设施与力量建设，提升灾害监测与应急保障能力。增强城市水文韧性，将海绵城市建设融入规划全过程，依托水系打造生态驳岸等增强行洪与调蓄功能，实施雨污分流工程确保排水系统达标。加快构建透明城市、城市生命线、智慧工地等信息管理系统，实现城市管理数字贯通。</w:t>
      </w:r>
    </w:p>
    <w:p w14:paraId="6A0FB741">
      <w:pPr>
        <w:keepNext w:val="0"/>
        <w:keepLines w:val="0"/>
        <w:pageBreakBefore w:val="0"/>
        <w:widowControl w:val="0"/>
        <w:kinsoku/>
        <w:wordWrap/>
        <w:overflowPunct w:val="0"/>
        <w:topLinePunct w:val="0"/>
        <w:autoSpaceDE/>
        <w:autoSpaceDN/>
        <w:bidi w:val="0"/>
        <w:adjustRightInd w:val="0"/>
        <w:snapToGrid w:val="0"/>
        <w:spacing w:line="560" w:lineRule="exact"/>
        <w:textAlignment w:val="auto"/>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5136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9231" w:type="dxa"/>
            <w:vAlign w:val="center"/>
          </w:tcPr>
          <w:p w14:paraId="632E2836">
            <w:pPr>
              <w:keepNext w:val="0"/>
              <w:keepLines w:val="0"/>
              <w:pageBreakBefore w:val="0"/>
              <w:widowControl w:val="0"/>
              <w:kinsoku/>
              <w:wordWrap/>
              <w:overflowPunct w:val="0"/>
              <w:topLinePunct w:val="0"/>
              <w:autoSpaceDE/>
              <w:autoSpaceDN/>
              <w:bidi w:val="0"/>
              <w:adjustRightInd w:val="0"/>
              <w:snapToGrid w:val="0"/>
              <w:spacing w:line="560" w:lineRule="exact"/>
              <w:jc w:val="center"/>
              <w:rPr>
                <w:rFonts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专栏</w:t>
            </w:r>
            <w:r>
              <w:rPr>
                <w:rFonts w:hint="eastAsia" w:ascii="Times New Roman" w:hAnsi="Times New Roman" w:eastAsia="黑体" w:cs="黑体"/>
                <w:b w:val="0"/>
                <w:bCs w:val="0"/>
                <w:strike w:val="0"/>
                <w:dstrike w:val="0"/>
                <w:color w:val="000000" w:themeColor="text1"/>
                <w:kern w:val="21"/>
                <w:sz w:val="28"/>
                <w:szCs w:val="28"/>
                <w:highlight w:val="none"/>
                <w:u w:val="none"/>
                <w:lang w:val="en-US" w:eastAsia="zh-CN"/>
                <w14:textFill>
                  <w14:solidFill>
                    <w14:schemeClr w14:val="tx1"/>
                  </w14:solidFill>
                </w14:textFill>
              </w:rPr>
              <w:t>9</w:t>
            </w: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.1城市建设重点项目</w:t>
            </w:r>
          </w:p>
        </w:tc>
      </w:tr>
      <w:tr w14:paraId="42B5D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231" w:type="dxa"/>
            <w:vAlign w:val="center"/>
          </w:tcPr>
          <w:p w14:paraId="46290255">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1.中德低碳生态示范城市项目</w:t>
            </w:r>
          </w:p>
          <w:p w14:paraId="08FC774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2.城市更新项目：蜊江港区域、荣达橡胶厂区、青岛啤酒老厂区车间改造、老邮局至北大街沿线区域等城市更新项目</w:t>
            </w:r>
          </w:p>
          <w:p w14:paraId="22427E09">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道路优化项目：①市政道路工程：明珠路（荣盛小区—北外环）、建华北街（清华园—北外环）、望湖路南段（黎明路—沽河桥）、府东路（青山路—北外环）、观山北路（古塔南路—古塔路）、古塔南路（崂山路—观山路）；滨海公园南拓、八河港露营地配套、明珠路、建华北街等道路绿化工程。②G206威汕线改建工程、G228丹东线人和蟠龙石村至虎山光禄寨村段改建工程、港崖线（县道X037）改建工程、八东线（县道X042）改建工程。</w:t>
            </w:r>
          </w:p>
          <w:p w14:paraId="250F111E">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ascii="Times New Roman" w:hAnsi="Times New Roman" w:eastAsia="仿宋_GB2312" w:cs="Times New Roman"/>
                <w:b w:val="0"/>
                <w:bCs w:val="0"/>
                <w:strike w:val="0"/>
                <w:dstrike w:val="0"/>
                <w:color w:val="000000" w:themeColor="text1"/>
                <w:kern w:val="21"/>
                <w:sz w:val="24"/>
                <w:highlight w:val="none"/>
                <w:u w:val="none"/>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4.城市韧性项目：生命线和建筑安全领域风险智能监测系统平台一期、透明城市项目二期</w:t>
            </w:r>
          </w:p>
        </w:tc>
      </w:tr>
    </w:tbl>
    <w:p w14:paraId="03B589C2">
      <w:pPr>
        <w:keepNext w:val="0"/>
        <w:keepLines w:val="0"/>
        <w:pageBreakBefore w:val="0"/>
        <w:widowControl w:val="0"/>
        <w:kinsoku/>
        <w:wordWrap/>
        <w:overflowPunct w:val="0"/>
        <w:topLinePunct w:val="0"/>
        <w:autoSpaceDE/>
        <w:autoSpaceDN/>
        <w:bidi w:val="0"/>
        <w:spacing w:line="560" w:lineRule="exact"/>
        <w:textAlignment w:val="auto"/>
        <w:rPr>
          <w:rFonts w:ascii="Times New Roman" w:hAnsi="Times New Roman"/>
          <w:b w:val="0"/>
          <w:bCs w:val="0"/>
          <w:strike w:val="0"/>
          <w:dstrike w:val="0"/>
          <w:color w:val="000000" w:themeColor="text1"/>
          <w:highlight w:val="none"/>
          <w:u w:val="none"/>
          <w14:textFill>
            <w14:solidFill>
              <w14:schemeClr w14:val="tx1"/>
            </w14:solidFill>
          </w14:textFill>
        </w:rPr>
        <w:sectPr>
          <w:footerReference r:id="rId13" w:type="default"/>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47DCF241">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03" w:name="_Toc11500"/>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十</w:t>
      </w:r>
      <w:r>
        <w:rPr>
          <w:rFonts w:hint="eastAsia" w:ascii="Times New Roman" w:hAnsi="Times New Roman"/>
          <w:b w:val="0"/>
          <w:bCs w:val="0"/>
          <w:strike w:val="0"/>
          <w:dstrike w:val="0"/>
          <w:color w:val="000000" w:themeColor="text1"/>
          <w:highlight w:val="none"/>
          <w:u w:val="none"/>
          <w14:textFill>
            <w14:solidFill>
              <w14:schemeClr w14:val="tx1"/>
            </w14:solidFill>
          </w14:textFill>
        </w:rPr>
        <w:t>章 全面推进乡村振兴，绘就业荣村美民富图景</w:t>
      </w:r>
      <w:bookmarkEnd w:id="103"/>
    </w:p>
    <w:p w14:paraId="3777C4A2">
      <w:pPr>
        <w:keepNext w:val="0"/>
        <w:keepLines w:val="0"/>
        <w:pageBreakBefore w:val="0"/>
        <w:widowControl w:val="0"/>
        <w:kinsoku/>
        <w:wordWrap/>
        <w:overflowPunct w:val="0"/>
        <w:topLinePunct w:val="0"/>
        <w:autoSpaceDE/>
        <w:autoSpaceDN/>
        <w:bidi w:val="0"/>
        <w:adjustRightInd w:val="0"/>
        <w:snapToGrid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坚持把解决好</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三农</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rPr>
        <w:t>问题作为全市发展工作重中之重，加快推进农业农村现代化，持续巩固拓展脱贫攻坚成果，不断深化宜居宜业和美乡村建设，真正实现农业增效益、农村增活力、农民增收入，全力书写农业强国荣成答卷。</w:t>
      </w:r>
    </w:p>
    <w:p w14:paraId="749EEC6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04" w:name="_Toc4264"/>
      <w:bookmarkStart w:id="105" w:name="_Toc13044"/>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 推动农业高质量发展</w:t>
      </w:r>
      <w:bookmarkEnd w:id="104"/>
      <w:bookmarkEnd w:id="105"/>
    </w:p>
    <w:p w14:paraId="25336502">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深化特色产业融合兴农。</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建设伟德山现代苹果、好运角无花果、西部花生、伟德山现代甘薯</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14:ligatures w14:val="none"/>
        </w:rPr>
        <w:t>等四大</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特色农业产业区，助力推动形成主业突出、特色鲜明、链条完整、辐射带动能力强的现代农业发展格局。</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发展粮食、苹果、甘薯、花生、无花果</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1+4</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共富产业联盟，</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开展粮油绿色高产高效创建、蔬菜及食用菌标准化基地建设等工作。壮大农业社会化服务组织，提供耕、种、防、收、烘干、仓储等全链条服务，力争到</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2030</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年，新型农业经营主体带动农户比例达到70%。大力发展特色农产品精深加工，引导种植企业向二产加工延伸，鼓励社会资本转型，争取国家农业产业强镇等项目，支持产业做大做强。力争到</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2030</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年，全市市级以上农业产业化重点龙头企业</w:t>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14:ligatures w14:val="none"/>
        </w:rPr>
        <w:t>稳定在70家左右，</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市级以上知名农产品企业品牌达到</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28</w:t>
      </w:r>
      <w:r>
        <w:rPr>
          <w:rFonts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个。</w:t>
      </w:r>
    </w:p>
    <w:p w14:paraId="6058CCFB">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坚持生态优先绿色兴农。</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以加强农业资源集约利用、投入品减量增效、废弃物资源化利用为重点，推动农村产业绿色低碳转型。加快实施小麦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一喷三防</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、玉米</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一喷多促</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统防统治，开展精量播种、配方施肥、病虫害绿色防控，推广测土配方施肥、水肥一体化等技术应用。探索生态循环农业模式，大力发展种养结合、农牧循环农业，改造提升老旧果园1300亩，加快构建节能生态绿色果园。强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种植养殖</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企业联动协作，开展粪肥还田利用试点，畜禽粪污综合利用率稳定在90%以上，切实提升农业综合发展质效。</w:t>
      </w:r>
    </w:p>
    <w:p w14:paraId="1CF814E6">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强化标准建设质量兴农。</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深入推进农业生产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三品一标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行动，全面推进农产品质量规范化、标准化建设，筑牢农产品质量安全防线，全面提升农产品质量安全水平。严格落实食用农产品承诺达标合格证制度，积极推动农产品质量安全追溯体系建设，督导农产品生产企业、农民专业合作社规范使用承诺达标合格证，鼓励果蔬种植散户积极参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带证上市</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十五五</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期间，推广发放承诺达标合格证5万张。加强从田间到餐桌的农产品质量安全全链条监管，完成市级农产品定量抽检1500个，持续强化抽检结果运用与问题整改，全市农产品监测合格率稳定在98.5%以上，加强荣成苹果、荣成无花果、荣成大花生等地标农产品品牌宣传和推广工作，引导种植主体申报绿色食品、有机食品认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荣成农产</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成为优质安全的代名词。</w:t>
      </w:r>
      <w:bookmarkStart w:id="106" w:name="_Toc26211"/>
    </w:p>
    <w:p w14:paraId="5AD0216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07" w:name="_Toc11169"/>
      <w:r>
        <w:rPr>
          <w:rFonts w:hint="eastAsia" w:ascii="Times New Roman" w:hAnsi="Times New Roman"/>
          <w:b w:val="0"/>
          <w:bCs w:val="0"/>
          <w:strike w:val="0"/>
          <w:dstrike w:val="0"/>
          <w:color w:val="000000" w:themeColor="text1"/>
          <w:highlight w:val="none"/>
          <w:u w:val="none"/>
          <w14:textFill>
            <w14:solidFill>
              <w14:schemeClr w14:val="tx1"/>
            </w14:solidFill>
          </w14:textFill>
        </w:rPr>
        <w:t>第二节 打造和美乡村</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荣成</w:t>
      </w:r>
      <w:r>
        <w:rPr>
          <w:rFonts w:hint="eastAsia" w:ascii="Times New Roman" w:hAnsi="Times New Roman"/>
          <w:b w:val="0"/>
          <w:bCs w:val="0"/>
          <w:strike w:val="0"/>
          <w:dstrike w:val="0"/>
          <w:color w:val="000000" w:themeColor="text1"/>
          <w:highlight w:val="none"/>
          <w:u w:val="none"/>
          <w14:textFill>
            <w14:solidFill>
              <w14:schemeClr w14:val="tx1"/>
            </w14:solidFill>
          </w14:textFill>
        </w:rPr>
        <w:t>样板</w:t>
      </w:r>
      <w:bookmarkEnd w:id="106"/>
      <w:bookmarkEnd w:id="107"/>
    </w:p>
    <w:p w14:paraId="4DEAE9D8">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持续优化乡村人居环境。</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完善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差异化检查+全域化验收</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制度创新，持续擦亮</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美在农村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品牌。统筹提升乡村基础设施和公共服务水平，巩固农村人居环境成效，重点围绕生活垃圾处理、污水治理、村容村貌提升、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农村供水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等方面推进，实现从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清理整治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全域化治理、系统化巩固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的关键转变，督促村庄从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整洁</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美丽宜居</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和</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特色彰显</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深化。推进生活垃圾和污水治理，完善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户集、村收、镇运、县处理</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的垃圾收运处置体系，提高农村生活垃圾无害化处理率；加强农村生活污水治理设施建设与运维管理，确保农村生活污水治理率稳步提升。健全乡村基础设施建设和公共服务体系，进一步开展好农村水网、电网、路网巩固提升工程，不断提高清洁取暖比例，持续推进农村宽带网络和5G网络覆盖，提升农村生活现代化、数字化水平。大力提升村容村貌，加强村庄公共空间整治和庭院美化，强化传统村落、文化遗产、特色风貌保护，让农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颜值</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内涵</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齐升。力争到2030</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年</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，基本消除人居环境133个</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后进村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，全域农村生活条件和环境水平显著提升。</w:t>
      </w:r>
    </w:p>
    <w:p w14:paraId="1EF5A9AE">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不断创新乡村治理模式。</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积极完善乡村治理体系，提升乡村治理效能。加强农村基层党组织建设，选优配强村党组织带头人，充分发挥基层党组织战斗堡垒作用和党员先锋模范作用，引领乡村治理方向。深化党组织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跨村联建</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，推进村庄建制调整，引导村企共建、强弱联建，撬动各方资源、汇聚发展合力。深化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村情地图</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成果应用，指导村干部以</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图</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谋划产业发展、乡村治理、群众服务等工作，全面激发村级发展活力。完善村民自治制度，健全村民会议、村民代表会议等民主决策机制，保障村民的知情权、参与权、决策权和监督权；深化农村美德信用积分</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应用，</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激发群众参与环境整治、政策宣传和矛盾调解等治理的内生动力。推动乡村建设凝聚民心、汇聚合力，让村民真正成为乡村治理的主体；加强农村思想道德建设，开展文明村镇、星级文明户、乡村之星等创建活动，培育文明乡风、良好家风、淳朴民风。</w:t>
      </w:r>
    </w:p>
    <w:p w14:paraId="2000A264">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有力推动乡村振兴片区提档升级。</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优化</w:t>
      </w:r>
      <w:r>
        <w:rPr>
          <w:rFonts w:hint="default"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片区</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整体</w:t>
      </w:r>
      <w:r>
        <w:rPr>
          <w:rFonts w:hint="default"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布局</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科学编制乡村振兴片区总体规划，片区行政村覆盖率保持在50%以上。构建村庄三级分类提升格局，将片区村庄划分为骨干引领村、特色发展村、基础提升村，以骨干引领村承担片区综合服务中心、产业辐射枢纽、治理示范中心功能，发挥“强村带弱村”引擎作用，到2030年底，培育30个以上片区骨干引领村。建立片区分类推进机制，择优支持片区“升级”，到2030年，推荐新增国家级片区1个，新建或提升争创省级片区4个，全市省级片区数量达到6个。动态培育2个市级、12个县级片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初步实现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中央引领、省级示范、市级支撑、县级主体、镇级延伸</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的五级片区联动发展</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14:ligatures w14:val="none"/>
        </w:rPr>
        <w:t>。实施成熟片区“提质增效”行动和基础薄弱片区“补短板强功能”行动，指导镇街科学编制片区规划，到2030年，实现全部县级片区达到市级片区建设标准。推动片区主导产业提质升级，实施“区域块状经济+片区”产业提质行动，通过技术创新与政策扶持，培育一批具有荣成特色的“土特产”，到2030年，形成2—3条具有区域影响力的乡村振兴产业示范带。</w:t>
      </w:r>
    </w:p>
    <w:p w14:paraId="7209E59F">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08" w:name="_Toc16637"/>
      <w:bookmarkStart w:id="109" w:name="_Toc24080"/>
      <w:r>
        <w:rPr>
          <w:rFonts w:hint="eastAsia" w:ascii="Times New Roman" w:hAnsi="Times New Roman"/>
          <w:b w:val="0"/>
          <w:bCs w:val="0"/>
          <w:strike w:val="0"/>
          <w:dstrike w:val="0"/>
          <w:color w:val="000000" w:themeColor="text1"/>
          <w:highlight w:val="none"/>
          <w:u w:val="none"/>
          <w14:textFill>
            <w14:solidFill>
              <w14:schemeClr w14:val="tx1"/>
            </w14:solidFill>
          </w14:textFill>
        </w:rPr>
        <w:t>第三节 提升农业生产保障能力</w:t>
      </w:r>
      <w:bookmarkEnd w:id="108"/>
      <w:bookmarkEnd w:id="109"/>
    </w:p>
    <w:p w14:paraId="2E6D9C5C">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全面压实耕地保护责任。</w:t>
      </w:r>
      <w:r>
        <w:rPr>
          <w:rFonts w:hint="default" w:ascii="Times New Roman" w:hAnsi="Times New Roman" w:eastAsia="FangSong_GB2312" w:cs="Times New Roman"/>
          <w:b w:val="0"/>
          <w:bCs w:val="0"/>
          <w:strike w:val="0"/>
          <w:dstrike w:val="0"/>
          <w:color w:val="000000" w:themeColor="text1"/>
          <w:sz w:val="32"/>
          <w:szCs w:val="30"/>
          <w:highlight w:val="none"/>
          <w:lang w:val="en-US" w:eastAsia="zh-CN"/>
          <w14:textFill>
            <w14:solidFill>
              <w14:schemeClr w14:val="tx1"/>
            </w14:solidFill>
          </w14:textFill>
        </w:rPr>
        <w:t>严格落实耕地保护责任制，强化永久基本农田特殊保护，完成上级下达的耕地和永久基本农田保护任务</w:t>
      </w:r>
      <w:r>
        <w:rPr>
          <w:rFonts w:hint="eastAsia" w:ascii="Times New Roman" w:hAnsi="Times New Roman" w:eastAsia="FangSong_GB2312" w:cs="Times New Roman"/>
          <w:b w:val="0"/>
          <w:bCs w:val="0"/>
          <w:strike w:val="0"/>
          <w:dstrike w:val="0"/>
          <w:color w:val="000000" w:themeColor="text1"/>
          <w:sz w:val="32"/>
          <w:szCs w:val="30"/>
          <w:highlight w:val="none"/>
          <w:lang w:val="en-US"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坚决守牢耕地保护红线，从严控制非农建设占用耕地，坚决遏制耕地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非农化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、防止</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非粮化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充分利用卫星遥感、无人机巡查等技术，建立健全耕地保护动态巡查机制，对发现的违法违规占用耕地行为早发现、早制止、早查处；扎实开展耕地撂荒整治工作，通过宣传引导、政策激励、土地流转等方式，推动撂荒地应种尽种，稳妥有序推进耕地恢复。合理引导种植业内部结构调整，科学处理农业项目建设与耕地保护的关系，拓宽补充耕地途径和资金渠道，探索建立奖惩并举的补偿激励机制；严格落实</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占一补一、先补后占、占优补优</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的耕地占补平衡制度</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统筹推进土地综合整治，拓宽可恢复耕地途径，确保耕地总量稳定。</w:t>
      </w:r>
    </w:p>
    <w:p w14:paraId="744A1E7A">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充分挖掘提升耕地潜力。</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不断提升耕地内在质量和产出能力，确保农业可持续发展。以集中连片、旱涝保收、稳产高产、生态友好为核心要求，系统推进高标准农田建设，配套完善灌排、路网等基础设施，持续提升耕地质量和综合生产能力。高标准完成11.9万亩高标准农田新建与改造提升项目，为粮食安全和农业高质量发展筑牢资源根基。探索农村零碎化土地整治，深入开展闲置废弃工矿、残次林地、低效园地等宜耕后备资源调查，充分挖掘可复垦土地潜力，通过整合零散地块、改善农田基础设施，提升土地利用效率和农业产出能力，推进小块并大块、分散变集中，促进耕地连片化，便于机械化作业和规模化经营。实施耕地质量提升工程，综合运用工程、生物、农艺等措施，坚持分类分区治理原则，通过耕作层快速培肥改良、土壤改良、地力培肥、治理修复等技术推广，有序推进退化海带晒场周边盐碱地耕地治理，持续改善耕地地力与土壤生态环境。</w:t>
      </w:r>
    </w:p>
    <w:p w14:paraId="110ED1B6">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黑体" w:cs="Heiti SC Medium"/>
          <w:b w:val="0"/>
          <w:bCs w:val="0"/>
          <w:strike w:val="0"/>
          <w:dstrike w:val="0"/>
          <w:color w:val="000000" w:themeColor="text1"/>
          <w:kern w:val="2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强化粮食供给安全保障。</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坚决守住粮食安全底线，持续巩固提升粮食产能，加强优良品种试验示范与推广应用，确保粮食生产稳定。建设农作物新品种示范展示基地1处，每年以小麦、玉米等主粮品种为重点，开展新品种示范展示工作，筛选出2</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5个适宜本地气候、土壤条件的优良品种，推动粮食生产向优质高效转型。同时，大力推进规模种粮经营，鼓励种粮大户、家庭农场、农业合作社扩大种植规模，落实种粮补贴等扶持政策，提升规模种粮积极性，确保粮食种植面积和总产量分别稳定在56万亩和23万吨以上，牢牢掌握粮食安全主动权。加强粮食产后服务体系建设，提升粮食收储、加工、销售等环节的现代化水平。持续完善粮食储备调控体系，推进粮食仓储物流设施建设，严厉打击粮食购销领域违法行为，保障粮食市场供应稳定。</w:t>
      </w:r>
    </w:p>
    <w:p w14:paraId="5EEF9FC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10" w:name="_Toc2463"/>
      <w:bookmarkStart w:id="111" w:name="_Toc25519"/>
      <w:r>
        <w:rPr>
          <w:rFonts w:hint="eastAsia" w:ascii="Times New Roman" w:hAnsi="Times New Roman"/>
          <w:b w:val="0"/>
          <w:bCs w:val="0"/>
          <w:strike w:val="0"/>
          <w:dstrike w:val="0"/>
          <w:color w:val="000000" w:themeColor="text1"/>
          <w:highlight w:val="none"/>
          <w:u w:val="none"/>
          <w14:textFill>
            <w14:solidFill>
              <w14:schemeClr w14:val="tx1"/>
            </w14:solidFill>
          </w14:textFill>
        </w:rPr>
        <w:t>第四节 激活乡村发展内生动力</w:t>
      </w:r>
      <w:bookmarkEnd w:id="110"/>
      <w:bookmarkEnd w:id="111"/>
    </w:p>
    <w:p w14:paraId="48CE3F82">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深化农村土地制度改革。</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扎实开展第二轮土地承包到期后再延长30年工作，牢牢守住土地承包关系稳定并长久不变的底线，为农业农村持续健康发展筑牢制度根基。立足市域农村宅基地、住宅及集体经营性建设用地资源禀赋，积极稳妥推进闲置宅基地和闲置住宅盘活利用，严格依法规范流转程序与利用行为；有序开展农村集体经营性建设用地入市试点，拓宽村集体经济增收渠道，增强乡村自我发展能力。聚焦工商资本下乡流转土地的风险防控关键环节，健全完善全过程监管与风险防范机制，确保农村土地资源有序流转、高效利用。结合荣成新型农业经营主体发展需求，积极探索放活土地经营权的多元化实现形式，持续规范农村产权交易市场建设，提升土地流转市场化、规范化水平。深化农村金融与土地制度衔接改革，推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土地经营权证</w:t>
      </w:r>
      <w:r>
        <w:rPr>
          <w:rFonts w:hint="default"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抵押融资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模式，有效破解新型农业经营主体融资抵押难题，为全市现代农业发展与乡村全面振兴注入强劲动力。</w:t>
      </w:r>
    </w:p>
    <w:p w14:paraId="62A33F18">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楷体_GB2312" w:cs="楷体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强化农村集体经济发展。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深化农村集体产权制度改革，明晰集体资产产权归属，保障农民集体资产权益。倡导各村依托集体经济以市场为导向，因地制宜、整合资源，拓展村集体经济路径，发展乡村旅游、农村电商等新产业新业态；鼓励通过资源发包、物业出租、居间服务、资产参股等多种途径，发展新型农村集体经济，增强村集体经济实力。鼓励村集体领办创办农民合作社、农业服务公司等经济实体，提升集体经济组织服务成员能力。建立集体经济收益分配机制，合理确定收益分配比例，让农民共享集体经济发展成果。加强集体经济财务管理和审计监督，确保集体资产保值增值。健全集体经济联农带农富农机制，探索</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村集体+农户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利益共享机制，推动集体增收和农户致富。加强农村集体</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三资</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数字化管理，严控村级新增债务，确保集体债务总量</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只减不增</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w:t>
      </w:r>
    </w:p>
    <w:p w14:paraId="3948AC64">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壮大高素质乡村人才队伍。</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充分利用高素质农民培育平台，积极为新型农业主体带头人、种粮大户、返乡农民工、高校大学生等群体提供精准的素质提升培育，为进一步聚集乡村人才、振兴荣成乡村经济发挥关键性作用。坚持引育结合，开展人才回流工程，吸引荣成籍在外人才返乡创业就业，带动资金、技术、信息等要素向农村汇聚，引导各类人才投身乡村振兴；</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链式培养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乡土人才，充分发挥荣成市乡村振兴专家服务团传帮带作用，在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种养加、产供销</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的产业发展链条中充分发掘、提升、储备优秀人才。</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通过线上教学、田间课堂等形式，</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开展高素质农民系列培训班，</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着力打造一支</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14:ligatures w14:val="none"/>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有文化、懂技术、善经营</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14:ligatures w14:val="none"/>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14:ligatures w14:val="none"/>
        </w:rPr>
        <w:t>的乡村人才队伍。实施新型职业农民及农业职称认定与管理，逐步完善多元化乡村就业创业支持机制，为乡村发展提供长效智力支持。</w:t>
      </w:r>
    </w:p>
    <w:p w14:paraId="7DD24BA2">
      <w:pPr>
        <w:keepNext w:val="0"/>
        <w:keepLines w:val="0"/>
        <w:pageBreakBefore w:val="0"/>
        <w:widowControl w:val="0"/>
        <w:kinsoku/>
        <w:wordWrap/>
        <w:overflowPunct w:val="0"/>
        <w:topLinePunct w:val="0"/>
        <w:autoSpaceDE/>
        <w:autoSpaceDN/>
        <w:bidi w:val="0"/>
        <w:spacing w:after="0" w:line="574" w:lineRule="exact"/>
        <w:ind w:firstLine="640" w:firstLineChars="200"/>
        <w:jc w:val="both"/>
        <w:textAlignment w:val="auto"/>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扎实推进群众共同富裕。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推动良种良法良机良田与数字化有机融合。因地制宜集成应用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四情</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监测、精准水肥药施用、智能农机装备等数字农田技术，提升耕种管收精准作业水平，实现主要作物大面积单产提升</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，带动农村农民增收致富</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聚焦农村低收入群体保障和农村农民共同富裕，持续巩固拓展脱贫攻坚成果同乡村振兴有效衔接，统筹开发保洁员、护林员等乡村公益性岗位，优先安置符合条件的困难群体，确保有劳动能力的低收入人口稳定就业；完善特困人员供养、临时救助等制度，保障困难群众基本生活水平。拓宽</w:t>
      </w:r>
      <w:r>
        <w:rPr>
          <w:rFonts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集体经济</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增收渠道，健全联农带农富农机制，深入推广</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以工代赈</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村集体+农户</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信用+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14:ligatures w14:val="none"/>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14:ligatures w14:val="none"/>
        </w:rPr>
        <w:t>等本地化实践，鼓励龙头企业、农民合作社等新型经营主体与农村群众建立稳定的利益联结关系，积极引导海洋食品、乡村旅游等产业项目优先吸纳低收入劳动力，促进农民就地就近稳定增收。</w:t>
      </w:r>
    </w:p>
    <w:p w14:paraId="1C25CE1F">
      <w:pPr>
        <w:keepNext w:val="0"/>
        <w:keepLines w:val="0"/>
        <w:pageBreakBefore w:val="0"/>
        <w:widowControl w:val="0"/>
        <w:kinsoku/>
        <w:wordWrap/>
        <w:overflowPunct w:val="0"/>
        <w:topLinePunct w:val="0"/>
        <w:autoSpaceDE/>
        <w:autoSpaceDN/>
        <w:bidi w:val="0"/>
        <w:spacing w:line="560" w:lineRule="exact"/>
        <w:textAlignment w:val="auto"/>
        <w:rPr>
          <w:rFonts w:ascii="Times New Roman" w:hAnsi="Times New Roman"/>
          <w:b w:val="0"/>
          <w:bCs w:val="0"/>
          <w:strike w:val="0"/>
          <w:dstrike w:val="0"/>
          <w:color w:val="000000" w:themeColor="text1"/>
          <w:highlight w:val="none"/>
          <w:u w:val="none"/>
          <w14:textFill>
            <w14:solidFill>
              <w14:schemeClr w14:val="tx1"/>
            </w14:solidFill>
          </w14:textFill>
        </w:rPr>
        <w:sectPr>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51F9C4C5">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12" w:name="_Toc32362"/>
      <w:bookmarkStart w:id="113" w:name="_Toc28793"/>
      <w:bookmarkStart w:id="114" w:name="_Toc8017"/>
      <w:bookmarkStart w:id="115" w:name="_Toc9717"/>
      <w:bookmarkStart w:id="116" w:name="_Toc13761"/>
      <w:r>
        <w:rPr>
          <w:rFonts w:hint="eastAsia" w:ascii="Times New Roman" w:hAnsi="Times New Roman"/>
          <w:b w:val="0"/>
          <w:bCs w:val="0"/>
          <w:strike w:val="0"/>
          <w:dstrike w:val="0"/>
          <w:color w:val="000000" w:themeColor="text1"/>
          <w:highlight w:val="none"/>
          <w:u w:val="none"/>
          <w14:textFill>
            <w14:solidFill>
              <w14:schemeClr w14:val="tx1"/>
            </w14:solidFill>
          </w14:textFill>
        </w:rPr>
        <w:t>第十</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一</w:t>
      </w: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章 </w:t>
      </w:r>
      <w:r>
        <w:rPr>
          <w:rFonts w:hint="default" w:ascii="Times New Roman" w:hAnsi="Times New Roman"/>
          <w:b w:val="0"/>
          <w:bCs w:val="0"/>
          <w:strike w:val="0"/>
          <w:dstrike w:val="0"/>
          <w:color w:val="000000" w:themeColor="text1"/>
          <w:highlight w:val="none"/>
          <w:u w:val="none"/>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14:textFill>
            <w14:solidFill>
              <w14:schemeClr w14:val="tx1"/>
            </w14:solidFill>
          </w14:textFill>
        </w:rPr>
        <w:t>创新发展优秀文化，提升</w:t>
      </w:r>
      <w:bookmarkStart w:id="117" w:name="_Toc3292"/>
      <w:r>
        <w:rPr>
          <w:rFonts w:hint="eastAsia" w:ascii="Times New Roman" w:hAnsi="Times New Roman"/>
          <w:b w:val="0"/>
          <w:bCs w:val="0"/>
          <w:strike w:val="0"/>
          <w:dstrike w:val="0"/>
          <w:color w:val="000000" w:themeColor="text1"/>
          <w:highlight w:val="none"/>
          <w:u w:val="none"/>
          <w14:textFill>
            <w14:solidFill>
              <w14:schemeClr w14:val="tx1"/>
            </w14:solidFill>
          </w14:textFill>
        </w:rPr>
        <w:t>城市文化软实力</w:t>
      </w:r>
      <w:bookmarkEnd w:id="112"/>
      <w:bookmarkEnd w:id="113"/>
      <w:bookmarkEnd w:id="114"/>
      <w:bookmarkEnd w:id="117"/>
      <w:bookmarkStart w:id="118" w:name="_Toc28465"/>
      <w:bookmarkStart w:id="119" w:name="_Toc23768"/>
    </w:p>
    <w:bookmarkEnd w:id="118"/>
    <w:bookmarkEnd w:id="119"/>
    <w:p w14:paraId="7842935C">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rPr>
        <w:t>坚持以习近平新时代中国特色社会主义思想为指导，</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立足荣成海洋文化底蕴与新时代发展</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要求</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深入实施</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文化创新创造</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工程，</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弘扬和践行社会主义核心价值观，</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不断增强文化自觉和文化自信，塑造</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荣成</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特色</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文化</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品牌</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w:t>
      </w:r>
    </w:p>
    <w:p w14:paraId="0E59E330">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20" w:name="_Toc21483"/>
      <w:bookmarkStart w:id="121" w:name="_Toc8788"/>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 持续提升全域文明程度</w:t>
      </w:r>
      <w:bookmarkEnd w:id="120"/>
      <w:bookmarkEnd w:id="121"/>
    </w:p>
    <w:p w14:paraId="7F9A25A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pPr>
      <w:bookmarkStart w:id="122" w:name="_Toc11107"/>
      <w:bookmarkStart w:id="123" w:name="_Toc13819"/>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筑牢意识形态工作阵地。</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rPr>
        <w:t>坚持马克思主义在意识形态领域的指导地位，将培育和践行社会主义核心价值观作为根本任务，</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顺应数字化发展潮流，</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创新理论宣讲模式，构建全方位、立体式党的创新理论传播矩阵，运用</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理论+直播</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理论+红色故事</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模式，深入一线开展对象化、分众化、互动化理论宣讲。强化主流舆论引导，围绕中心、服务大局，坚持团结稳定鼓劲、正面宣传为主，坚持党性和人民性相统一，准确把握时、度、效，运用全媒体方式、大众化语言、艺术化形式，持续抓好重大主题、重点工作和特色亮点等主题宣传，推出有高度、有深度、有温度的正能量产品。建强用好县级融媒体中心，以打造县域总服务台为目标，聚合公共服务资源，延伸拓展服务功能，巩固思想意识形态主流舆论阵地，打通服务群众、引导群众</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最后一公里</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w:t>
      </w:r>
    </w:p>
    <w:p w14:paraId="383FE2FD">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以文化引领塑造良好社会风气。</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以践行社会主义核心价值观为引领，深入挖掘发挥文化在价值引导、德行滋养、共识凝聚方面的深层力量，推动</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社会主义</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核心价值观深度融入基层治理与日常生活。统筹推进文明培育、文明实践与文明创建，促进城乡精神文明建设融合发展，挖掘培育各行各业先进典型，着力培育和打造一批具有鲜明特色的机关文化、校园文化、企业文化、社区文化及乡村文化品牌，为城乡社会增正气、增活力。常态化开展道德模范、身边好人等巡回宣讲，引导每个人不仅在单位是好员工、好干部、好老师，回到社区更是好市民、好邻居、好榜样，全面提升基层治理效能。统筹推进美德荣成、信用荣成建设，组织</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诚信建设万里行</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美德信用宣传月</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诚信大讲堂</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6·14信用记录日</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等诚信文化品牌活动，弘扬诚信文化、廉洁文化，注重家庭家风家教建设。实施乡风文明建设工程，深化移风易俗。深入推进全环境立德树人，加强和改进未成年人思想道德建设。</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强化</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新经济组织、新社会组织文明创建工作，倡导文明餐桌、文明旅游、文明交通等社会风尚，实现</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城</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的文明和</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人</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的文明同步提升。</w:t>
      </w:r>
    </w:p>
    <w:p w14:paraId="51B34876">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以文化赋能基层社会治理。</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将文化建设深度融入</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五位一体</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社区治理共同体，推动文化社区（文化书院）从试点示范向全域覆盖。重点依托</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荣归故里</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计划、</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城市合伙人</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等品牌，挖掘日主文化、渔家文化、卫所文化等本土文化脉络，有效链接在地居民、返乡人才、创业伙伴及旅居群体，增进价值认同与情感融合。推进社区文化建设，以青山幸福里小院、河东幸福院落等示范街巷为引领，聚焦</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一社一品</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创新打造睦邻会客厅、零碳打卡点、跨社区文化书院等</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文化+</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治理场景，促进文化传承、邻里交往、协商议事有机融合，切实将文化</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软实力</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转化为矛盾化解、共识凝聚、参与激发的治理</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硬支撑</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w:t>
      </w:r>
    </w:p>
    <w:p w14:paraId="48FFDC3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打造本土区域特色文化品牌。</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立足荣成</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红色根脉、蓝色海洋、金色渔家</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的独特文化禀赋，抓好特色主题文艺作品创作与精品培育，擦亮城市文化名片，</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开展</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一桌最海鲜、一个房车梦、一池天鹅舞、一腔故里情、一城仁爱风</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五个一</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”系列主题活动</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，让荣成故事走向更广阔舞台。抓好红色文化、海洋文化、渔家文化等特色主题文艺作品创作，深度挖掘本土文化内核，让作品既有</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荣成味</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又有</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时代感</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。探索策划沉浸式互动话剧、歌舞剧、舞台剧、音乐剧等精品节目，举办戏剧、音乐</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嘉年华</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等演艺活动，生动展现荣成文化特色。持续鼓励本土作家、文学爱好者扎根生活，创作反映荣成城乡发展、民生变迁的优秀文学作品，展现荣成从</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靠海吃海</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到</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养海富海</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的深刻变化，培育具有地域辨识度的文学品牌。</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实施文艺精品创作质量提升工程，</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强化统筹推进与品质攻坚，争取更多作品入选</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泰山文艺奖</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等高水平行业领域奖项。</w:t>
      </w:r>
    </w:p>
    <w:p w14:paraId="46ECDF4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24" w:name="_Toc4815"/>
      <w:bookmarkStart w:id="125" w:name="_Toc28682"/>
      <w:r>
        <w:rPr>
          <w:rFonts w:hint="eastAsia" w:ascii="Times New Roman" w:hAnsi="Times New Roman"/>
          <w:b w:val="0"/>
          <w:bCs w:val="0"/>
          <w:strike w:val="0"/>
          <w:dstrike w:val="0"/>
          <w:color w:val="000000" w:themeColor="text1"/>
          <w:highlight w:val="none"/>
          <w:u w:val="none"/>
          <w14:textFill>
            <w14:solidFill>
              <w14:schemeClr w14:val="tx1"/>
            </w14:solidFill>
          </w14:textFill>
        </w:rPr>
        <w:t>第二节 完善公共文化服务体系</w:t>
      </w:r>
      <w:bookmarkEnd w:id="122"/>
      <w:bookmarkEnd w:id="123"/>
      <w:bookmarkEnd w:id="124"/>
      <w:bookmarkEnd w:id="125"/>
    </w:p>
    <w:p w14:paraId="7FFB9BA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优化公共文化设施布局。</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在市镇村三级文明实践阵地全覆盖的基础上，进一步延伸服务链条，强化资源整合，构建高质量的文明实践阵地格局，</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建设</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片区文明实践中心站</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、综合体，</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实现阵地共享、队伍共建、活动共办，带动文明实践服务水平全面提升。同时，建设城市书房、乡镇综合文化站、村（社区）综合性文化服务中心等基层阵地。完善提升图书馆、文化馆、美术馆等市级设施，利用景区、街区、度假区和商圈</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三区一圈</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公共空间，提升城市文化艺术氛围。推进智慧博物馆、数字农家书屋建设，打造新型公共文化空间，积极探索城市美育、亲子教育、艺术展览、文化传承的新场所，进一步完善15分钟公共文化圈，实现优质文化资源全域覆盖。</w:t>
      </w:r>
    </w:p>
    <w:p w14:paraId="6190F026">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丰富公共文化产品供给。</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丰富基层优质文化服务和文化产品供给。实施文化惠民工程，精心组织文化进万家、</w:t>
      </w:r>
      <w:r>
        <w:rPr>
          <w:rFonts w:hint="eastAsia" w:ascii="Times New Roman" w:hAnsi="Times New Roman" w:eastAsia="仿宋_GB2312" w:cs="仿宋_GB2312"/>
          <w:b w:val="0"/>
          <w:bCs w:val="0"/>
          <w:strike w:val="0"/>
          <w:dstrike w:val="0"/>
          <w:color w:val="000000" w:themeColor="text1"/>
          <w:kern w:val="21"/>
          <w:sz w:val="32"/>
          <w:szCs w:val="32"/>
          <w:highlight w:val="none"/>
          <w14:textFill>
            <w14:solidFill>
              <w14:schemeClr w14:val="tx1"/>
            </w14:solidFill>
          </w14:textFill>
          <w14:ligatures w14:val="standardContextual"/>
        </w:rPr>
        <w:t>公益电影放映、</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百姓大课堂、渔家秧歌展演等群众性文化文艺活动；积极发展</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非遗+旅游</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等创新文旅活动，持续释放</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1"/>
          <w:sz w:val="32"/>
          <w:szCs w:val="32"/>
          <w:highlight w:val="none"/>
          <w:lang w:eastAsia="zh-CN"/>
          <w14:textFill>
            <w14:solidFill>
              <w14:schemeClr w14:val="tx1"/>
            </w14:solidFill>
          </w14:textFill>
          <w14:ligatures w14:val="standardContextual"/>
        </w:rPr>
        <w:t>海洋</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大集</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开洋谢洋节</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成山头吃会</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color w:val="000000" w:themeColor="text1"/>
          <w:sz w:val="32"/>
          <w:szCs w:val="32"/>
          <w:highlight w:val="none"/>
          <w14:textFill>
            <w14:solidFill>
              <w14:schemeClr w14:val="tx1"/>
            </w14:solidFill>
          </w14:textFill>
        </w:rPr>
        <w:t>中国海岸第一缕阳光</w:t>
      </w:r>
      <w:r>
        <w:rPr>
          <w:rFonts w:hint="eastAsia" w:ascii="Times New Roman" w:hAnsi="Times New Roman" w:eastAsia="仿宋_GB2312"/>
          <w:b w:val="0"/>
          <w:bCs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等</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品牌</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效应，推动文化产品供给全年不断档；</w:t>
      </w:r>
      <w:r>
        <w:rPr>
          <w:rFonts w:ascii="Times New Roman" w:hAnsi="Times New Roman" w:eastAsia="仿宋_GB2312"/>
          <w:b w:val="0"/>
          <w:bCs w:val="0"/>
          <w:strike w:val="0"/>
          <w:dstrike w:val="0"/>
          <w:color w:val="000000" w:themeColor="text1"/>
          <w:sz w:val="32"/>
          <w:szCs w:val="32"/>
          <w:highlight w:val="none"/>
          <w14:textFill>
            <w14:solidFill>
              <w14:schemeClr w14:val="tx1"/>
            </w14:solidFill>
          </w14:textFill>
        </w:rPr>
        <w:t>以文化活动为牵引，</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引导青年文化积极健康发展，</w:t>
      </w:r>
      <w:r>
        <w:rPr>
          <w:rFonts w:ascii="Times New Roman" w:hAnsi="Times New Roman" w:eastAsia="仿宋_GB2312"/>
          <w:b w:val="0"/>
          <w:bCs w:val="0"/>
          <w:strike w:val="0"/>
          <w:dstrike w:val="0"/>
          <w:color w:val="000000" w:themeColor="text1"/>
          <w:sz w:val="32"/>
          <w:szCs w:val="32"/>
          <w:highlight w:val="none"/>
          <w14:textFill>
            <w14:solidFill>
              <w14:schemeClr w14:val="tx1"/>
            </w14:solidFill>
          </w14:textFill>
        </w:rPr>
        <w:t>继续办好</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书香荣成·全民阅读</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”“青年夜校”</w:t>
      </w:r>
      <w:r>
        <w:rPr>
          <w:rFonts w:ascii="Times New Roman" w:hAnsi="Times New Roman" w:eastAsia="仿宋_GB2312"/>
          <w:b w:val="0"/>
          <w:bCs w:val="0"/>
          <w:strike w:val="0"/>
          <w:dstrike w:val="0"/>
          <w:color w:val="000000" w:themeColor="text1"/>
          <w:sz w:val="32"/>
          <w:szCs w:val="32"/>
          <w:highlight w:val="none"/>
          <w14:textFill>
            <w14:solidFill>
              <w14:schemeClr w14:val="tx1"/>
            </w14:solidFill>
          </w14:textFill>
        </w:rPr>
        <w:t>等品牌活动</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，不断提升城市文化气质。</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提高公共文化服务数字化水平，</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利用数字化技术，打造线上文化服务平台，提供在线阅读、在线观展、在线培训等多样化文化服务，满足不同群体文化需求。加强与高校、文化机构合作，引进优质文化资源，举办高层次文化讲座、艺术展览、文艺演出等活动，提升公共文化产品供给质量和水平。</w:t>
      </w:r>
    </w:p>
    <w:p w14:paraId="4CC57945">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pPr>
      <w:bookmarkStart w:id="126" w:name="_Toc24703"/>
      <w:bookmarkStart w:id="127" w:name="_Toc22539"/>
      <w:bookmarkStart w:id="128" w:name="_Toc22922"/>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强化文化志愿服务支撑。</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持续深化</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志愿+信用</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机制，发挥</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物质奖励+精神激励</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双重引导作用，完善</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积分+兑换</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表彰+激励</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模式，加快构建人人参与、人人尽责、人人享有的</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大志愿</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基层治理新格局。充分发挥文化志愿者服务队阵地优势，调动协会、学校、企业等社会力量参与，全面提升文化普及志愿者的服务意识和服务水平；以志愿服务为基石，与乡村治理紧密结合，通过强化思想引领、创新服务模式，依托各级文明实践阵地平台，推动优质文化资源和公共服务送到群众身边，引导群众在参与体验中感受传统文化魅力。精准对接群众需求，组织志愿者深入基层开展</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百姓吹哨专家报到</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文化服务活动，开展送戏下乡、</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百姓大课堂</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公益培训、</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流动图书车</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进基层等文化惠民活动1000场以上。</w:t>
      </w:r>
    </w:p>
    <w:p w14:paraId="33ADD3B4">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29" w:name="_Toc18021"/>
      <w:r>
        <w:rPr>
          <w:rFonts w:hint="eastAsia" w:ascii="Times New Roman" w:hAnsi="Times New Roman"/>
          <w:b w:val="0"/>
          <w:bCs w:val="0"/>
          <w:strike w:val="0"/>
          <w:dstrike w:val="0"/>
          <w:color w:val="000000" w:themeColor="text1"/>
          <w:highlight w:val="none"/>
          <w:u w:val="none"/>
          <w14:textFill>
            <w14:solidFill>
              <w14:schemeClr w14:val="tx1"/>
            </w14:solidFill>
          </w14:textFill>
        </w:rPr>
        <w:t>第三节 传承弘扬优秀传统文化</w:t>
      </w:r>
      <w:bookmarkEnd w:id="126"/>
      <w:bookmarkEnd w:id="127"/>
      <w:bookmarkEnd w:id="128"/>
      <w:bookmarkEnd w:id="129"/>
    </w:p>
    <w:p w14:paraId="08702FC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楷体_GB2312" w:cs="楷体_GB2312"/>
          <w:b w:val="0"/>
          <w:bCs w:val="0"/>
          <w:strike w:val="0"/>
          <w:dstrike w:val="0"/>
          <w:color w:val="000000" w:themeColor="text1"/>
          <w:sz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加强文化遗产保护管理。</w:t>
      </w:r>
      <w:r>
        <w:rPr>
          <w:rFonts w:hint="eastAsia"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深入开展文物普查与认定工作，建立完善的文化遗产数据库，对各级文物保护单位实施更加严格的保护措施，确保荣成文物安全。</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立足荣成海草房建筑特色与红色历史底蕴，以系统性保护筑牢文化根基</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深入推进海草房文物保护示范区创建，实施海草房保护项目，加快</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推进</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烟墩角</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等传统村落</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海草房修缮工程</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延续海草房</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石墙海草顶</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的传统风貌；开展石岛天后宫保养维修工程，维护海洋民俗信仰载体的历史格局；推进俚岛地下交通站修缮工程，同步完成相关岛村海草房的修复与勘探，推动红色遗址与传统建筑共生保护。</w:t>
      </w:r>
    </w:p>
    <w:p w14:paraId="6F09C932">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加强非物质文化遗产保护。</w:t>
      </w:r>
      <w:r>
        <w:rPr>
          <w:rFonts w:hint="eastAsia"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对传统技艺、民俗</w:t>
      </w:r>
      <w:r>
        <w:rPr>
          <w:rFonts w:hint="eastAsia"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等类别的</w:t>
      </w:r>
      <w:r>
        <w:rPr>
          <w:rFonts w:hint="eastAsia"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非遗项目进行系统性挖掘、整理和传承，培养非遗传承人，推动非遗活态传承。加大对历史文化街区、传统村落的保护力度，保持其历史风貌和传统格局，让文化遗产</w:t>
      </w:r>
      <w:r>
        <w:rPr>
          <w:rFonts w:hint="eastAsia"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活</w:t>
      </w:r>
      <w:r>
        <w:rPr>
          <w:rFonts w:hint="eastAsia"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起来，传承历史文脉。</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深入推进海洋渔文化（荣成）生态保护区建设，加强海洋文化系统性研究、保护与利用，推出一批具有历史史料价值、学术路径价值、实际应用价值的理论研究成果，办好</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文化和自然遗产日</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非遗六进</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海洋民俗文化月</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等传承推广活动，加快</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非遗青年</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品牌活动打造，增强公众保护意识与文化认同</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申报</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荣成市</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非物质文化遗产代表性项目</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40个以上</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w:t>
      </w:r>
    </w:p>
    <w:p w14:paraId="45EC846D">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加快传统文化“两创”发展。</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实现文物</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历史价值</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与</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当代价值</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双向转化。推动文物与业态创新融合，支持海草房等建筑成为</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可居住、可体验、可消费</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的文化空间；</w:t>
      </w:r>
      <w:r>
        <w:rPr>
          <w:rFonts w:hint="eastAsia" w:ascii="Times New Roman" w:hAnsi="Times New Roman" w:eastAsia="仿宋_GB2312" w:cs="仿宋_GB2312"/>
          <w:b w:val="0"/>
          <w:bCs w:val="0"/>
          <w:strike w:val="0"/>
          <w:dstrike w:val="0"/>
          <w:color w:val="000000" w:themeColor="text1"/>
          <w:kern w:val="2"/>
          <w:sz w:val="32"/>
          <w:szCs w:val="32"/>
          <w:highlight w:val="none"/>
          <w:lang w:val="en-US" w:eastAsia="zh-CN" w:bidi="ar-SA"/>
          <w14:textFill>
            <w14:solidFill>
              <w14:schemeClr w14:val="tx1"/>
            </w14:solidFill>
          </w14:textFill>
        </w:rPr>
        <w:t>切实加强历史文化遗产保护，实施省级文物保护单位烟墩角海草房、小西海草房等海草房修缮保护工程，进一步深化海草房文物保护利用示范区创建，打造具有示范意义的乡土遗产保护实践样板，积极推进文物活化利用，真正实现保护与发展的良性互动、遗产与生活的和谐共生。</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积极推动非遗传承传播基地、非遗工坊建设</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打造非遗传承与生产融合的特色业态，激发文化消费活力。开发推广</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村字号</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活动，融入非遗元素，讲好乡村故事，提升乡村文化内涵与独特吸引力。增设云赏非遗、非遗闹春、非遗课堂等特色栏目，打造群众浸润式非遗体验矩阵</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。力争到</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2030年，</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打造</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非遗传承传播基地、非遗工坊</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15个以上</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w:t>
      </w:r>
    </w:p>
    <w:p w14:paraId="52493597">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30" w:name="_Toc4238"/>
      <w:bookmarkStart w:id="131" w:name="_Toc5903"/>
      <w:bookmarkStart w:id="132" w:name="_Toc16464"/>
      <w:bookmarkStart w:id="133" w:name="_Toc17814"/>
      <w:r>
        <w:rPr>
          <w:rFonts w:hint="eastAsia" w:ascii="Times New Roman" w:hAnsi="Times New Roman"/>
          <w:b w:val="0"/>
          <w:bCs w:val="0"/>
          <w:strike w:val="0"/>
          <w:dstrike w:val="0"/>
          <w:color w:val="000000" w:themeColor="text1"/>
          <w:highlight w:val="none"/>
          <w:u w:val="none"/>
          <w14:textFill>
            <w14:solidFill>
              <w14:schemeClr w14:val="tx1"/>
            </w14:solidFill>
          </w14:textFill>
        </w:rPr>
        <w:t>第四节 推动文化产业高质量发展</w:t>
      </w:r>
      <w:bookmarkEnd w:id="130"/>
      <w:bookmarkEnd w:id="131"/>
      <w:bookmarkEnd w:id="132"/>
      <w:bookmarkEnd w:id="133"/>
    </w:p>
    <w:p w14:paraId="35B5F63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b w:val="0"/>
          <w:bCs w:val="0"/>
          <w:strike w:val="0"/>
          <w:dstrike w:val="0"/>
          <w:color w:val="000000" w:themeColor="text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健全双轨发展机制。</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立足荣成文化特色，统筹把握文化的意识形态属性和产业属性，推动文化事业与文化产业协同发展，激发文化创新活力。深化文化体制机制改革，吸纳本地非遗工坊、海洋文创企业等新型主体参与，完善文化经济政策，推动文化产业链上下游融合。</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坚持</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政府主导、社会参与、辐射基层、共建共享</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思路，鼓励企业、农村合作社等多元主体投资建设</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渔乡文化驿站</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、运营</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海岛文创商店</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推动文化与实体经济融合，加快开发</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渔家文化IP衍生品</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海草房主题文创</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等产品，推动建设</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主题</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影视拍摄基地，推动</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山东手造</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与</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荣成好礼</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等品牌融合，争取更多荣成产品成为</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山东有礼</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礼尚威海</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供应商，加速海带、海参、苹果、无花果等特产向旅游商品及文创产品转化，培育荣成文化新质生产力。</w:t>
      </w:r>
    </w:p>
    <w:p w14:paraId="6BE7A29F">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yellow"/>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促进文化科技赋能。</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以人工智能、大数据、云计算等前沿技术为驱动，赋能荣成特色文化产业转型。推进文化大数据平台建设，整合荣成海洋文化、红色文化、民俗文化等特色资源库，实现文化资源数字化存储与智能化应用。加强文化科技融合示范基地建设，培育一批</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文化+科技</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型创新企业，重点扶持海洋文创数字开发、智能文化装备制造等领域的科技项目。构建数字化文化生产与传播体系，鼓励文化企业运用3D建模、虚拟现实等技术开发沉浸式文化体验产品，深挖海草房、</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“三渔文化”</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等传统文化资源，积极探索</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海洋渔文化生态保护区云平台</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建设，进一步完善数字化保护及智库建设。通过</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智慧非遗</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智慧博物馆</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等建设，充分利用多媒体互动展示、数字讲解阐释、VR虚拟、AI人工智能等手段，实现传统文化业态数字化升级，促进文化资源整合共享，重塑文化体验流程。</w:t>
      </w:r>
    </w:p>
    <w:p w14:paraId="2CB225F6">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推进文旅融合纵深发展。</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立足</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海洋文化之乡</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深厚底蕴，秉持</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以文促旅、以旅彰文</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理念，深挖特色文化内核，构建多元文化IP矩阵与沉浸式场景，推动文化</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和</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旅游深度融合升级。</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以赤山法华院“一寺连三国”千年文脉为根基，锚定中日韩文化纽带，</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系统整合</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三渔文化</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、郭永怀红色文化、胶东民俗文化、海草房建筑文化、大天鹅生态文化等核心资源，打造</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非遗+历史+生态+红色</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立体化文化IP体系，让特色文化成为文旅发展的核心内核。推动文化IP与景点建设深度耦合，以成山头祭日历史文脉为底蕴，通过文化铸魂、业态赋能，推动成山头日主文化从</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静态保护</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向</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活态传承</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转变，将成山头打造为全国知名的日主文化体验目的地。</w:t>
      </w:r>
      <w:r>
        <w:rPr>
          <w:rFonts w:hint="eastAsia" w:ascii="Times New Roman" w:hAnsi="Times New Roman" w:eastAsia="仿宋_GB2312"/>
          <w:b w:val="0"/>
          <w:bCs w:val="0"/>
          <w:strike w:val="0"/>
          <w:dstrike w:val="0"/>
          <w:color w:val="000000" w:themeColor="text1"/>
          <w:sz w:val="32"/>
          <w:szCs w:val="32"/>
          <w:highlight w:val="none"/>
          <w:lang w:eastAsia="zh-CN"/>
          <w14:textFill>
            <w14:solidFill>
              <w14:schemeClr w14:val="tx1"/>
            </w14:solidFill>
          </w14:textFill>
        </w:rPr>
        <w:t>同时，</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在赤山、成山头、天鹅湖、海草房村落等重点区域，打造渔家习俗体验、非遗手作工坊、汉服沉浸式演艺、大天鹅生态研学、海草房营造技艺展示等多元场景，实现文化赋能旅游品质升级，推动文旅融合向更深层次、更高质量发展。</w:t>
      </w:r>
    </w:p>
    <w:p w14:paraId="7BA6123F">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ascii="Times New Roman" w:hAnsi="Times New Roman" w:eastAsia="仿宋_GB2312" w:cs="仿宋_GB2312"/>
          <w:b w:val="0"/>
          <w:bCs w:val="0"/>
          <w:strike w:val="0"/>
          <w:dstrike w:val="0"/>
          <w:color w:val="000000" w:themeColor="text1"/>
          <w:sz w:val="32"/>
          <w:szCs w:val="32"/>
          <w:highlight w:val="none"/>
          <w:u w:val="none"/>
          <w:vertAlign w:val="superscript"/>
          <w14:textFill>
            <w14:solidFill>
              <w14:schemeClr w14:val="tx1"/>
            </w14:solidFill>
          </w14:textFill>
        </w:rPr>
        <w:sectPr>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p>
    <w:p w14:paraId="00E405B7">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pPr>
      <w:bookmarkStart w:id="134" w:name="_Toc212303174"/>
      <w:bookmarkStart w:id="135" w:name="_Toc27115"/>
      <w:bookmarkStart w:id="136" w:name="_Toc24369"/>
      <w:bookmarkStart w:id="137" w:name="_Toc28223"/>
      <w:r>
        <w:rPr>
          <w:rFonts w:hint="eastAsia" w:ascii="Times New Roman" w:hAnsi="Times New Roman"/>
          <w:b w:val="0"/>
          <w:bCs w:val="0"/>
          <w:strike w:val="0"/>
          <w:dstrike w:val="0"/>
          <w:color w:val="000000" w:themeColor="text1"/>
          <w:highlight w:val="none"/>
          <w:u w:val="none"/>
          <w14:textFill>
            <w14:solidFill>
              <w14:schemeClr w14:val="tx1"/>
            </w14:solidFill>
          </w14:textFill>
        </w:rPr>
        <w:t>第十</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二</w:t>
      </w: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章  </w:t>
      </w:r>
      <w:bookmarkEnd w:id="134"/>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着力保障改善民生</w:t>
      </w:r>
      <w:r>
        <w:rPr>
          <w:rFonts w:hint="eastAsia" w:ascii="Times New Roman" w:hAnsi="Times New Roman"/>
          <w:b w:val="0"/>
          <w:bCs w:val="0"/>
          <w:strike w:val="0"/>
          <w:dstrike w:val="0"/>
          <w:color w:val="000000" w:themeColor="text1"/>
          <w:highlight w:val="none"/>
          <w:u w:val="none"/>
          <w14:textFill>
            <w14:solidFill>
              <w14:schemeClr w14:val="tx1"/>
            </w14:solidFill>
          </w14:textFill>
        </w:rPr>
        <w:t>，</w:t>
      </w:r>
      <w:bookmarkEnd w:id="135"/>
      <w:bookmarkEnd w:id="136"/>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促进全体人民共同富裕</w:t>
      </w:r>
      <w:bookmarkEnd w:id="137"/>
    </w:p>
    <w:p w14:paraId="1EC42534">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聚焦就业创业、教育、医疗健康、社保等核心领域，强化普惠性、基础性、兜底性民生建设，破解群众急难愁盼，畅通社会流动渠道，稳步推进基本公共服务均等化，让发展成果更多更公平惠及全体人民，持续提升民生福祉与生活品质。</w:t>
      </w:r>
    </w:p>
    <w:p w14:paraId="0CEE2686">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eastAsia="黑体"/>
          <w:b w:val="0"/>
          <w:bCs w:val="0"/>
          <w:strike w:val="0"/>
          <w:dstrike w:val="0"/>
          <w:color w:val="000000" w:themeColor="text1"/>
          <w:highlight w:val="none"/>
          <w:u w:val="none"/>
          <w:lang w:eastAsia="zh-CN"/>
          <w14:textFill>
            <w14:solidFill>
              <w14:schemeClr w14:val="tx1"/>
            </w14:solidFill>
          </w14:textFill>
        </w:rPr>
      </w:pPr>
      <w:bookmarkStart w:id="138" w:name="_Toc10971"/>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促进高质量充分就业</w:t>
      </w:r>
      <w:bookmarkEnd w:id="138"/>
    </w:p>
    <w:p w14:paraId="32C09383">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ascii="Times New Roman" w:hAnsi="Times New Roman" w:cs="Times New Roman"/>
          <w:b w:val="0"/>
          <w:bCs w:val="0"/>
          <w:strike w:val="0"/>
          <w:dstrike w:val="0"/>
          <w:color w:val="000000" w:themeColor="text1"/>
          <w:highlight w:val="none"/>
          <w:u w:val="none"/>
          <w14:textFill>
            <w14:solidFill>
              <w14:schemeClr w14:val="tx1"/>
            </w14:solidFill>
          </w14:textFill>
        </w:rPr>
      </w:pPr>
      <w:bookmarkStart w:id="139" w:name="_Toc6884"/>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推动就业提质扩容。</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坚持就业优先战略导向，以全省首批高质量充分就业县试点为契机，健全产业与就业协同联动机制，</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强化</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5+2</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七大产业链就业岗位供给，</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力争到</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2030年</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开发优质岗位1万个以上</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强化</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稳岗扩岗政策</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支持</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加强</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就业政策与经济政策、社会政策有效衔接，切实降低企业用工成本，激励企业更多吸纳就业。</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力争到</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2030年</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，实现城镇新增就业3.</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2</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万人以上。加快公共人力资源服务机构、社区就业服务站等载体建设，深化</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社区微业</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行动，探索</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15分钟就业服务圈</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与</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一刻钟便民生活圈</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融合试点，</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构建</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城乡均等的公共就业服务体系。</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完善</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就业形势分析研判机制，深化</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农民工、退役军人、就业困难人员等</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重点群体就业帮扶，防范化解规模性失业风险。健全劳动关系协商协调机制，积极推广电子劳动合同应用，加快推动企业建立集体协商制度，促进劳动关系和谐稳定。</w:t>
      </w:r>
    </w:p>
    <w:p w14:paraId="24020018">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加大创业扶持力度。</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深入实施</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highlight w:val="none"/>
          <w:u w:val="none"/>
          <w14:textFill>
            <w14:solidFill>
              <w14:schemeClr w14:val="tx1"/>
            </w14:solidFill>
          </w14:textFill>
        </w:rPr>
        <w:t>创业荣成</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行动，发挥创业贷款、创业补贴等政策杠杆作用，加大对初创实体、小微企业、新个体经济的支持力度，建立健全创业带动就业扶持长效机制。高水平举办大学生创业创新大赛、创新资源对接等创业促进活动，支持建设一批高质量创业园区、创业导师工作室</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推广创业</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一件事</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集成服务，优化创业发展环境，全面建成政策精准、载体多元、服务专业、生态优良的创业支持体系，创业带动就业的倍增效应显著增强。</w:t>
      </w:r>
    </w:p>
    <w:p w14:paraId="5A65FB5A">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完善收入分配制度。</w:t>
      </w:r>
      <w:r>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坚持按劳分配为主</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体</w:t>
      </w:r>
      <w:r>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多种分配方式并存，提高居民收入在国民收入分配中的比重，提高劳动报酬在初次分配中的比重，确保经济增长的同时实现居民收入基本同步增长，在生产率提高的同时实现劳动报酬同步提高。健全工资合理增长机制，完善最低工资标准调整、企业薪酬调查和信息发布制度，有效增加低收入群体收入。结合上级政策，完善事业单位工资分级分类管理模式，积极推进公立医院薪酬制度改革。强化重点行业领域欠薪问题综合整治，加强劳动争议纠纷调解，切实保障劳动者权益，营造公平有序就业环境。</w:t>
      </w:r>
    </w:p>
    <w:p w14:paraId="431DD3DB">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ascii="Times New Roman" w:hAnsi="Times New Roman" w:cs="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提升职业技能水平。</w:t>
      </w:r>
      <w:r>
        <w:rPr>
          <w:rFonts w:hint="eastAsia" w:ascii="Times New Roman" w:hAnsi="Times New Roman"/>
          <w:b w:val="0"/>
          <w:bCs w:val="0"/>
          <w:strike w:val="0"/>
          <w:dstrike w:val="0"/>
          <w:color w:val="000000" w:themeColor="text1"/>
          <w:highlight w:val="none"/>
          <w:u w:val="none"/>
          <w14:textFill>
            <w14:solidFill>
              <w14:schemeClr w14:val="tx1"/>
            </w14:solidFill>
          </w14:textFill>
        </w:rPr>
        <w:t>健全终身职业技能培训制度，紧密对接我市</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5+2</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七大产业链发展需求，全面推行</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岗位需要+技能培训+技能评价+就业服务</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四位一体的项目化培训模式，</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力争到</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2030年</w:t>
      </w:r>
      <w:r>
        <w:rPr>
          <w:rFonts w:hint="eastAsia" w:ascii="Times New Roman" w:hAnsi="Times New Roman"/>
          <w:b w:val="0"/>
          <w:bCs w:val="0"/>
          <w:strike w:val="0"/>
          <w:dstrike w:val="0"/>
          <w:color w:val="000000" w:themeColor="text1"/>
          <w:highlight w:val="none"/>
          <w:u w:val="none"/>
          <w14:textFill>
            <w14:solidFill>
              <w14:schemeClr w14:val="tx1"/>
            </w14:solidFill>
          </w14:textFill>
        </w:rPr>
        <w:t>，开展职业技能培训</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1</w:t>
      </w:r>
      <w:r>
        <w:rPr>
          <w:rFonts w:hint="eastAsia" w:ascii="Times New Roman" w:hAnsi="Times New Roman"/>
          <w:b w:val="0"/>
          <w:bCs w:val="0"/>
          <w:strike w:val="0"/>
          <w:dstrike w:val="0"/>
          <w:color w:val="000000" w:themeColor="text1"/>
          <w:highlight w:val="none"/>
          <w:u w:val="none"/>
          <w14:textFill>
            <w14:solidFill>
              <w14:schemeClr w14:val="tx1"/>
            </w14:solidFill>
          </w14:textFill>
        </w:rPr>
        <w:t>万人次以上，技能人才占</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就业人员的</w:t>
      </w:r>
      <w:r>
        <w:rPr>
          <w:rFonts w:hint="eastAsia" w:ascii="Times New Roman" w:hAnsi="Times New Roman"/>
          <w:b w:val="0"/>
          <w:bCs w:val="0"/>
          <w:strike w:val="0"/>
          <w:dstrike w:val="0"/>
          <w:color w:val="000000" w:themeColor="text1"/>
          <w:highlight w:val="none"/>
          <w:u w:val="none"/>
          <w14:textFill>
            <w14:solidFill>
              <w14:schemeClr w14:val="tx1"/>
            </w14:solidFill>
          </w14:textFill>
        </w:rPr>
        <w:t>比例</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提高至</w:t>
      </w:r>
      <w:r>
        <w:rPr>
          <w:rFonts w:hint="eastAsia" w:ascii="Times New Roman" w:hAnsi="Times New Roman"/>
          <w:b w:val="0"/>
          <w:bCs w:val="0"/>
          <w:strike w:val="0"/>
          <w:dstrike w:val="0"/>
          <w:color w:val="000000" w:themeColor="text1"/>
          <w:highlight w:val="none"/>
          <w:u w:val="none"/>
          <w14:textFill>
            <w14:solidFill>
              <w14:schemeClr w14:val="tx1"/>
            </w14:solidFill>
          </w14:textFill>
        </w:rPr>
        <w:t>35%。</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鼓励</w:t>
      </w:r>
      <w:r>
        <w:rPr>
          <w:rFonts w:hint="eastAsia" w:ascii="Times New Roman" w:hAnsi="Times New Roman"/>
          <w:b w:val="0"/>
          <w:bCs w:val="0"/>
          <w:strike w:val="0"/>
          <w:dstrike w:val="0"/>
          <w:color w:val="000000" w:themeColor="text1"/>
          <w:highlight w:val="none"/>
          <w:u w:val="none"/>
          <w14:textFill>
            <w14:solidFill>
              <w14:schemeClr w14:val="tx1"/>
            </w14:solidFill>
          </w14:textFill>
        </w:rPr>
        <w:t>企业与职业院校深化合作，</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聚焦</w:t>
      </w:r>
      <w:r>
        <w:rPr>
          <w:rFonts w:hint="eastAsia" w:ascii="Times New Roman" w:hAnsi="Times New Roman"/>
          <w:b w:val="0"/>
          <w:bCs w:val="0"/>
          <w:strike w:val="0"/>
          <w:dstrike w:val="0"/>
          <w:color w:val="000000" w:themeColor="text1"/>
          <w:highlight w:val="none"/>
          <w:u w:val="none"/>
          <w14:textFill>
            <w14:solidFill>
              <w14:schemeClr w14:val="tx1"/>
            </w14:solidFill>
          </w14:textFill>
        </w:rPr>
        <w:t>海洋生物、智能制造等领域，围绕急需紧缺工种精准开展订单式、定向式培训。拓宽技能人才成长通道，开展</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技能照亮前程</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专项行动，定期举办</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全市</w:t>
      </w:r>
      <w:r>
        <w:rPr>
          <w:rFonts w:hint="eastAsia" w:ascii="Times New Roman" w:hAnsi="Times New Roman"/>
          <w:b w:val="0"/>
          <w:bCs w:val="0"/>
          <w:strike w:val="0"/>
          <w:dstrike w:val="0"/>
          <w:color w:val="000000" w:themeColor="text1"/>
          <w:highlight w:val="none"/>
          <w:u w:val="none"/>
          <w14:textFill>
            <w14:solidFill>
              <w14:schemeClr w14:val="tx1"/>
            </w14:solidFill>
          </w14:textFill>
        </w:rPr>
        <w:t>职业技能竞赛，加大</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首席技师</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技术能手</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等高技能人才的选拔表彰力度，营造</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崇尚一技之长</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b w:val="0"/>
          <w:bCs w:val="0"/>
          <w:strike w:val="0"/>
          <w:dstrike w:val="0"/>
          <w:color w:val="000000" w:themeColor="text1"/>
          <w:highlight w:val="none"/>
          <w:u w:val="none"/>
          <w14:textFill>
            <w14:solidFill>
              <w14:schemeClr w14:val="tx1"/>
            </w14:solidFill>
          </w14:textFill>
        </w:rPr>
        <w:t>社会风尚。</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加快推进公共实训基地运营，</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力争</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到</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2030年</w:t>
      </w:r>
      <w:r>
        <w:rPr>
          <w:rFonts w:hint="eastAsia" w:ascii="Times New Roman" w:hAnsi="Times New Roman"/>
          <w:b w:val="0"/>
          <w:bCs w:val="0"/>
          <w:strike w:val="0"/>
          <w:dstrike w:val="0"/>
          <w:color w:val="000000" w:themeColor="text1"/>
          <w:highlight w:val="none"/>
          <w:u w:val="none"/>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实现年均培训3</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0</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00人次以上，</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建设</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促进县域技能赋能高质量就业的</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highlight w:val="none"/>
          <w:u w:val="none"/>
          <w14:textFill>
            <w14:solidFill>
              <w14:schemeClr w14:val="tx1"/>
            </w14:solidFill>
          </w14:textFill>
        </w:rPr>
        <w:t>荣成样板</w:t>
      </w:r>
      <w:r>
        <w:rPr>
          <w:rFonts w:hint="eastAsia" w:ascii="Times New Roman" w:hAnsi="Times New Roman" w:cs="仿宋_GB2312"/>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w:t>
      </w:r>
    </w:p>
    <w:p w14:paraId="742068EA">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ascii="Times New Roman" w:hAnsi="Times New Roman" w:cs="Times New Roman"/>
          <w:b w:val="0"/>
          <w:bCs w:val="0"/>
          <w:strike w:val="0"/>
          <w:dstrike w:val="0"/>
          <w:color w:val="000000" w:themeColor="text1"/>
          <w:highlight w:val="none"/>
          <w:u w:val="none"/>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67AD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9231" w:type="dxa"/>
            <w:noWrap w:val="0"/>
            <w:vAlign w:val="center"/>
          </w:tcPr>
          <w:p w14:paraId="318D655A">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专栏1</w:t>
            </w:r>
            <w:r>
              <w:rPr>
                <w:rFonts w:hint="eastAsia" w:ascii="Times New Roman" w:hAnsi="Times New Roman" w:eastAsia="黑体" w:cs="黑体"/>
                <w:b w:val="0"/>
                <w:bCs w:val="0"/>
                <w:strike w:val="0"/>
                <w:dstrike w:val="0"/>
                <w:color w:val="000000" w:themeColor="text1"/>
                <w:kern w:val="21"/>
                <w:sz w:val="28"/>
                <w:szCs w:val="28"/>
                <w:highlight w:val="none"/>
                <w:u w:val="none"/>
                <w:lang w:val="en-US" w:eastAsia="zh-CN"/>
                <w14:textFill>
                  <w14:solidFill>
                    <w14:schemeClr w14:val="tx1"/>
                  </w14:solidFill>
                </w14:textFill>
              </w:rPr>
              <w:t>2</w:t>
            </w:r>
            <w:r>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t>.1深化重点群体就业帮扶</w:t>
            </w:r>
          </w:p>
        </w:tc>
      </w:tr>
      <w:tr w14:paraId="5E1A4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231" w:type="dxa"/>
            <w:noWrap w:val="0"/>
            <w:vAlign w:val="center"/>
          </w:tcPr>
          <w:p w14:paraId="3AED62C8">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建立健全高校毕业生、农民工、退役军人、就业困难人员等重点群体“线上自助+职业指导+个性帮扶+公益岗托底”的分类帮扶机制。</w:t>
            </w:r>
          </w:p>
          <w:p w14:paraId="4D947F02">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1.高校毕业生群体：深入实施“荣归故里”计划，做优“高校荣成行”等引才活动，每年招引青年人才3000人以上。健全就业见习和实习制度，引导毕业生向基层和重点产业流动。</w:t>
            </w:r>
          </w:p>
          <w:p w14:paraId="22E792D0">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2.农民工群体：大力推广以工代赈方式，促进就近就地就业。健全城乡一体化的就业服务网络，加强跨区域劳务协作，提高农村劳动力就业稳定性。</w:t>
            </w:r>
          </w:p>
          <w:p w14:paraId="015F1DF2">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3.退役军人群体：优化岗位结构，稳固安置质量，丰富完善就业创业支持体系，促进退役军人更加充分稳定高质量就业。</w:t>
            </w:r>
          </w:p>
          <w:p w14:paraId="5AFA6EEA">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ascii="Times New Roman" w:hAnsi="Times New Roman" w:eastAsia="仿宋_GB2312" w:cs="Times New Roman"/>
                <w:b w:val="0"/>
                <w:bCs w:val="0"/>
                <w:strike w:val="0"/>
                <w:dstrike w:val="0"/>
                <w:color w:val="000000" w:themeColor="text1"/>
                <w:kern w:val="21"/>
                <w:sz w:val="24"/>
                <w:highlight w:val="none"/>
                <w:u w:val="none"/>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4.就业困难人员群体：依托社区网格，精准识别帮扶对象，确保零就业家庭动态清零。合理开发城乡公益性岗位，发挥托底安置作用。</w:t>
            </w:r>
          </w:p>
        </w:tc>
      </w:tr>
    </w:tbl>
    <w:p w14:paraId="02CBB1DF">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40" w:name="_Toc5488"/>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第二节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办好人民满意的</w:t>
      </w:r>
      <w:r>
        <w:rPr>
          <w:rFonts w:hint="eastAsia" w:ascii="Times New Roman" w:hAnsi="Times New Roman"/>
          <w:b w:val="0"/>
          <w:bCs w:val="0"/>
          <w:strike w:val="0"/>
          <w:dstrike w:val="0"/>
          <w:color w:val="000000" w:themeColor="text1"/>
          <w:highlight w:val="none"/>
          <w:u w:val="none"/>
          <w14:textFill>
            <w14:solidFill>
              <w14:schemeClr w14:val="tx1"/>
            </w14:solidFill>
          </w14:textFill>
        </w:rPr>
        <w:t>教育</w:t>
      </w:r>
      <w:bookmarkEnd w:id="139"/>
      <w:bookmarkEnd w:id="140"/>
      <w:bookmarkStart w:id="141" w:name="_Toc767"/>
      <w:bookmarkStart w:id="142" w:name="_Toc13736"/>
      <w:bookmarkStart w:id="143" w:name="_Toc3555"/>
      <w:bookmarkStart w:id="144" w:name="_Toc9788"/>
    </w:p>
    <w:p w14:paraId="7EABD06E">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宋体"/>
          <w:b w:val="0"/>
          <w:bCs w:val="0"/>
          <w:strike w:val="0"/>
          <w:dstrike w:val="0"/>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塑造立德树人新格局。</w:t>
      </w:r>
      <w:r>
        <w:rPr>
          <w:rFonts w:hint="eastAsia" w:ascii="Times New Roman" w:hAnsi="Times New Roman" w:eastAsia="仿宋_GB2312" w:cs="Times New Roman"/>
          <w:b w:val="0"/>
          <w:bCs w:val="0"/>
          <w:color w:val="auto"/>
          <w:sz w:val="32"/>
          <w:szCs w:val="32"/>
          <w:highlight w:val="none"/>
          <w:shd w:val="clear" w:color="auto" w:fill="FFFFFF"/>
          <w:lang w:val="en-US" w:eastAsia="zh-CN"/>
        </w:rPr>
        <w:t>坚持不懈用习近平新时代中国特色社会主义思想铸魂育人，完善党政干部进校园开展思想政治教育长效机制，确保思政课建设与党的创新理论武装同步推进。借助新媒体平台、区域红色资源，创新“课上课下协同、校内校外一体、线上线下融合”的育人模式，增强思政教育实效性。健全“五育并举”全面育人体系，将未成年人关心关爱工作贯穿家校社协同育人全过程，落实身心健康第一理念，实施学生体质强健计划，确保中小学生每天综合体育锻炼时间不少于2小时；探索校外培训机构专业服务进校园模式，满足学生健康成长需求。加强心理健康教育，着力构建“</w:t>
      </w:r>
      <w:r>
        <w:rPr>
          <w:rFonts w:hint="default" w:ascii="Times New Roman" w:hAnsi="Times New Roman" w:eastAsia="仿宋_GB2312" w:cs="Times New Roman"/>
          <w:color w:val="auto"/>
          <w:sz w:val="32"/>
          <w:szCs w:val="32"/>
          <w:lang w:val="en-US" w:eastAsia="zh-CN"/>
        </w:rPr>
        <w:t>前端发现—分级管理—协同处置—闭环跟进</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全链条工作体系</w:t>
      </w:r>
      <w:r>
        <w:rPr>
          <w:rFonts w:hint="eastAsia"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服务学生健康成长需求。开展规范办学和校外培训机构综合治理，减轻学生校内课业和校外补课负担。深化劳动习惯养成计划、美育浸润行动和家校社协同育人“教联体”建设，构建全域协同育人生态圈。常态化开展爱国主义教育、法治教育、国家安全教育、国防教育和社会主义核心价值观教育。稳步推进市少年宫科技馆建设，打造校外育人实践基地。</w:t>
      </w:r>
    </w:p>
    <w:p w14:paraId="35EA8F8C">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jc w:val="both"/>
        <w:textAlignment w:val="auto"/>
        <w:rPr>
          <w:rFonts w:hint="eastAsia" w:ascii="Times New Roman" w:hAnsi="Times New Roman" w:eastAsia="仿宋_GB2312" w:cs="Times New Roman"/>
          <w:b w:val="0"/>
          <w:bCs w:val="0"/>
          <w:strike w:val="0"/>
          <w:dstrike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推动基础教育优质均衡。</w:t>
      </w:r>
      <w:r>
        <w:rPr>
          <w:rFonts w:hint="eastAsia" w:ascii="Times New Roman" w:hAnsi="Times New Roman" w:eastAsia="仿宋_GB2312" w:cs="Times New Roman"/>
          <w:b w:val="0"/>
          <w:bCs w:val="0"/>
          <w:color w:val="auto"/>
          <w:sz w:val="32"/>
          <w:szCs w:val="32"/>
          <w:highlight w:val="none"/>
          <w:shd w:val="clear" w:color="auto" w:fill="FFFFFF"/>
          <w:lang w:val="en-US" w:eastAsia="zh-CN"/>
        </w:rPr>
        <w:t>健全与人口变化相适应的资源调配机制，通过新建部分教育基础设施，共用部分校舍，挖潜现有校舍资源，缓解中小学生阶梯式入学高峰。逐步落实学前教育免费政策，健全幼儿园开设托班和托育保障机制，完善民办园资金监管机制，巩固国家级学前教育普及普惠县创建成效。深化义务教育联盟化办学与城乡学校结对帮扶机制，带动农村薄弱学校一体发展；稳慎推进小规模学校撤并工作，推进小班化教学模式改革，非必要不撤并乡镇小规模学校；健全控辍保学工作责任体系，保障随迁子女入学待遇同城化、困难群体帮扶精准化，巩固全国义务教育优质均衡县创建成果。高中教育深化办学体制改革，扩大公办学位供给；实施县域普通高中振兴计划，统筹推动“优质+特色”发展；优化课程体系和教学模式，探索名优生培养向初中学段延伸、高中学段完善的“全链条”拔尖人才培养模式。职业教育聚焦市域“5+2”产业链，重点打造海洋制药、海水养殖等五年长学制专业群；扩大职业院校与青烟威优质企业“冠名班”“订单班”的规模，联动旅游康养等地方支柱企业，建设好校外实训和实践基地。完善普职双向融通机制，统筹推进中考招生、学位储备和师资调配等工作，开辟学生多元化成长路径。引导规范民办教育和特殊教育发展，提升教育综合治理水平。</w:t>
      </w:r>
    </w:p>
    <w:p w14:paraId="7560B09F">
      <w:pPr>
        <w:pStyle w:val="28"/>
        <w:keepNext w:val="0"/>
        <w:keepLines w:val="0"/>
        <w:pageBreakBefore w:val="0"/>
        <w:widowControl w:val="0"/>
        <w:kinsoku/>
        <w:wordWrap/>
        <w:overflowPunct w:val="0"/>
        <w:topLinePunct w:val="0"/>
        <w:autoSpaceDE/>
        <w:autoSpaceDN/>
        <w:bidi w:val="0"/>
        <w:adjustRightInd/>
        <w:snapToGrid/>
        <w:spacing w:line="574" w:lineRule="exact"/>
        <w:textAlignment w:val="auto"/>
        <w:rPr>
          <w:rFonts w:hint="eastAsia" w:ascii="Times New Roman" w:hAnsi="Times New Roman"/>
          <w:b w:val="0"/>
          <w:bCs w:val="0"/>
          <w:strike w:val="0"/>
          <w:dstrike w:val="0"/>
          <w:color w:val="000000" w:themeColor="text1"/>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实施教育家精神铸魂强师行动。</w:t>
      </w:r>
      <w:r>
        <w:rPr>
          <w:rFonts w:hint="eastAsia" w:ascii="Times New Roman" w:hAnsi="Times New Roman" w:eastAsia="仿宋_GB2312" w:cs="Times New Roman"/>
          <w:b w:val="0"/>
          <w:bCs w:val="0"/>
          <w:color w:val="auto"/>
          <w:sz w:val="32"/>
          <w:szCs w:val="32"/>
          <w:highlight w:val="none"/>
          <w:shd w:val="clear" w:color="auto" w:fill="FFFFFF"/>
          <w:lang w:val="en-US" w:eastAsia="zh-CN"/>
        </w:rPr>
        <w:t>健全师德师风长效机制，将思想政治和师德要求纳入教师聘用合同，作为教师资格准入、招聘引进、职称评聘等首要要求。强化教师专业素养提升，依托齐鲁名师、名校长及威海四名工程人选，建设一批名师工作室，建立系统化科学化教师梯次培养体系，落实全员精准培训。深化</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县管校聘</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管理改革，优化学段教师资源配置，打破学校学段限制，建立</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师随生走</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的教师流动机制，重点招聘具有高中教学资格的教师，满足高中教学需要。加大教师荣誉评选表彰力度，提高教师待遇，减轻非教育教学负担，维护教师合法权益。</w:t>
      </w:r>
    </w:p>
    <w:p w14:paraId="475150E4">
      <w:pPr>
        <w:pStyle w:val="28"/>
        <w:keepNext w:val="0"/>
        <w:keepLines w:val="0"/>
        <w:pageBreakBefore w:val="0"/>
        <w:widowControl w:val="0"/>
        <w:kinsoku/>
        <w:wordWrap/>
        <w:overflowPunct w:val="0"/>
        <w:topLinePunct w:val="0"/>
        <w:autoSpaceDE/>
        <w:autoSpaceDN/>
        <w:bidi w:val="0"/>
        <w:adjustRightInd/>
        <w:snapToGrid/>
        <w:spacing w:line="574" w:lineRule="exact"/>
        <w:textAlignment w:val="auto"/>
        <w:rPr>
          <w:rFonts w:hint="eastAsia" w:ascii="Times New Roman" w:hAnsi="Times New Roman" w:eastAsia="仿宋_GB2312" w:cs="Times New Roman"/>
          <w:b w:val="0"/>
          <w:bCs w:val="0"/>
          <w:strike w:val="0"/>
          <w:dstrike w:val="0"/>
          <w:color w:val="000000" w:themeColor="text1"/>
          <w:sz w:val="32"/>
          <w:szCs w:val="32"/>
          <w:highlight w:val="none"/>
          <w:shd w:val="clear" w:color="auto" w:fill="FFFFFF"/>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完善教育发展保障体系。</w:t>
      </w:r>
      <w:r>
        <w:rPr>
          <w:rFonts w:hint="eastAsia" w:ascii="Times New Roman" w:hAnsi="Times New Roman" w:eastAsia="仿宋_GB2312" w:cs="Times New Roman"/>
          <w:b w:val="0"/>
          <w:bCs w:val="0"/>
          <w:color w:val="auto"/>
          <w:sz w:val="32"/>
          <w:szCs w:val="32"/>
          <w:highlight w:val="none"/>
          <w:shd w:val="clear" w:color="auto" w:fill="FFFFFF"/>
          <w:lang w:val="en-US" w:eastAsia="zh-CN"/>
        </w:rPr>
        <w:t>坚持教育优先发展战略，优化完善财政教育经费支出结构，建立需求多元化与个性化协调统一的教育财政拨款机制，确保教育高质量发展。稳妥推进全市中小学抗震不达标校舍加固改造，实施对全市校舍、塑胶操场排查检修工程，提升服务保障能力。实施教育信息化工程升级改造项目，开展AI人工智能赋能教育行动，推动人工智能技术融入教育领域。深化教育评价改革，健全依法行政、依法治校体系建设，强化教育督导功能，持续深化</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放管服</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服务改革。健全教育领域风险防控机制，深化校园周边综合治理，完善好校园周边防冲撞设施，建设好市校两级</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校园天眼</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平台，构建学校</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大安全</w:t>
      </w:r>
      <w:r>
        <w:rPr>
          <w:rFonts w:hint="eastAsia" w:ascii="Times New Roman" w:hAnsi="Times New Roman" w:cs="Times New Roman"/>
          <w:b w:val="0"/>
          <w:bCs w:val="0"/>
          <w:color w:val="auto"/>
          <w:sz w:val="32"/>
          <w:szCs w:val="32"/>
          <w:highlight w:val="none"/>
          <w:shd w:val="clear" w:color="auto" w:fill="FFFFFF"/>
          <w:lang w:val="en-US" w:eastAsia="zh-CN"/>
        </w:rPr>
        <w:t>”</w:t>
      </w:r>
      <w:r>
        <w:rPr>
          <w:rFonts w:hint="eastAsia" w:ascii="Times New Roman" w:hAnsi="Times New Roman" w:eastAsia="仿宋_GB2312" w:cs="Times New Roman"/>
          <w:b w:val="0"/>
          <w:bCs w:val="0"/>
          <w:color w:val="auto"/>
          <w:sz w:val="32"/>
          <w:szCs w:val="32"/>
          <w:highlight w:val="none"/>
          <w:shd w:val="clear" w:color="auto" w:fill="FFFFFF"/>
          <w:lang w:val="en-US" w:eastAsia="zh-CN"/>
        </w:rPr>
        <w:t>综合治理体系，维护学校和谐安全稳定。</w:t>
      </w:r>
    </w:p>
    <w:p w14:paraId="7DACF687">
      <w:pPr>
        <w:pStyle w:val="28"/>
        <w:keepNext w:val="0"/>
        <w:keepLines w:val="0"/>
        <w:pageBreakBefore w:val="0"/>
        <w:widowControl w:val="0"/>
        <w:kinsoku/>
        <w:wordWrap/>
        <w:overflowPunct w:val="0"/>
        <w:topLinePunct w:val="0"/>
        <w:autoSpaceDE/>
        <w:autoSpaceDN/>
        <w:bidi w:val="0"/>
        <w:spacing w:line="560" w:lineRule="exact"/>
        <w:rPr>
          <w:rFonts w:hint="eastAsia" w:ascii="Times New Roman" w:hAnsi="Times New Roman" w:eastAsia="仿宋_GB2312" w:cs="Times New Roman"/>
          <w:b w:val="0"/>
          <w:bCs w:val="0"/>
          <w:strike w:val="0"/>
          <w:dstrike w:val="0"/>
          <w:color w:val="000000" w:themeColor="text1"/>
          <w:sz w:val="32"/>
          <w:szCs w:val="32"/>
          <w:highlight w:val="none"/>
          <w:shd w:val="clear" w:color="auto" w:fill="FFFFFF"/>
          <w:lang w:val="en-US" w:eastAsia="zh-CN"/>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025B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9231" w:type="dxa"/>
            <w:noWrap w:val="0"/>
            <w:vAlign w:val="center"/>
          </w:tcPr>
          <w:p w14:paraId="2B164B90">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专栏1</w:t>
            </w:r>
            <w:r>
              <w:rPr>
                <w:rFonts w:hint="eastAsia" w:ascii="Times New Roman" w:hAnsi="Times New Roman" w:eastAsia="黑体" w:cs="黑体"/>
                <w:b w:val="0"/>
                <w:bCs w:val="0"/>
                <w:strike w:val="0"/>
                <w:dstrike w:val="0"/>
                <w:color w:val="000000" w:themeColor="text1"/>
                <w:kern w:val="21"/>
                <w:sz w:val="28"/>
                <w:szCs w:val="28"/>
                <w:highlight w:val="none"/>
                <w:lang w:val="en-US" w:eastAsia="zh-CN"/>
                <w14:textFill>
                  <w14:solidFill>
                    <w14:schemeClr w14:val="tx1"/>
                  </w14:solidFill>
                </w14:textFill>
              </w:rPr>
              <w:t>2</w:t>
            </w: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.2教育重点项目</w:t>
            </w:r>
          </w:p>
        </w:tc>
      </w:tr>
      <w:tr w14:paraId="5C58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trPr>
        <w:tc>
          <w:tcPr>
            <w:tcW w:w="9231" w:type="dxa"/>
            <w:noWrap w:val="0"/>
            <w:vAlign w:val="center"/>
          </w:tcPr>
          <w:p w14:paraId="26762DD7">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1.蜊江中学新建学生餐厅项目</w:t>
            </w:r>
          </w:p>
          <w:p w14:paraId="6F7DA375">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2.校舍抗震加固改造项目</w:t>
            </w:r>
          </w:p>
          <w:p w14:paraId="4841475B">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3.少年宫科技馆</w:t>
            </w:r>
          </w:p>
          <w:p w14:paraId="282FDB8F">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4.教育信息化工程建设项目</w:t>
            </w:r>
          </w:p>
          <w:p w14:paraId="11125DBB">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5.全市中小学校空调安装项目</w:t>
            </w:r>
          </w:p>
          <w:p w14:paraId="2DB76DE0">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6.</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全市中小学操场检修工程</w:t>
            </w:r>
          </w:p>
          <w:p w14:paraId="2A021C94">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ascii="Times New Roman" w:hAnsi="Times New Roman" w:eastAsia="仿宋_GB2312" w:cs="Times New Roman"/>
                <w:b w:val="0"/>
                <w:bCs w:val="0"/>
                <w:strike w:val="0"/>
                <w:dstrike w:val="0"/>
                <w:color w:val="000000" w:themeColor="text1"/>
                <w:kern w:val="21"/>
                <w:sz w:val="24"/>
                <w:highlight w:val="none"/>
                <w:u w:val="none"/>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7.校门口监控安装和校园内监控系统升级工程</w:t>
            </w:r>
          </w:p>
        </w:tc>
      </w:tr>
    </w:tbl>
    <w:p w14:paraId="43B7494C">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145" w:name="_Toc32678"/>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三</w:t>
      </w:r>
      <w:r>
        <w:rPr>
          <w:rFonts w:hint="eastAsia" w:ascii="Times New Roman" w:hAnsi="Times New Roman"/>
          <w:b w:val="0"/>
          <w:bCs w:val="0"/>
          <w:strike w:val="0"/>
          <w:dstrike w:val="0"/>
          <w:color w:val="000000" w:themeColor="text1"/>
          <w:highlight w:val="none"/>
          <w:u w:val="none"/>
          <w14:textFill>
            <w14:solidFill>
              <w14:schemeClr w14:val="tx1"/>
            </w14:solidFill>
          </w14:textFill>
        </w:rPr>
        <w:t>节 深化健康荣成</w:t>
      </w:r>
      <w:bookmarkEnd w:id="141"/>
      <w:bookmarkEnd w:id="142"/>
      <w:bookmarkEnd w:id="143"/>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建设</w:t>
      </w:r>
      <w:bookmarkEnd w:id="145"/>
    </w:p>
    <w:p w14:paraId="67226E1E">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baseline"/>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实施健康优先发展战略。</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深化爱国卫生运动，健全健康促进制度体系，争创全国健康城镇。落实健康威海18项行动，开展</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“健康科普专家走基层”</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活动。拓宽健康教育传播路径，充分依托广播电视、官方网站等主流媒体平台，策划并推出系列公益健康专栏，</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广泛宣传健康知识</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完善精神卫生服务体系，提升心理健康和精神卫生服务可及性，提高常见精神障碍防治与心理行为问题识别干预水平。将健康教育和健康促进融入诊疗服务全流程，提升城乡居民健康知识知晓率和健康行为养成率，</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力争</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到2030年</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居民健康素养水平达到45%以上，人均预期寿命达到82.2岁左右。</w:t>
      </w:r>
    </w:p>
    <w:p w14:paraId="3F79E351">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baseline"/>
        <w:rPr>
          <w:rFonts w:hint="default"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健全公共卫生体系。</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完善重大传染病疫情联防联控机制，加强公共卫生核心能力建设，实施疾病预防控制和医疗卫生机构能力提升工程，全面落实医疗机构传染病防控责任清单。加强疾病预防控制体系建设，</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建立健全</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医防协同、医防融合管理体制和运行机制。实施疾病预防控制网格化管理，构建以疾控中心为骨干、市级医院为依托、基层医疗机构为网底、民营医院为补充的整合型疾病预防控制体系。到2030年，实现医疗机构与疾控机构人员通、信息通、资源通。加强传染病监测预警能力建设</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和</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重点传染病防控，到2030年，艾滋病全人群感染率持续控制在0.1%以下，结核病发病率控</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制在</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每10万人中发病18人</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以下</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。强化公共卫生实验室网络建设，构建疾控机构和市级医疗机构检验结果互认、资源共享机制。完善政府主导、部门协同的慢性病综合防控机制，持续推进</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四高共管、六病同防</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三减控三高</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体重管理</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工作，提升急性心脑血管疾病、重点癌症等慢性病的筛查和早期发现水平。到2030年，重大慢性病过早死亡率降至10%左右。</w:t>
      </w:r>
    </w:p>
    <w:p w14:paraId="4EBC2126">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baseline"/>
        <w:rPr>
          <w:rFonts w:hint="default"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深化医药卫生体制改革。</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着力推进医疗、医保、医药协同发展和治理，</w:t>
      </w:r>
      <w:r>
        <w:rPr>
          <w:rFonts w:hint="default"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学习借鉴</w:t>
      </w:r>
      <w:r>
        <w:rPr>
          <w:rFonts w:hint="eastAsia"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三明医改</w:t>
      </w:r>
      <w:r>
        <w:rPr>
          <w:rFonts w:hint="eastAsia" w:ascii="Times New Roman" w:hAnsi="Times New Roman" w:eastAsia="仿宋_GB2312" w:cs="Times New Roman"/>
          <w:b w:val="0"/>
          <w:bCs w:val="0"/>
          <w:strike w:val="0"/>
          <w:dstrike w:val="0"/>
          <w:color w:val="000000" w:themeColor="text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14:textFill>
            <w14:solidFill>
              <w14:schemeClr w14:val="tx1"/>
            </w14:solidFill>
          </w14:textFill>
        </w:rPr>
        <w:t>经验</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统筹推进药品耗材集采、医疗服务价格、医保支付方式等重点领域改革。深化公立医院编制统筹调配，完善薪酬总量核定与绩效评价机制。到2030年，公立医院人员编制结构更加优化，薪酬分配机制更加科学合理。提升基本药物制度化水平，健全短缺药品会商联动机制，推动基本药物优先配备、合理使用。健全分级诊疗制度，全面深化紧密型县域医共体建设，整合优质医疗资源实现错位发展。到2030年，公立医院医疗服务收入占医疗收入的比例达到40%左右。</w:t>
      </w:r>
    </w:p>
    <w:p w14:paraId="251E7D0B">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baseline"/>
        <w:rPr>
          <w:rFonts w:hint="default"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提升医疗服务水平。</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推进公立医院改革与高质量发展，加快高水平专科与特色品牌建设，实施临床专科能力</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“攀登计划”</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争创省市级临床重点专科，提高县域内危急重症救治能力。健全医疗质量管理与控制体系，推动重点专业质控中心县级全覆盖，到2030年，市级质控中心不少于45个。实施强基工程，推进基层医疗卫生机构分类管理，巩固发展基层医疗卫生机构特色专科，做实做细家庭医生签约服务，到20</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30</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年，力争50%以上基层机构达到国家服务能力推荐标准。推进卫生健康智慧化建设</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拓展智慧医疗服务场景，以数智赋能守护群众生命健康。提升急诊急救、血液保障和应急能力，</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加快推进</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胸痛、卒中</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等</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急诊急救五大中心建设，提升120急救站服务能力，到2030年，至少每万人口配置一辆救护车。强化无偿献血公益宣传和组织动员，保障群众用血需求。加强医疗卫生队伍能力和作风建设，做好全科医生培养。</w:t>
      </w:r>
    </w:p>
    <w:p w14:paraId="3602EA6D">
      <w:pPr>
        <w:keepNext w:val="0"/>
        <w:keepLines w:val="0"/>
        <w:pageBreakBefore w:val="0"/>
        <w:widowControl w:val="0"/>
        <w:kinsoku/>
        <w:wordWrap/>
        <w:overflowPunct w:val="0"/>
        <w:topLinePunct w:val="0"/>
        <w:autoSpaceDE/>
        <w:autoSpaceDN/>
        <w:bidi w:val="0"/>
        <w:adjustRightInd w:val="0"/>
        <w:snapToGrid w:val="0"/>
        <w:spacing w:line="574" w:lineRule="exact"/>
        <w:ind w:firstLine="640" w:firstLineChars="200"/>
        <w:textAlignment w:val="baseline"/>
        <w:rPr>
          <w:rFonts w:hint="eastAsia" w:ascii="Times New Roman" w:hAnsi="Times New Roman" w:eastAsia="仿宋_GB2312" w:cs="宋体"/>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推进中医药创新发展。</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加快推进</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中医院特色发展，</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完善中医医联体建设，</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做优做强一批中医优势专科。</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深化</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中医专科专病联盟</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，建设</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中药饮片配送中心，开展中医护理门诊试点，提高中医特色诊疗与护理能力</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研究制定并推广实施一批中医优势病种诊疗方案和临床路径，筛选一批中医药适宜技术和中药制剂。加强社区卫生服务中心和乡镇卫生院</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旗舰</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中医馆建设，推动社区卫生服务站、村卫生室建设</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“中医阁”</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。强化市人民医院、石岛人民医院中西医协同机制建设，将中西医联合查房、会诊和中西医协同的多学科诊疗纳入医院诊疗规程。实施中医药人才培养专项</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行动，打造</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批</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中医药人才队伍。</w:t>
      </w:r>
    </w:p>
    <w:p w14:paraId="07B73DD1">
      <w:pPr>
        <w:pStyle w:val="28"/>
        <w:keepNext w:val="0"/>
        <w:keepLines w:val="0"/>
        <w:pageBreakBefore w:val="0"/>
        <w:widowControl w:val="0"/>
        <w:kinsoku/>
        <w:wordWrap/>
        <w:overflowPunct w:val="0"/>
        <w:topLinePunct w:val="0"/>
        <w:autoSpaceDE/>
        <w:autoSpaceDN/>
        <w:bidi w:val="0"/>
        <w:spacing w:line="574" w:lineRule="exact"/>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加快建设体育强市。</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深入实施全民健身国家战略，统筹推进群众体育、竞技体育、体育产业协同发展，不断提升体育事业发展质量。常态化开展</w:t>
      </w:r>
      <w:r>
        <w:rPr>
          <w:rFonts w:hint="eastAsia" w:ascii="Times New Roman" w:hAnsi="Times New Roman" w:eastAsia="仿宋_GB2312" w:cs="Times New Roman"/>
          <w:b w:val="0"/>
          <w:bCs w:val="0"/>
          <w:strike w:val="0"/>
          <w:dstrike w:val="0"/>
          <w:color w:val="000000" w:themeColor="text1"/>
          <w:kern w:val="21"/>
          <w:sz w:val="32"/>
          <w:szCs w:val="32"/>
          <w:highlight w:val="none"/>
          <w:lang w:eastAsia="zh-CN"/>
          <w14:textFill>
            <w14:solidFill>
              <w14:schemeClr w14:val="tx1"/>
            </w14:solidFill>
          </w14:textFill>
        </w:rPr>
        <w:t>体育惠民</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活动，到2030年</w:t>
      </w:r>
      <w:r>
        <w:rPr>
          <w:rFonts w:hint="eastAsia" w:ascii="Times New Roman" w:hAnsi="Times New Roman" w:eastAsia="仿宋_GB2312" w:cs="Times New Roman"/>
          <w:b w:val="0"/>
          <w:bCs w:val="0"/>
          <w:strike w:val="0"/>
          <w:dstrike w:val="0"/>
          <w:color w:val="000000" w:themeColor="text1"/>
          <w:kern w:val="21"/>
          <w:sz w:val="32"/>
          <w:szCs w:val="32"/>
          <w:highlight w:val="none"/>
          <w:lang w:eastAsia="zh-CN"/>
          <w14:textFill>
            <w14:solidFill>
              <w14:schemeClr w14:val="tx1"/>
            </w14:solidFill>
          </w14:textFill>
        </w:rPr>
        <w:t>，经常参加体育</w:t>
      </w:r>
      <w:r>
        <w:rPr>
          <w:rFonts w:hint="eastAsia" w:ascii="Times New Roman" w:hAnsi="Times New Roman" w:cs="Times New Roman"/>
          <w:b w:val="0"/>
          <w:bCs w:val="0"/>
          <w:strike w:val="0"/>
          <w:dstrike w:val="0"/>
          <w:color w:val="000000" w:themeColor="text1"/>
          <w:kern w:val="21"/>
          <w:sz w:val="32"/>
          <w:szCs w:val="32"/>
          <w:highlight w:val="none"/>
          <w:lang w:eastAsia="zh-CN"/>
          <w14:textFill>
            <w14:solidFill>
              <w14:schemeClr w14:val="tx1"/>
            </w14:solidFill>
          </w14:textFill>
        </w:rPr>
        <w:t>锻炼</w:t>
      </w:r>
      <w:r>
        <w:rPr>
          <w:rFonts w:hint="eastAsia" w:ascii="Times New Roman" w:hAnsi="Times New Roman" w:eastAsia="仿宋_GB2312" w:cs="Times New Roman"/>
          <w:b w:val="0"/>
          <w:bCs w:val="0"/>
          <w:strike w:val="0"/>
          <w:dstrike w:val="0"/>
          <w:color w:val="000000" w:themeColor="text1"/>
          <w:kern w:val="21"/>
          <w:sz w:val="32"/>
          <w:szCs w:val="32"/>
          <w:highlight w:val="none"/>
          <w:lang w:eastAsia="zh-CN"/>
          <w14:textFill>
            <w14:solidFill>
              <w14:schemeClr w14:val="tx1"/>
            </w14:solidFill>
          </w14:textFill>
        </w:rPr>
        <w:t>人口比例</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达到45%。系统推进体育场馆设施规划建设与升级改造，适时启动全民健身中心建设，全面提升场馆保障能力和服务水平。持续办好</w:t>
      </w:r>
      <w:r>
        <w:rPr>
          <w:rFonts w:hint="eastAsia" w:ascii="Times New Roman" w:hAnsi="Times New Roman" w:cs="Times New Roman"/>
          <w:b w:val="0"/>
          <w:bCs w:val="0"/>
          <w:strike w:val="0"/>
          <w:dstrike w:val="0"/>
          <w:color w:val="000000" w:themeColor="text1"/>
          <w:kern w:val="2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荣马</w:t>
      </w:r>
      <w:r>
        <w:rPr>
          <w:rFonts w:hint="eastAsia" w:ascii="Times New Roman" w:hAnsi="Times New Roman" w:cs="Times New Roman"/>
          <w:b w:val="0"/>
          <w:bCs w:val="0"/>
          <w:strike w:val="0"/>
          <w:dstrike w:val="0"/>
          <w:color w:val="000000" w:themeColor="text1"/>
          <w:kern w:val="2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、帆船帆板等高水平竞技赛事，深化</w:t>
      </w:r>
      <w:r>
        <w:rPr>
          <w:rFonts w:hint="eastAsia" w:ascii="Times New Roman" w:hAnsi="Times New Roman" w:cs="Times New Roman"/>
          <w:b w:val="0"/>
          <w:bCs w:val="0"/>
          <w:strike w:val="0"/>
          <w:dstrike w:val="0"/>
          <w:color w:val="000000" w:themeColor="text1"/>
          <w:kern w:val="2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赛事+</w:t>
      </w:r>
      <w:r>
        <w:rPr>
          <w:rFonts w:hint="eastAsia" w:ascii="Times New Roman" w:hAnsi="Times New Roman" w:cs="Times New Roman"/>
          <w:b w:val="0"/>
          <w:bCs w:val="0"/>
          <w:strike w:val="0"/>
          <w:dstrike w:val="0"/>
          <w:color w:val="000000" w:themeColor="text1"/>
          <w:kern w:val="21"/>
          <w:sz w:val="32"/>
          <w:szCs w:val="32"/>
          <w:highlight w:val="none"/>
          <w:lang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1"/>
          <w:sz w:val="32"/>
          <w:szCs w:val="32"/>
          <w:highlight w:val="none"/>
          <w14:textFill>
            <w14:solidFill>
              <w14:schemeClr w14:val="tx1"/>
            </w14:solidFill>
          </w14:textFill>
        </w:rPr>
        <w:t>融合发展模式，拉动赛事经济增长。</w:t>
      </w:r>
    </w:p>
    <w:p w14:paraId="5A35E454">
      <w:pPr>
        <w:pStyle w:val="28"/>
        <w:keepNext w:val="0"/>
        <w:keepLines w:val="0"/>
        <w:pageBreakBefore w:val="0"/>
        <w:widowControl w:val="0"/>
        <w:kinsoku/>
        <w:wordWrap/>
        <w:overflowPunct w:val="0"/>
        <w:topLinePunct w:val="0"/>
        <w:autoSpaceDE/>
        <w:autoSpaceDN/>
        <w:bidi w:val="0"/>
        <w:spacing w:line="560" w:lineRule="exact"/>
        <w:rPr>
          <w:rFonts w:hint="default" w:ascii="Times New Roman" w:hAnsi="Times New Roman" w:eastAsia="仿宋_GB2312" w:cs="Times New Roman"/>
          <w:b w:val="0"/>
          <w:bCs w:val="0"/>
          <w:strike w:val="0"/>
          <w:dstrike w:val="0"/>
          <w:color w:val="000000" w:themeColor="text1"/>
          <w:kern w:val="21"/>
          <w:sz w:val="32"/>
          <w:szCs w:val="32"/>
          <w:highlight w:val="none"/>
          <w:lang w:val="en-US" w:eastAsia="zh-CN"/>
          <w14:textFill>
            <w14:solidFill>
              <w14:schemeClr w14:val="tx1"/>
            </w14:solidFill>
          </w14:textFill>
        </w:rPr>
      </w:pPr>
    </w:p>
    <w:tbl>
      <w:tblPr>
        <w:tblStyle w:val="18"/>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1"/>
      </w:tblGrid>
      <w:tr w14:paraId="51DAC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231" w:type="dxa"/>
            <w:noWrap w:val="0"/>
            <w:vAlign w:val="center"/>
          </w:tcPr>
          <w:p w14:paraId="4BB4868D">
            <w:pPr>
              <w:keepNext w:val="0"/>
              <w:keepLines w:val="0"/>
              <w:pageBreakBefore w:val="0"/>
              <w:widowControl w:val="0"/>
              <w:kinsoku/>
              <w:wordWrap/>
              <w:overflowPunct w:val="0"/>
              <w:topLinePunct w:val="0"/>
              <w:autoSpaceDE/>
              <w:autoSpaceDN/>
              <w:bidi w:val="0"/>
              <w:adjustRightInd w:val="0"/>
              <w:snapToGrid w:val="0"/>
              <w:spacing w:line="560" w:lineRule="exact"/>
              <w:jc w:val="center"/>
              <w:textAlignment w:val="auto"/>
              <w:rPr>
                <w:rFonts w:hint="eastAsia" w:ascii="Times New Roman" w:hAnsi="Times New Roman" w:eastAsia="黑体" w:cs="黑体"/>
                <w:b w:val="0"/>
                <w:bCs w:val="0"/>
                <w:strike w:val="0"/>
                <w:dstrike w:val="0"/>
                <w:color w:val="000000" w:themeColor="text1"/>
                <w:kern w:val="21"/>
                <w:sz w:val="28"/>
                <w:szCs w:val="28"/>
                <w:highlight w:val="none"/>
                <w:u w:val="none"/>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专栏1</w:t>
            </w:r>
            <w:r>
              <w:rPr>
                <w:rFonts w:hint="eastAsia" w:ascii="Times New Roman" w:hAnsi="Times New Roman" w:eastAsia="黑体" w:cs="黑体"/>
                <w:b w:val="0"/>
                <w:bCs w:val="0"/>
                <w:strike w:val="0"/>
                <w:dstrike w:val="0"/>
                <w:color w:val="000000" w:themeColor="text1"/>
                <w:kern w:val="21"/>
                <w:sz w:val="28"/>
                <w:szCs w:val="28"/>
                <w:highlight w:val="none"/>
                <w:lang w:val="en-US" w:eastAsia="zh-CN"/>
                <w14:textFill>
                  <w14:solidFill>
                    <w14:schemeClr w14:val="tx1"/>
                  </w14:solidFill>
                </w14:textFill>
              </w:rPr>
              <w:t>2</w:t>
            </w:r>
            <w:r>
              <w:rPr>
                <w:rFonts w:hint="eastAsia" w:ascii="Times New Roman" w:hAnsi="Times New Roman" w:eastAsia="黑体" w:cs="黑体"/>
                <w:b w:val="0"/>
                <w:bCs w:val="0"/>
                <w:strike w:val="0"/>
                <w:dstrike w:val="0"/>
                <w:color w:val="000000" w:themeColor="text1"/>
                <w:kern w:val="21"/>
                <w:sz w:val="28"/>
                <w:szCs w:val="28"/>
                <w:highlight w:val="none"/>
                <w14:textFill>
                  <w14:solidFill>
                    <w14:schemeClr w14:val="tx1"/>
                  </w14:solidFill>
                </w14:textFill>
              </w:rPr>
              <w:t>.3医疗卫生及体育重点项目</w:t>
            </w:r>
          </w:p>
        </w:tc>
      </w:tr>
      <w:tr w14:paraId="3509A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8" w:hRule="atLeast"/>
        </w:trPr>
        <w:tc>
          <w:tcPr>
            <w:tcW w:w="9231" w:type="dxa"/>
            <w:noWrap w:val="0"/>
            <w:vAlign w:val="center"/>
          </w:tcPr>
          <w:p w14:paraId="40F48A0E">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eastAsia" w:ascii="Times New Roman" w:hAnsi="Times New Roman" w:eastAsia="黑体" w:cs="黑体"/>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4"/>
                <w:highlight w:val="none"/>
                <w:lang w:val="en-US" w:eastAsia="zh-CN"/>
                <w14:textFill>
                  <w14:solidFill>
                    <w14:schemeClr w14:val="tx1"/>
                  </w14:solidFill>
                </w14:textFill>
              </w:rPr>
              <w:t>（一）医疗卫生重点项目</w:t>
            </w:r>
          </w:p>
          <w:p w14:paraId="78F7C8F9">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1.</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荣成市人民医院提升服务能力推进县域医共体建设项目</w:t>
            </w:r>
          </w:p>
          <w:p w14:paraId="585BCCC0">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2.</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寻山</w:t>
            </w: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街道卫生院改扩建项目</w:t>
            </w:r>
          </w:p>
          <w:p w14:paraId="7F80DB2D">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3.基层医疗服务能力提升项目，实施基层卫生院屋面翻新、场地硬化、线路改造、无障碍适老化改造等工程</w:t>
            </w:r>
          </w:p>
          <w:p w14:paraId="085AD805">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4.</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第三人民医院病房楼</w:t>
            </w: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续建</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项目</w:t>
            </w:r>
          </w:p>
          <w:p w14:paraId="0E738A1F">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5.全龄社区医养结合项目</w:t>
            </w:r>
          </w:p>
          <w:p w14:paraId="35FC43E5">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黑体" w:cs="黑体"/>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黑体" w:cs="黑体"/>
                <w:b w:val="0"/>
                <w:bCs w:val="0"/>
                <w:strike w:val="0"/>
                <w:dstrike w:val="0"/>
                <w:color w:val="000000" w:themeColor="text1"/>
                <w:kern w:val="21"/>
                <w:sz w:val="24"/>
                <w:highlight w:val="none"/>
                <w:lang w:val="en-US" w:eastAsia="zh-CN"/>
                <w14:textFill>
                  <w14:solidFill>
                    <w14:schemeClr w14:val="tx1"/>
                  </w14:solidFill>
                </w14:textFill>
              </w:rPr>
              <w:t>（二）体育重点项目</w:t>
            </w:r>
          </w:p>
          <w:p w14:paraId="34B7C580">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6.</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市全民健身中心</w:t>
            </w:r>
          </w:p>
          <w:p w14:paraId="12A440AE">
            <w:pPr>
              <w:keepNext w:val="0"/>
              <w:keepLines w:val="0"/>
              <w:pageBreakBefore w:val="0"/>
              <w:widowControl w:val="0"/>
              <w:numPr>
                <w:ilvl w:val="0"/>
                <w:numId w:val="0"/>
              </w:numPr>
              <w:suppressLineNumbers w:val="0"/>
              <w:kinsoku/>
              <w:wordWrap/>
              <w:overflowPunct w:val="0"/>
              <w:topLinePunct w:val="0"/>
              <w:autoSpaceDE/>
              <w:autoSpaceDN/>
              <w:bidi w:val="0"/>
              <w:adjustRightInd w:val="0"/>
              <w:snapToGrid w:val="0"/>
              <w:spacing w:before="0" w:beforeAutospacing="0" w:after="0" w:afterAutospacing="0" w:line="560" w:lineRule="exact"/>
              <w:ind w:left="0" w:right="0" w:firstLine="480" w:firstLineChars="200"/>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7.</w:t>
            </w:r>
            <w:r>
              <w:rPr>
                <w:rFonts w:hint="default"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体育场馆基础设施维修改造</w:t>
            </w:r>
            <w:r>
              <w:rPr>
                <w:rFonts w:hint="eastAsia" w:ascii="Times New Roman" w:hAnsi="Times New Roman" w:eastAsia="仿宋_GB2312" w:cs="Times New Roman"/>
                <w:b w:val="0"/>
                <w:bCs w:val="0"/>
                <w:strike w:val="0"/>
                <w:dstrike w:val="0"/>
                <w:color w:val="000000" w:themeColor="text1"/>
                <w:kern w:val="21"/>
                <w:sz w:val="24"/>
                <w:highlight w:val="none"/>
                <w:lang w:val="en-US" w:eastAsia="zh-CN"/>
                <w14:textFill>
                  <w14:solidFill>
                    <w14:schemeClr w14:val="tx1"/>
                  </w14:solidFill>
                </w14:textFill>
              </w:rPr>
              <w:t>项目</w:t>
            </w:r>
          </w:p>
        </w:tc>
      </w:tr>
    </w:tbl>
    <w:p w14:paraId="3F5A5D04">
      <w:pPr>
        <w:pStyle w:val="33"/>
        <w:keepNext w:val="0"/>
        <w:keepLines w:val="0"/>
        <w:pageBreakBefore w:val="0"/>
        <w:widowControl w:val="0"/>
        <w:kinsoku/>
        <w:wordWrap/>
        <w:overflowPunct w:val="0"/>
        <w:topLinePunct w:val="0"/>
        <w:autoSpaceDE/>
        <w:autoSpaceDN/>
        <w:bidi w:val="0"/>
        <w:adjustRightIn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46" w:name="_Toc24981"/>
      <w:r>
        <w:rPr>
          <w:rFonts w:hint="eastAsia"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四</w:t>
      </w:r>
      <w:r>
        <w:rPr>
          <w:rFonts w:hint="eastAsia" w:ascii="Times New Roman" w:hAnsi="Times New Roman"/>
          <w:b w:val="0"/>
          <w:bCs w:val="0"/>
          <w:strike w:val="0"/>
          <w:dstrike w:val="0"/>
          <w:color w:val="000000" w:themeColor="text1"/>
          <w:highlight w:val="none"/>
          <w:u w:val="none"/>
          <w14:textFill>
            <w14:solidFill>
              <w14:schemeClr w14:val="tx1"/>
            </w14:solidFill>
          </w14:textFill>
        </w:rPr>
        <w:t>节</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推动人口长期均衡发展</w:t>
      </w:r>
      <w:bookmarkEnd w:id="144"/>
      <w:bookmarkEnd w:id="146"/>
    </w:p>
    <w:p w14:paraId="1B89AC98">
      <w:pPr>
        <w:keepNext w:val="0"/>
        <w:keepLines w:val="0"/>
        <w:pageBreakBefore w:val="0"/>
        <w:widowControl w:val="0"/>
        <w:kinsoku/>
        <w:wordWrap/>
        <w:overflowPunct w:val="0"/>
        <w:topLinePunct w:val="0"/>
        <w:autoSpaceDE/>
        <w:autoSpaceDN/>
        <w:bidi w:val="0"/>
        <w:adjustRightInd/>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加大人口发展支持和服务体系建设力度。</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落实生育支持政策和激励措施，倡导积极婚育观，落实育儿补贴、生育休假等制度，减轻家庭生育养育负担，推动建设生育友好型社会。全面落实母婴安全五项制度，建立健全母婴安全保障工作长效机制，提升危重症孕产妇和新生儿救治能力</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实施早孕关爱行动、出生缺陷防治能力提升计划，提高妇幼健康服务水平。加快推进儿童友好医院、生育友好医院建设，到2030年，全市二级及以上医院儿童友好医院及生育友好医院比例均达到100%。增加普惠托育服务供给，支持幼儿园办托、用人单位办托、社区嵌入式托育等多种模式发展，开展</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医育结合</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签约服务，提供健康管理、疾病防控和人员培训支持，促进托育服务高质量发展。</w:t>
      </w:r>
    </w:p>
    <w:p w14:paraId="52DAD11F">
      <w:pPr>
        <w:keepNext w:val="0"/>
        <w:keepLines w:val="0"/>
        <w:pageBreakBefore w:val="0"/>
        <w:widowControl w:val="0"/>
        <w:kinsoku/>
        <w:wordWrap/>
        <w:overflowPunct w:val="0"/>
        <w:topLinePunct w:val="0"/>
        <w:autoSpaceDE/>
        <w:autoSpaceDN/>
        <w:bidi w:val="0"/>
        <w:adjustRightInd/>
        <w:spacing w:line="574" w:lineRule="exact"/>
        <w:ind w:firstLine="640" w:firstLineChars="200"/>
        <w:textAlignment w:val="auto"/>
        <w:rPr>
          <w:rFonts w:hint="eastAsia" w:ascii="Times New Roman" w:hAnsi="Times New Roman" w:eastAsia="楷体_GB2312" w:cs="楷体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推动老龄事业高质量发展。</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打造</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国家级示范性老年友好型社区，</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优化基本养老服务供给，</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定期更新基本养老服务清单，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完善城乡养老服务网络，健全康复辅助器具社区养老服务体系，</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科学</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发展助老食堂，</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推动智慧养老院建设，</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开展居家适老化改造，</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引导</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专业养老服务机构连锁化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品牌化运营，优先发展护理型床位、认知障碍照护床位，构建居家社区机构相协调、县乡村相配套的养老服务体系。构建多层次医养结合服务体系</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，依托人民医院康复科，加快推进公共医疗中心建成市级康复中心。</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鼓励医疗机构与养老机构合作，开展基层公立医疗机构举办“两院一体”医养结合机构试点，</w:t>
      </w:r>
      <w:r>
        <w:rPr>
          <w:rFonts w:hint="default"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到2030年，全市两证齐全医养结合机构数量不少于5家。</w:t>
      </w:r>
      <w:r>
        <w:rPr>
          <w:rFonts w:hint="eastAsia" w:ascii="Times New Roman" w:hAnsi="Times New Roman" w:eastAsia="仿宋_GB2312" w:cs="Times New Roman"/>
          <w:b w:val="0"/>
          <w:bCs w:val="0"/>
          <w:strike w:val="0"/>
          <w:dstrike w:val="0"/>
          <w:color w:val="000000" w:themeColor="text1"/>
          <w:sz w:val="32"/>
          <w:szCs w:val="32"/>
          <w:highlight w:val="none"/>
          <w:lang w:val="en-US" w:eastAsia="zh-CN"/>
          <w14:textFill>
            <w14:solidFill>
              <w14:schemeClr w14:val="tx1"/>
            </w14:solidFill>
          </w14:textFill>
        </w:rPr>
        <w:t>大力发展银发经济，健全养老事业和产业协同发展政策机制，积极融入威海国际康养旅游试验区建设。</w:t>
      </w:r>
    </w:p>
    <w:p w14:paraId="645E60C9">
      <w:pPr>
        <w:keepNext w:val="0"/>
        <w:keepLines w:val="0"/>
        <w:pageBreakBefore w:val="0"/>
        <w:widowControl w:val="0"/>
        <w:kinsoku/>
        <w:wordWrap/>
        <w:overflowPunct w:val="0"/>
        <w:topLinePunct w:val="0"/>
        <w:autoSpaceDE/>
        <w:autoSpaceDN/>
        <w:bidi w:val="0"/>
        <w:adjustRightIn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保障妇女儿童和青少年合法权益。</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贯彻落实男女平等基本国策，统筹推进妇女在政治、经济、文化、社会和家庭生活等方面的发展权益，持续强化妇女劳动保护、卫生保健、生育关怀、社会福利、法律援助等支持体系，为妇女全面发展提供坚实支撑。推进儿童友好</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型</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城市建设，不断拓展儿童友好空间功能内涵，推动儿童服务项目深入社区、贴近家庭。深化开展青少年维权服务，构建覆盖心理疏导、权益保障、学业指导、生活帮扶、成长陪伴、安全守护等多维度关爱支持网络，促进青少年健康成长。聚焦推进青年友好城市建设，深化大学生社会实践赋能，畅通新兴领域青年联络渠道，系统构建涵盖安居保障、成长赋能、情感归属全链条服务体系，着力打造更有温度、更具吸引力的青年友好生态。</w:t>
      </w:r>
    </w:p>
    <w:p w14:paraId="13751C96">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加快推进残疾人事业发展。</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完善残疾人社会保障制度，高效落实“残疾人一件事”任务清单，全面落实残疾人两项补贴“跨省通办”“全程网办”，严格执行残疾人两项补贴保障标准动态调整机制，不断提高残疾人保障水平。推进精神障碍社区建设，统筹资源有效分配，畅通与医疗机构转介渠道。加强特殊教育体系建设，全面落实</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15</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年免费特殊教育，确保残疾儿童少年义务教育入学率达到</w:t>
      </w:r>
      <w:r>
        <w:rPr>
          <w:rFonts w:hint="default"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100%</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保障残疾人平等权利，健全残疾人权益保障法律法规体系，加强残疾人维权、法律救助工作，推进无障碍环境建设。加强残疾人康复、教育、就业、托养照护、文化体育、社会工作等专业队伍建设。培养、输送残疾人文化体育人才。</w:t>
      </w:r>
      <w:bookmarkStart w:id="147" w:name="_Toc16068"/>
    </w:p>
    <w:p w14:paraId="400EBF1A">
      <w:pPr>
        <w:pStyle w:val="33"/>
        <w:keepNext w:val="0"/>
        <w:keepLines w:val="0"/>
        <w:pageBreakBefore w:val="0"/>
        <w:widowControl w:val="0"/>
        <w:kinsoku/>
        <w:wordWrap/>
        <w:overflowPunct w:val="0"/>
        <w:topLinePunct w:val="0"/>
        <w:autoSpaceDE/>
        <w:autoSpaceDN/>
        <w:bidi w:val="0"/>
        <w:adjustRightInd/>
        <w:snapToGrid/>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第五节</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14:textFill>
            <w14:solidFill>
              <w14:schemeClr w14:val="tx1"/>
            </w14:solidFill>
          </w14:textFill>
        </w:rPr>
        <w:t>健全多层次社会保障体系</w:t>
      </w:r>
      <w:bookmarkEnd w:id="147"/>
    </w:p>
    <w:p w14:paraId="60D6BE37">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推动社保扩面提质。</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深入推进企业</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职工</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基本养老</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保险</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全国统筹及工伤、失业保险省级统筹，完善社保基金监管机制，确保制度公平统一、可持续运行。深化机关事业单位养老保险制度改革，稳妥有序推进渐进式延迟法定退休年龄改革，构建多层次、多支柱养老保险体系。实施全民参保计划，积极推动灵活就业人员、新就业形态从业人员参加企业职工养老保险，持续扩大参保覆盖面。严格落实退休人员养老保险</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待遇</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b w:val="0"/>
          <w:bCs w:val="0"/>
          <w:strike w:val="0"/>
          <w:dstrike w:val="0"/>
          <w:color w:val="000000" w:themeColor="text1"/>
          <w:sz w:val="32"/>
          <w:szCs w:val="32"/>
          <w:highlight w:val="none"/>
          <w14:textFill>
            <w14:solidFill>
              <w14:schemeClr w14:val="tx1"/>
            </w14:solidFill>
          </w14:textFill>
        </w:rPr>
        <w:t>职工工伤保险待遇</w:t>
      </w:r>
      <w:r>
        <w:rPr>
          <w:rFonts w:hint="eastAsia" w:ascii="Times New Roman" w:hAnsi="Times New Roman"/>
          <w:b w:val="0"/>
          <w:bCs w:val="0"/>
          <w:strike w:val="0"/>
          <w:dstrike w:val="0"/>
          <w:color w:val="000000" w:themeColor="text1"/>
          <w:sz w:val="32"/>
          <w:szCs w:val="32"/>
          <w:highlight w:val="none"/>
          <w:lang w:eastAsia="zh-CN"/>
          <w14:textFill>
            <w14:solidFill>
              <w14:schemeClr w14:val="tx1"/>
            </w14:solidFill>
          </w14:textFill>
        </w:rPr>
        <w:t>调整政策</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推进居民基本养老保险待遇确定和基础养老金正常调整机制落实，稳步提高各类群体待遇水平，确保社保待遇按时足额发放。全面落实困难群体居民养老保险代缴政策，确保符合条件的困难群体居民基本养老保险应保尽保。</w:t>
      </w:r>
    </w:p>
    <w:p w14:paraId="6A84BBAD">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健全医疗保障制度。</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深入推进基本医疗保险省级统筹，严格执行基本医保筹资政策，健全完善医保基金统筹机制，确保医疗保障制度更加公平。深化按病种付费为主的多元复合式医保支付方式改革，落实特例单议工作机制，完善中医优势病种、中医日间病房、门诊统筹等医保支持政策，助力定点医疗机构高效运行。持续完善异地就医备案流程，严格执行异地就医结算报销政策，推动异地普通门诊、异地门诊慢特病等费用直接结算。严厉打击欺诈骗保和违法违规使用医保基金行为，切实维护医保基金安全。严格落实药品耗材集中带量采购和医疗服务价格动态调整机制，推进医保基金与医药企业直接结算。健全完善医保基金预付机制，切实缓解医疗机构垫资压力。优化完善大病保险和医疗救助制度，持续提升基本医保、大病保险、医疗救助综合保障功能。</w:t>
      </w:r>
    </w:p>
    <w:p w14:paraId="7177B945">
      <w:pPr>
        <w:keepNext w:val="0"/>
        <w:keepLines w:val="0"/>
        <w:pageBreakBefore w:val="0"/>
        <w:widowControl w:val="0"/>
        <w:kinsoku/>
        <w:wordWrap/>
        <w:overflowPunct w:val="0"/>
        <w:topLinePunct w:val="0"/>
        <w:autoSpaceDE/>
        <w:autoSpaceDN/>
        <w:bidi w:val="0"/>
        <w:adjustRightInd/>
        <w:snapToGrid w:val="0"/>
        <w:spacing w:line="574" w:lineRule="exact"/>
        <w:ind w:firstLine="640" w:firstLineChars="200"/>
        <w:textAlignment w:val="auto"/>
        <w:rPr>
          <w:rFonts w:hint="eastAsia" w:ascii="Times New Roman" w:hAnsi="Times New Roman" w:eastAsia="仿宋_GB2312" w:cs="楷体_GB2312"/>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发展社会救助与慈善事业。</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保障</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困</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难群众基本生活，严格贯彻落实低收入人口动态监测、刚性支出</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困</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难家庭认定等政策</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依托山东省社会救助综合管理信息平台、</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威救你</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社会救助综合信息平</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台</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两级低收入人口动态监测平台和</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黄橙红</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低收入人口三色预警机制，及时发现潜在困难群众，确保社会救助精准覆盖，实现应救尽救、救准救好。加强慈善事业促进和福利彩票</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监管</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，强化慈善事业长效发展，深化慈善募捐工作，聚焦群众急难愁盼创新救助活动，持续</w:t>
      </w:r>
      <w:r>
        <w:rPr>
          <w:rFonts w:hint="eastAsia" w:ascii="Times New Roman" w:hAnsi="Times New Roman" w:eastAsia="仿宋_GB2312" w:cs="仿宋_GB2312"/>
          <w:b w:val="0"/>
          <w:bCs w:val="0"/>
          <w:strike w:val="0"/>
          <w:dstrike w:val="0"/>
          <w:color w:val="000000" w:themeColor="text1"/>
          <w:sz w:val="32"/>
          <w:szCs w:val="32"/>
          <w:highlight w:val="none"/>
          <w:lang w:val="en-US" w:eastAsia="zh-CN"/>
          <w14:textFill>
            <w14:solidFill>
              <w14:schemeClr w14:val="tx1"/>
            </w14:solidFill>
          </w14:textFill>
        </w:rPr>
        <w:t>开展</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慈心一日捐</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，擦亮</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爱暖荣成</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阳光慈善品牌</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大力拓展认捐慈善基金、冠名慈善基金及定向捐赠等多种渠道，构建可持续的慈善募捐新格局。加强慈善项目监管与透明度建设，推动慈善文化深入人心、慈善资源精准高效配置</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完善慈善激励体系，宣传慈善典型，激发社会大众参与积极性。</w:t>
      </w:r>
    </w:p>
    <w:p w14:paraId="25AF18A1">
      <w:pPr>
        <w:keepNext w:val="0"/>
        <w:keepLines w:val="0"/>
        <w:pageBreakBefore w:val="0"/>
        <w:widowControl w:val="0"/>
        <w:kinsoku/>
        <w:wordWrap/>
        <w:overflowPunct w:val="0"/>
        <w:topLinePunct w:val="0"/>
        <w:autoSpaceDE/>
        <w:autoSpaceDN/>
        <w:bidi w:val="0"/>
        <w:adjustRightInd/>
        <w:snapToGrid w:val="0"/>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提升社会事务服务质量。</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加强婚姻登记服务窗口规范化建设、标准化服务，开展婚前辅导、婚姻家庭关系辅导、离婚疏导等一站式服务，打造特色婚姻登记机关。加快推进节地生态安葬设施建设，深化殡葬领域跨部门综合监管改革，完善个人身后“一件事”集成联办服务，提升殡葬服务便民化水平。优化行政区划设置，按程序稳慎调整空间布局。以“乡村著名行动”规范地名命名，建强信息库，传承文化、赋能民生，实现城乡服务均等化。</w:t>
      </w:r>
      <w:r>
        <w:rPr>
          <w:rFonts w:hint="default"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推进社会组织规范化建设，健全内部管理制度，加</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大</w:t>
      </w:r>
      <w:r>
        <w:rPr>
          <w:rFonts w:hint="default"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监督管理，推动社会组织高质量发展。</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树牢工会组织根本宗旨，深入实施“暖心工程”，做好困难职工帮扶救助，持续增强职工获得感、幸福感、安全感。充分发挥红十字会作为党和政府在人道领域的助手和联系群众桥梁纽带作用，推动中国特色红十字事业高质量发展。</w:t>
      </w:r>
    </w:p>
    <w:p w14:paraId="5C4EB39E">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优化住房保障体系。</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推动房地产行业高质量发展，构建跨部门协同推进机制，进一步健全</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多主体参与供给、多渠道强化保障、租购选项并行</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的住房保障体系。优化</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人、房、地、钱</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四大核心要素的联动匹配，建立住宅用地供应与城镇人口流动趋势、存量房产盘活利用相挂钩的动态调整机制，实现供需精准平衡。加大优质地块储备与投放力度，从住房设计规划、施工建造，到后续维护管理、物业服务全流程发力，持续提升建设品质与服务效能，打造更多兼具安全可靠、居住舒适、绿色低碳、智慧便捷特质的高品质</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好房子</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，满足群众多元化居住需求。</w:t>
      </w:r>
    </w:p>
    <w:p w14:paraId="19EEAB42">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sectPr>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提升退役军人保障水平。</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以学习宣传习近平新时代中国特色社会主义思想为主线，将思政工作融入退役军人服务保障全过程和各方面，开展思政教育</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典型宣传、关爱帮扶等活动，引导广大退役军人坚定不移听党话、跟党走。贯彻待遇与贡献匹配、精神与物质并重、关爱与服务结合的原则，全面落实抚恤优待政策，加强军休机构建设，确保抚恤优待保障水平与经济社会发展水平、国防和军队建设需要相适应。推动服务保障体系建设运行提质增效，高效发挥退役军人服务中心（站）功能作用，不断提升精准服务质效。推进烈士纪念设施提档升级，深入开展英烈故事</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五进</w:t>
      </w:r>
      <w:r>
        <w:rPr>
          <w:rFonts w:hint="eastAsia" w:ascii="Times New Roman" w:hAnsi="Times New Roman"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kern w:val="2"/>
          <w:sz w:val="32"/>
          <w:szCs w:val="32"/>
          <w:highlight w:val="none"/>
          <w:u w:val="none"/>
          <w:lang w:val="en-US" w:eastAsia="zh-CN" w:bidi="ar-SA"/>
          <w14:textFill>
            <w14:solidFill>
              <w14:schemeClr w14:val="tx1"/>
            </w14:solidFill>
          </w14:textFill>
        </w:rPr>
        <w:t>宣讲活动，营造崇尚英雄、缅怀先烈的浓厚氛围。持续巩固新时代军政军民团结，服务部队练兵备战，共建双拥模范城。</w:t>
      </w:r>
    </w:p>
    <w:p w14:paraId="16AFB484">
      <w:pPr>
        <w:pStyle w:val="31"/>
        <w:keepNext w:val="0"/>
        <w:keepLines w:val="0"/>
        <w:pageBreakBefore w:val="0"/>
        <w:widowControl w:val="0"/>
        <w:kinsoku/>
        <w:wordWrap/>
        <w:overflowPunct w:val="0"/>
        <w:topLinePunct w:val="0"/>
        <w:autoSpaceDE/>
        <w:autoSpaceDN/>
        <w:bidi w:val="0"/>
        <w:spacing w:line="574"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48" w:name="_Toc12338"/>
      <w:r>
        <w:rPr>
          <w:rFonts w:hint="eastAsia" w:ascii="Times New Roman" w:hAnsi="Times New Roman"/>
          <w:b w:val="0"/>
          <w:bCs w:val="0"/>
          <w:strike w:val="0"/>
          <w:dstrike w:val="0"/>
          <w:color w:val="000000" w:themeColor="text1"/>
          <w:highlight w:val="none"/>
          <w:u w:val="none"/>
          <w14:textFill>
            <w14:solidFill>
              <w14:schemeClr w14:val="tx1"/>
            </w14:solidFill>
          </w14:textFill>
        </w:rPr>
        <w:t>第十</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三</w:t>
      </w: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章  </w:t>
      </w:r>
      <w:bookmarkEnd w:id="115"/>
      <w:bookmarkEnd w:id="116"/>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贯彻总体国家安全观，以新安全</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格局保障高质量发展</w:t>
      </w:r>
      <w:bookmarkEnd w:id="148"/>
    </w:p>
    <w:p w14:paraId="526C7141">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pPr>
      <w:bookmarkStart w:id="149" w:name="_Toc12563"/>
      <w:bookmarkStart w:id="150" w:name="_Toc4517"/>
      <w:bookmarkStart w:id="151" w:name="_Toc10811"/>
      <w:bookmarkStart w:id="152" w:name="_Toc20329"/>
      <w:r>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推进安全体系和能力现代化，建设更高水平平安荣成。全面贯彻总体国家安全观，加强重点领域安全能力建设，提高公共安全治理水平，完善社会治理和应急处理体系。紧扣</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共建共治共享</w:t>
      </w:r>
      <w:r>
        <w:rPr>
          <w:rFonts w:hint="eastAsia"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2"/>
          <w:sz w:val="32"/>
          <w:szCs w:val="32"/>
          <w:highlight w:val="none"/>
          <w:u w:val="none"/>
          <w:lang w:val="en-US" w:eastAsia="zh-CN" w:bidi="ar-SA"/>
          <w14:textFill>
            <w14:solidFill>
              <w14:schemeClr w14:val="tx1"/>
            </w14:solidFill>
          </w14:textFill>
        </w:rPr>
        <w:t>治理理念，统筹发展和安全，通过完善社会治理体系、构建安全责任体系、强化应急保障体系，筑牢全域安全防线。</w:t>
      </w:r>
    </w:p>
    <w:p w14:paraId="2E7FEA24">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bookmarkStart w:id="153" w:name="_Toc19234"/>
      <w:bookmarkStart w:id="154" w:name="_Toc14230"/>
      <w:bookmarkStart w:id="155" w:name="_Toc10360"/>
      <w:r>
        <w:rPr>
          <w:rFonts w:hint="default"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一</w:t>
      </w:r>
      <w:r>
        <w:rPr>
          <w:rFonts w:hint="default" w:ascii="Times New Roman" w:hAnsi="Times New Roman"/>
          <w:b w:val="0"/>
          <w:bCs w:val="0"/>
          <w:strike w:val="0"/>
          <w:dstrike w:val="0"/>
          <w:color w:val="000000" w:themeColor="text1"/>
          <w:highlight w:val="none"/>
          <w:u w:val="none"/>
          <w14:textFill>
            <w14:solidFill>
              <w14:schemeClr w14:val="tx1"/>
            </w14:solidFill>
          </w14:textFill>
        </w:rPr>
        <w:t>节 构建全域安全责任体系</w:t>
      </w:r>
      <w:bookmarkEnd w:id="153"/>
      <w:bookmarkEnd w:id="154"/>
    </w:p>
    <w:p w14:paraId="1C74C22B">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筑牢国家安全发展基础。</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贯彻总体国家安全观，将国家安全贯穿到经济社会发展各领域全过程，以思想政治引领强化安全自觉，通过开展国家安全教育日活动、专题讲座等形式，增强全民国家安全意识；建立健全国家安全风险评估机制，坚持底线思维，筑牢安全防线。</w:t>
      </w:r>
      <w:r>
        <w:rPr>
          <w:rFonts w:hint="default"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加强国防动员、民兵体系、人民防空等能力建设，健全强边固防机制，巩固军政军民团结。</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推动基础设施贯彻国防要求，依法落实军事禁区、军事管理区及外围安全控制范围和空间管控；建立军事设施保护协同机制，加强军事和涉密设施日常安全巡查，形成军地联动的保护格局。强化社会安全稳定防控。坚持源头治理与动态管控相结合，常态化开展矛盾纠纷排查工作与社会稳定形势研判，针对征地拆迁、劳资纠纷、涉法涉诉等突出问题，建立</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一问题一专班</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化解机制，强化重点人群服务管理，对刑满释放人员、社区矫正对象等群体建立心理干预、就业帮扶、社会融入等多元化服务机制。</w:t>
      </w:r>
    </w:p>
    <w:p w14:paraId="5DB37058">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压实安全生产责任。</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坚持党政同责，严格落实安全生产责任制，督促生产经营单位落实企业主体责任。推进安全生产治本攻坚行动，聚焦违规电气焊作业和违规施工、有限空间作业、预防高处坠落、企业外包施工、商渔共治、</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九小场所</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消防安全六项重点任务开展攻坚治理，落细落实安全生产十五条硬措施和</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八抓20条</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创新举措。建立企业安全生产信用评价制度，强化评价结果在日常安全监管检查中的运用，督促提升企业本质安全水平，增强安全治理质效</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定期开展安全生产大检查和专项整治行动，严厉打击违法违规行为，推动安全管理向</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主动预防</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转变。</w:t>
      </w:r>
    </w:p>
    <w:p w14:paraId="2CFD3E4E">
      <w:pPr>
        <w:keepNext w:val="0"/>
        <w:keepLines w:val="0"/>
        <w:pageBreakBefore w:val="0"/>
        <w:widowControl w:val="0"/>
        <w:kinsoku/>
        <w:wordWrap/>
        <w:overflowPunct w:val="0"/>
        <w:topLinePunct w:val="0"/>
        <w:autoSpaceDE/>
        <w:autoSpaceDN/>
        <w:bidi w:val="0"/>
        <w:spacing w:line="574" w:lineRule="exact"/>
        <w:ind w:firstLine="640" w:firstLineChars="200"/>
        <w:textAlignment w:val="auto"/>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强化消费安全监管。</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深入推进“食安荣成”建设。</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加强专业化检查员队伍培训，持续提升监管能力</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。推动80%以上供货商使用电子销货系统，规范进货查验</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管理，健全覆盖源头至餐桌的全链条监管体系。推动智慧赋能，实施食品安全</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互联网+AI</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智慧监管，提升数字化治理水平。开展</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食安护佳节</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行动、</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无堂食外卖</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专项整治等工作，</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不断规范市场秩序，</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增强风险防控能力。深化社会共治，常态化推进</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你点我检</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活动，积极回应群众关切，畅通投诉举报渠道，全面提升综合治理效能。</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力争</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到2030年，实现全市食品抽检量稳定在7批次</w:t>
      </w:r>
      <w:r>
        <w:rPr>
          <w:rFonts w:hint="eastAsia"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/千人</w:t>
      </w:r>
      <w:r>
        <w:rPr>
          <w:rFonts w:hint="default" w:ascii="Times New Roman" w:hAnsi="Times New Roman" w:eastAsia="仿宋_GB2312" w:cs="Times New Roman"/>
          <w:b w:val="0"/>
          <w:bCs w:val="0"/>
          <w:strike w:val="0"/>
          <w:dstrike w:val="0"/>
          <w:color w:val="000000" w:themeColor="text1"/>
          <w:kern w:val="0"/>
          <w:sz w:val="32"/>
          <w:szCs w:val="32"/>
          <w:highlight w:val="none"/>
          <w:u w:val="none"/>
          <w:lang w:val="en-US" w:eastAsia="zh-CN" w:bidi="ar"/>
          <w14:textFill>
            <w14:solidFill>
              <w14:schemeClr w14:val="tx1"/>
            </w14:solidFill>
          </w14:textFill>
        </w:rPr>
        <w:t>，评价性抽检合格率维持在98.5%以上，不合格食品处置率达100%。严守药品安全底线，加强质量管控，健全完善案件协查、行刑衔接、行政处罚信息公开、检查稽查协同联动等机制，提升网络销售药品、医疗器械、化妆品监管实效，严肃查处违法违规行为，提升药品和医疗器械质量安全水平。</w:t>
      </w:r>
    </w:p>
    <w:p w14:paraId="13DC7CC5">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加强重点领域安全管理</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深化重点领域整治</w:t>
      </w:r>
      <w:r>
        <w:rPr>
          <w:rFonts w:hint="default"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，分级、智能、精准管控重大风险源，推动重大事故隐患动态清零</w:t>
      </w:r>
      <w:r>
        <w:rPr>
          <w:rFonts w:hint="default"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危化品领域推进全链条风险管控，建立重大风险联防联控机制；非煤矿山领域严格开采规范，强化安全监测，杜绝违规作业；建筑施工领域聚焦风险点开展专项整治，落实动火作业审批制度；海上安全领域加强渔船管控，确保作业安全。加强消防安全管理，推进重点场所消防整治，排查整改消防通道堵塞、设施老化等隐患；依托镇街应急救援站推进基层消防力量建设，配备消防器材并加强宣传培训；强化燃气安全监管，防范火灾事故。强化道路交通安全，升级安全设施、完善交通标志标线、治理隐患路段；加强重点车辆监管，严查违法行为；深化</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旅游警务</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，优化景区周边交通疏导，开展宣传教育提升群众安全意识；实时监测交通流量，及时处置拥堵与事故，提升通行安全水平。</w:t>
      </w:r>
    </w:p>
    <w:p w14:paraId="62556787">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bookmarkStart w:id="156" w:name="_Toc19990"/>
      <w:r>
        <w:rPr>
          <w:rFonts w:hint="default" w:ascii="Times New Roman" w:hAnsi="Times New Roman"/>
          <w:b w:val="0"/>
          <w:bCs w:val="0"/>
          <w:strike w:val="0"/>
          <w:dstrike w:val="0"/>
          <w:color w:val="000000" w:themeColor="text1"/>
          <w:highlight w:val="none"/>
          <w:u w:val="none"/>
          <w14:textFill>
            <w14:solidFill>
              <w14:schemeClr w14:val="tx1"/>
            </w14:solidFill>
          </w14:textFill>
        </w:rPr>
        <w:t xml:space="preserve">第二节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提升</w:t>
      </w:r>
      <w:r>
        <w:rPr>
          <w:rFonts w:hint="default" w:ascii="Times New Roman" w:hAnsi="Times New Roman"/>
          <w:b w:val="0"/>
          <w:bCs w:val="0"/>
          <w:strike w:val="0"/>
          <w:dstrike w:val="0"/>
          <w:color w:val="000000" w:themeColor="text1"/>
          <w:highlight w:val="none"/>
          <w:u w:val="none"/>
          <w14:textFill>
            <w14:solidFill>
              <w14:schemeClr w14:val="tx1"/>
            </w14:solidFill>
          </w14:textFill>
        </w:rPr>
        <w:t>基层治理能力</w:t>
      </w:r>
      <w:bookmarkEnd w:id="156"/>
    </w:p>
    <w:p w14:paraId="2F8EDF4C">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eastAsia="仿宋_GB2312" w:cs="Times New Roman"/>
          <w:b w:val="0"/>
          <w:bCs w:val="0"/>
          <w:strike w:val="0"/>
          <w:dstrike w:val="0"/>
          <w:color w:val="000000" w:themeColor="text1"/>
          <w:highlight w:val="none"/>
          <w:u w:val="none"/>
          <w:lang w:val="en-US" w:eastAsia="zh-CN"/>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推进</w:t>
      </w: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社会治理现代化</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坚持系统治理、依法治理、综合治理、源头治理，完善共建共治共享的社会治理制度。持续推动政法数据共享向系统外延伸扩面。大力推动在政法工作领域引入人工智能、DeepSeek等大模型应用，进一步推出一批“一件事”便民集成应用、完善一批法律服务平台、培育打造一批数字法治智慧成果，为加快推进政法现代化提供有力支撑。建设“社会治安综合治理信息平台”，加强矛盾纠纷多元化解线上平台规范运行，进一步优化完善网格化信息系统功能，夯实网格化管理、精细化服务、信息化支撑的基层治理平台。</w:t>
      </w:r>
    </w:p>
    <w:p w14:paraId="187CE889">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提升社会基层治理水平</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加强党建引领基层治理和基层政权建设，深化基层民主协商，构建“五位一体”社区治理共同体，探索完善“友邻善治”治理方式，打造“精致幸福家园”。建立完善为基层减负长效机制，全面实施乡镇（街道）履行职责事项清单，健全村（社区）工作事项准入制度，加强基层服务管理力量配置，强化服务设施和经费保障。坚持和发展新时代“枫桥经验”，践行“办事到政务中心、纠纷找综治中心”理念，推动市、镇街、村居三级综治中心规范化建设持续提升，加强多元化解合力，不断增强就地吸附化解矛盾纠纷成效。全面提升新兴领域党建工作质量，推动行业协会商会改革发展，健全社会组织培育管理制度，实施社会工作者队伍能力提升行动，健全志愿服务体系，推进“志愿荣成”建设。以“万家荣和”社会治理品牌为牵引，健全源头预防、排查预警、多元化解机制，完善矛盾纠纷化解法治化“路线图”，持续加强各类调解组织建设，推动群众以调解方式解决纠纷问题，矛盾纠纷化解法治化明显增强。深化网格化服务管理，提升基层治理精细化水平。深入推进信访工作法治化。</w:t>
      </w:r>
    </w:p>
    <w:p w14:paraId="6FABC554">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完善社会治安防控体系。</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深入推进“海陆空地网”全域设防的社会治安整体防控体系建设，强化“雪亮工程”应用，持续推进“平安荣成”监控建设，加强城区结构化监控和农村、沿海监控补点建设，完善技防网络。深化派出所“两队一室”改革，推进“一村（格）一警”全覆盖，做强派出所“主防”职能。加强所队标准化建设，持续完善所队硬件设施，建设含涉案财物管理、入所体检等功能的执法办案管理中心，提升执法规范化水平。开展“五打一深化”集中整治行动，发挥数据赋能实战功效，提升电信网络诈骗、侵财、涉毒、走私偷渡等各类违法犯罪的精准打击能力，强化未成年人违法犯罪预防和治理。深化平安交通建设，推动“智慧交管”升级改造，持续开展整治酒驾醉驾专项行动。加强群防群治工作，狠抓危爆物品、管制器具、散装汽油等重点物品安全监管，“警格+网格”推进流动人口等治安要素监管，加强重点单位、重点部位及人员密集场所安全管理。扎实做好“三失一偏”等重点群体心理疏导、走访帮扶工作，严防“民转刑”“刑转命”和个人极端案事件发生。构建群防群治、联防联控社会治理格局，吸纳新就业群体、志愿者等力量，完善机制保障，凝聚平安荣成建设合力。</w:t>
      </w:r>
    </w:p>
    <w:p w14:paraId="6E04F88D">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加强自然资源督察执法工作。</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扎实推进土地、矿产、国土空间规划、森林一体化督察，持续推进国家自然资源例行督察、森林督察反馈问题整改工作。建立</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审批</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监管</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执法</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闭环管理制度，推行</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网格化+数字化</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监管模式，运用卫星遥感、无人机巡查、视频监控等技术构建立体监测网，积极构建自然资源违法行为</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早发现、早制止、严查处</w:t>
      </w:r>
      <w:r>
        <w:rPr>
          <w:rFonts w:hint="eastAsia" w:ascii="Times New Roman" w:hAnsi="Times New Roman" w:eastAsia="仿宋_GB2312" w:cs="仿宋_GB2312"/>
          <w:b w:val="0"/>
          <w:bCs w:val="0"/>
          <w:strike w:val="0"/>
          <w:dstrike w:val="0"/>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14:textFill>
            <w14:solidFill>
              <w14:schemeClr w14:val="tx1"/>
            </w14:solidFill>
          </w14:textFill>
        </w:rPr>
        <w:t>工作机制，全面提升执法监管效能。加强与公安、检察、法院、生态环境等部门合作，切实形成监管执法合力。</w:t>
      </w:r>
    </w:p>
    <w:p w14:paraId="219E41F1">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bookmarkStart w:id="157" w:name="_Toc9634"/>
    </w:p>
    <w:p w14:paraId="0E27494B">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r>
        <w:rPr>
          <w:rFonts w:hint="default" w:ascii="Times New Roman" w:hAnsi="Times New Roman"/>
          <w:b w:val="0"/>
          <w:bCs w:val="0"/>
          <w:strike w:val="0"/>
          <w:dstrike w:val="0"/>
          <w:color w:val="000000" w:themeColor="text1"/>
          <w:highlight w:val="none"/>
          <w:u w:val="none"/>
          <w14:textFill>
            <w14:solidFill>
              <w14:schemeClr w14:val="tx1"/>
            </w14:solidFill>
          </w14:textFill>
        </w:rPr>
        <w:t>第</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三</w:t>
      </w:r>
      <w:r>
        <w:rPr>
          <w:rFonts w:hint="default" w:ascii="Times New Roman" w:hAnsi="Times New Roman"/>
          <w:b w:val="0"/>
          <w:bCs w:val="0"/>
          <w:strike w:val="0"/>
          <w:dstrike w:val="0"/>
          <w:color w:val="000000" w:themeColor="text1"/>
          <w:highlight w:val="none"/>
          <w:u w:val="none"/>
          <w14:textFill>
            <w14:solidFill>
              <w14:schemeClr w14:val="tx1"/>
            </w14:solidFill>
          </w14:textFill>
        </w:rPr>
        <w:t xml:space="preserve">节 </w:t>
      </w:r>
      <w:bookmarkEnd w:id="149"/>
      <w:bookmarkEnd w:id="150"/>
      <w:r>
        <w:rPr>
          <w:rFonts w:hint="default" w:ascii="Times New Roman" w:hAnsi="Times New Roman"/>
          <w:b w:val="0"/>
          <w:bCs w:val="0"/>
          <w:strike w:val="0"/>
          <w:dstrike w:val="0"/>
          <w:color w:val="000000" w:themeColor="text1"/>
          <w:highlight w:val="none"/>
          <w:u w:val="none"/>
          <w14:textFill>
            <w14:solidFill>
              <w14:schemeClr w14:val="tx1"/>
            </w14:solidFill>
          </w14:textFill>
        </w:rPr>
        <w:t>推进法治荣成建设</w:t>
      </w:r>
      <w:bookmarkEnd w:id="155"/>
      <w:bookmarkEnd w:id="157"/>
    </w:p>
    <w:p w14:paraId="59C9F514">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pPr>
      <w:bookmarkStart w:id="158" w:name="_Toc27416"/>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深入推进依法行政。</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学习贯彻习近平法治思想，持续完善党领导全面依法治市的制度机制，着力提升领导干部</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关键少数</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依法办事能力，</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确保法治政府建设正确方向。</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持续规范重大行政决策和行政规范性文件管理，深化</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部门自清+司法审查</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双轨清理模式，对不适应发展的规范性文件动态修订废止。推进行政执法体制改革，</w:t>
      </w:r>
      <w:r>
        <w:rPr>
          <w:rFonts w:hint="eastAsia" w:ascii="Times New Roman" w:hAnsi="Times New Roman" w:eastAsia="仿宋_GB2312" w:cs="仿宋_GB2312"/>
          <w:b w:val="0"/>
          <w:bCs w:val="0"/>
          <w:strike w:val="0"/>
          <w:dstrike w:val="0"/>
          <w:color w:val="000000" w:themeColor="text1"/>
          <w:sz w:val="32"/>
          <w:szCs w:val="32"/>
          <w:highlight w:val="none"/>
          <w:u w:val="none"/>
          <w:lang w:val="en-US" w:eastAsia="zh-CN"/>
          <w14:textFill>
            <w14:solidFill>
              <w14:schemeClr w14:val="tx1"/>
            </w14:solidFill>
          </w14:textFill>
        </w:rPr>
        <w:t>规范涉企执法行为，防止和纠正违规异地执法、趋利性执法。</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全面推行涉企行政指导，推动行政执法从</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监管导向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服务导向</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转变，帮助企业依法合规经营。</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强化府院联动</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、府检联动</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楷体_GB2312"/>
          <w:b w:val="0"/>
          <w:bCs w:val="0"/>
          <w:strike w:val="0"/>
          <w:dstrike w:val="0"/>
          <w:color w:val="000000" w:themeColor="text1"/>
          <w:sz w:val="32"/>
          <w:szCs w:val="32"/>
          <w:highlight w:val="none"/>
          <w:u w:val="none"/>
          <w14:textFill>
            <w14:solidFill>
              <w14:schemeClr w14:val="tx1"/>
            </w14:solidFill>
          </w14:textFill>
        </w:rPr>
        <w:t>提升行政复议监督效能，</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规范行政应诉流程，</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及时高效化解行政争议。</w:t>
      </w:r>
    </w:p>
    <w:p w14:paraId="65D0E89F">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加快建设法治社会。</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制定实</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施</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九五</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普法规划，</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全面落实普法责任制</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。健全人民调解、行业调解、行政调解等协调联动机制，完善纠纷化解体系。</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整合律师、公证、法律援助等公共法律服务资源</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fldChar w:fldCharType="begin"/>
      </w:r>
      <w:r>
        <w:rPr>
          <w:rFonts w:ascii="Times New Roman" w:hAnsi="Times New Roman"/>
          <w:b w:val="0"/>
          <w:bCs w:val="0"/>
          <w:strike w:val="0"/>
          <w:dstrike w:val="0"/>
          <w:color w:val="000000" w:themeColor="text1"/>
          <w:highlight w:val="none"/>
          <w:u w:val="none"/>
          <w14:textFill>
            <w14:solidFill>
              <w14:schemeClr w14:val="tx1"/>
            </w14:solidFill>
          </w14:textFill>
        </w:rPr>
        <w:instrText xml:space="preserve"> HYPERLINK "http://www.baidu.com/link?url=XOZIvxApP2zvtLflkFyMizzF3-R3pWcusogkNzlckFyEBVUwpVgf5ZokrhM59km_sJuz9OVGaM2NUMDkxDmAzDYXm-WgaoDecONL-mzkwjaPcW7BYy8vgzar1n2MNWr2WHDgkszlG5ShMPjj6hxUv_" \t "https://www.baidu.com/_blank" </w:instrText>
      </w:r>
      <w:r>
        <w:rPr>
          <w:rFonts w:ascii="Times New Roman" w:hAnsi="Times New Roman"/>
          <w:b w:val="0"/>
          <w:bCs w:val="0"/>
          <w:strike w:val="0"/>
          <w:dstrike w:val="0"/>
          <w:color w:val="000000" w:themeColor="text1"/>
          <w:highlight w:val="none"/>
          <w:u w:val="none"/>
          <w14:textFill>
            <w14:solidFill>
              <w14:schemeClr w14:val="tx1"/>
            </w14:solidFill>
          </w14:textFill>
        </w:rPr>
        <w:fldChar w:fldCharType="separate"/>
      </w:r>
      <w:r>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更好满足人民群众法律服务需求</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fldChar w:fldCharType="end"/>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加强涉外法治统筹推动，</w:t>
      </w:r>
      <w:r>
        <w:rPr>
          <w:rFonts w:hint="default"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立足海洋经济与涉外发展特色，</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优化海事海商等领域涉外法治服务，健全涉外纠纷应对机制，加快涉外法治人才培养，</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全面增强涉外法治服务能力。充分发挥基层司法所、村居法律顾问、法律工作者、法治带头人、法律明白人、调解员等在基层法治建设中的作用，不断提升基层法律服务</w:t>
      </w:r>
      <w:r>
        <w:rPr>
          <w:rFonts w:hint="eastAsia" w:ascii="Times New Roman" w:hAnsi="Times New Roman" w:eastAsia="仿宋_GB2312" w:cs="Times New Roman"/>
          <w:b w:val="0"/>
          <w:bCs w:val="0"/>
          <w:strike w:val="0"/>
          <w:dstrike w:val="0"/>
          <w:color w:val="000000" w:themeColor="text1"/>
          <w:sz w:val="32"/>
          <w:szCs w:val="32"/>
          <w:highlight w:val="none"/>
          <w:u w:val="none"/>
          <w:lang w:val="en-US" w:eastAsia="zh-CN"/>
          <w14:textFill>
            <w14:solidFill>
              <w14:schemeClr w14:val="tx1"/>
            </w14:solidFill>
          </w14:textFill>
        </w:rPr>
        <w:t>水平</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，助力基层依法治理。</w:t>
      </w:r>
    </w:p>
    <w:p w14:paraId="5ADAB684">
      <w:pPr>
        <w:keepNext w:val="0"/>
        <w:keepLines w:val="0"/>
        <w:pageBreakBefore w:val="0"/>
        <w:widowControl w:val="0"/>
        <w:kinsoku/>
        <w:wordWrap/>
        <w:overflowPunct w:val="0"/>
        <w:topLinePunct w:val="0"/>
        <w:autoSpaceDE/>
        <w:autoSpaceDN/>
        <w:bidi w:val="0"/>
        <w:adjustRightInd/>
        <w:snapToGrid/>
        <w:spacing w:line="574" w:lineRule="exact"/>
        <w:ind w:firstLine="640" w:firstLineChars="200"/>
        <w:textAlignment w:val="auto"/>
        <w:rPr>
          <w:rFonts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完善司法体制机制。</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深化司法体制改革</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以全面落实司法责任制为抓手，深化以审判为中心的</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刑事</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诉讼制度改革，完善检察机关</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捕诉一体</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办案机制，推行民事、刑事、行政、公益诉讼</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四大检察</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融合履职，进一步健全权责统一、监管有效的司法责任体系。加强执法司法规范化建设，全面准确贯彻宽严相济刑事政策，严格规范刑罚执行行为。完善立案、审判与执行工作的联动运行、协调衔接机制，健全巩固综合治理</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执行难</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工作大格局。</w:t>
      </w:r>
      <w:r>
        <w:rPr>
          <w:rFonts w:hint="eastAsia"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织密</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法治监督</w:t>
      </w:r>
      <w:r>
        <w:rPr>
          <w:rFonts w:hint="eastAsia" w:ascii="Times New Roman" w:hAnsi="Times New Roman" w:eastAsia="仿宋_GB2312" w:cs="Times New Roman"/>
          <w:b w:val="0"/>
          <w:bCs w:val="0"/>
          <w:strike w:val="0"/>
          <w:dstrike w:val="0"/>
          <w:color w:val="000000" w:themeColor="text1"/>
          <w:sz w:val="32"/>
          <w:highlight w:val="none"/>
          <w:u w:val="none"/>
          <w:lang w:val="en-US" w:eastAsia="zh-CN"/>
          <w14:textFill>
            <w14:solidFill>
              <w14:schemeClr w14:val="tx1"/>
            </w14:solidFill>
          </w14:textFill>
        </w:rPr>
        <w:t>网络</w:t>
      </w:r>
      <w:r>
        <w:rPr>
          <w:rFonts w:hint="eastAsia" w:ascii="Times New Roman" w:hAnsi="Times New Roman" w:eastAsia="仿宋_GB2312" w:cs="Times New Roman"/>
          <w:b w:val="0"/>
          <w:bCs w:val="0"/>
          <w:strike w:val="0"/>
          <w:dstrike w:val="0"/>
          <w:color w:val="000000" w:themeColor="text1"/>
          <w:sz w:val="32"/>
          <w:highlight w:val="none"/>
          <w:u w:val="none"/>
          <w:lang w:eastAsia="zh-CN"/>
          <w14:textFill>
            <w14:solidFill>
              <w14:schemeClr w14:val="tx1"/>
            </w14:solidFill>
          </w14:textFill>
        </w:rPr>
        <w:t>，</w:t>
      </w:r>
      <w:r>
        <w:rPr>
          <w:rFonts w:hint="eastAsia" w:ascii="Times New Roman" w:hAnsi="Times New Roman" w:eastAsia="仿宋_GB2312" w:cs="Times New Roman"/>
          <w:b w:val="0"/>
          <w:bCs w:val="0"/>
          <w:strike w:val="0"/>
          <w:dstrike w:val="0"/>
          <w:color w:val="000000" w:themeColor="text1"/>
          <w:sz w:val="32"/>
          <w:highlight w:val="none"/>
          <w:u w:val="none"/>
          <w14:textFill>
            <w14:solidFill>
              <w14:schemeClr w14:val="tx1"/>
            </w14:solidFill>
          </w14:textFill>
        </w:rPr>
        <w:t>构建多元监</w:t>
      </w:r>
      <w:r>
        <w:rPr>
          <w:rFonts w:hint="eastAsia" w:ascii="Times New Roman" w:hAnsi="Times New Roman" w:eastAsia="仿宋_GB2312" w:cs="仿宋_GB2312"/>
          <w:b w:val="0"/>
          <w:bCs w:val="0"/>
          <w:strike w:val="0"/>
          <w:dstrike w:val="0"/>
          <w:color w:val="000000" w:themeColor="text1"/>
          <w:sz w:val="32"/>
          <w:szCs w:val="32"/>
          <w:highlight w:val="none"/>
          <w:u w:val="none"/>
          <w14:textFill>
            <w14:solidFill>
              <w14:schemeClr w14:val="tx1"/>
            </w14:solidFill>
          </w14:textFill>
        </w:rPr>
        <w:t>督格局，完善行政执法协调监督，</w:t>
      </w:r>
      <w:r>
        <w:rPr>
          <w:rFonts w:hint="eastAsia" w:ascii="Times New Roman" w:hAnsi="Times New Roman" w:eastAsia="仿宋_GB2312" w:cs="仿宋_GB2312"/>
          <w:b w:val="0"/>
          <w:bCs w:val="0"/>
          <w:strike w:val="0"/>
          <w:dstrike w:val="0"/>
          <w:color w:val="000000" w:themeColor="text1"/>
          <w:sz w:val="32"/>
          <w:szCs w:val="32"/>
          <w:highlight w:val="none"/>
          <w:u w:val="none"/>
          <w:lang w:eastAsia="zh-CN"/>
          <w14:textFill>
            <w14:solidFill>
              <w14:schemeClr w14:val="tx1"/>
            </w14:solidFill>
          </w14:textFill>
        </w:rPr>
        <w:t>深化</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法治督察与法律监督、</w:t>
      </w:r>
      <w:r>
        <w:rPr>
          <w:rFonts w:hint="eastAsia" w:ascii="Times New Roman" w:hAnsi="Times New Roman" w:eastAsia="仿宋_GB2312" w:cs="Times New Roman"/>
          <w:b w:val="0"/>
          <w:bCs w:val="0"/>
          <w:strike w:val="0"/>
          <w:dstrike w:val="0"/>
          <w:color w:val="000000" w:themeColor="text1"/>
          <w:sz w:val="32"/>
          <w:szCs w:val="32"/>
          <w:highlight w:val="none"/>
          <w:u w:val="none"/>
          <w:lang w:eastAsia="zh-CN"/>
          <w14:textFill>
            <w14:solidFill>
              <w14:schemeClr w14:val="tx1"/>
            </w14:solidFill>
          </w14:textFill>
        </w:rPr>
        <w:t>行政执法监督</w:t>
      </w:r>
      <w:r>
        <w:rPr>
          <w:rFonts w:hint="eastAsia" w:ascii="Times New Roman" w:hAnsi="Times New Roman" w:eastAsia="仿宋_GB2312" w:cs="Times New Roman"/>
          <w:b w:val="0"/>
          <w:bCs w:val="0"/>
          <w:strike w:val="0"/>
          <w:dstrike w:val="0"/>
          <w:color w:val="000000" w:themeColor="text1"/>
          <w:sz w:val="32"/>
          <w:szCs w:val="32"/>
          <w:highlight w:val="none"/>
          <w:u w:val="none"/>
          <w14:textFill>
            <w14:solidFill>
              <w14:schemeClr w14:val="tx1"/>
            </w14:solidFill>
          </w14:textFill>
        </w:rPr>
        <w:t>的贯通协调机制，凝聚法治监督合力。</w:t>
      </w:r>
    </w:p>
    <w:bookmarkEnd w:id="158"/>
    <w:p w14:paraId="5334881C">
      <w:pPr>
        <w:pStyle w:val="33"/>
        <w:keepNext w:val="0"/>
        <w:keepLines w:val="0"/>
        <w:pageBreakBefore w:val="0"/>
        <w:widowControl w:val="0"/>
        <w:kinsoku/>
        <w:wordWrap/>
        <w:overflowPunct w:val="0"/>
        <w:topLinePunct w:val="0"/>
        <w:autoSpaceDE/>
        <w:autoSpaceDN/>
        <w:bidi w:val="0"/>
        <w:spacing w:line="574" w:lineRule="exact"/>
        <w:jc w:val="center"/>
        <w:textAlignment w:val="auto"/>
        <w:rPr>
          <w:rFonts w:hint="default" w:ascii="Times New Roman" w:hAnsi="Times New Roman"/>
          <w:b w:val="0"/>
          <w:bCs w:val="0"/>
          <w:strike w:val="0"/>
          <w:dstrike w:val="0"/>
          <w:color w:val="000000" w:themeColor="text1"/>
          <w:highlight w:val="none"/>
          <w:u w:val="none"/>
          <w14:textFill>
            <w14:solidFill>
              <w14:schemeClr w14:val="tx1"/>
            </w14:solidFill>
          </w14:textFill>
        </w:rPr>
      </w:pPr>
      <w:bookmarkStart w:id="159" w:name="_Toc8688"/>
      <w:bookmarkStart w:id="160" w:name="_Toc10939"/>
      <w:r>
        <w:rPr>
          <w:rFonts w:hint="default" w:ascii="Times New Roman" w:hAnsi="Times New Roman"/>
          <w:b w:val="0"/>
          <w:bCs w:val="0"/>
          <w:strike w:val="0"/>
          <w:dstrike w:val="0"/>
          <w:color w:val="000000" w:themeColor="text1"/>
          <w:highlight w:val="none"/>
          <w:u w:val="none"/>
          <w14:textFill>
            <w14:solidFill>
              <w14:schemeClr w14:val="tx1"/>
            </w14:solidFill>
          </w14:textFill>
        </w:rPr>
        <w:t>第</w:t>
      </w:r>
      <w:r>
        <w:rPr>
          <w:rFonts w:hint="default" w:ascii="Times New Roman" w:hAnsi="Times New Roman"/>
          <w:b w:val="0"/>
          <w:bCs w:val="0"/>
          <w:strike w:val="0"/>
          <w:dstrike w:val="0"/>
          <w:color w:val="000000" w:themeColor="text1"/>
          <w:highlight w:val="none"/>
          <w:u w:val="none"/>
          <w:lang w:eastAsia="zh-CN"/>
          <w14:textFill>
            <w14:solidFill>
              <w14:schemeClr w14:val="tx1"/>
            </w14:solidFill>
          </w14:textFill>
        </w:rPr>
        <w:t>四</w:t>
      </w:r>
      <w:r>
        <w:rPr>
          <w:rFonts w:hint="default" w:ascii="Times New Roman" w:hAnsi="Times New Roman"/>
          <w:b w:val="0"/>
          <w:bCs w:val="0"/>
          <w:strike w:val="0"/>
          <w:dstrike w:val="0"/>
          <w:color w:val="000000" w:themeColor="text1"/>
          <w:highlight w:val="none"/>
          <w:u w:val="none"/>
          <w14:textFill>
            <w14:solidFill>
              <w14:schemeClr w14:val="tx1"/>
            </w14:solidFill>
          </w14:textFill>
        </w:rPr>
        <w:t>节 强化应急保障体系</w:t>
      </w:r>
      <w:bookmarkEnd w:id="159"/>
      <w:bookmarkEnd w:id="160"/>
    </w:p>
    <w:p w14:paraId="05EC9455">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完善应急管理体制。</w:t>
      </w:r>
      <w:r>
        <w:rPr>
          <w:rFonts w:hint="default"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建立健全应急指挥部运行机制，</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明确响应分级分类标准与职责，搭建多部门信息共享网络，加快推动应急指挥中心建设，根据区域风险特点前置抢险救援物资装备，强化应急准备。实施应急管理数智化综合能力提升工程，加强非煤矿山等各类</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安全</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风险的监测预警，对</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九小场所</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、重点商圈及场所、重点领域等动态建档，做好安全生产</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一网通</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和应急指挥</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一张图</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的应用推广。严格落实安全总监制度，加强安全生产社会化服务机构管理。统筹加强应急避难场所建设管理和日常维护使用。</w:t>
      </w:r>
    </w:p>
    <w:p w14:paraId="6F74F705">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统筹推进防灾减灾救灾。</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加强防灾减灾委员会组织体系建设，健全完善自然灾害救助应急预案体系，强化灾害预警和应急响应联动。加强气象监测、预报、预警能力建设，筑牢气象防灾减灾第一道防线。加强森林火灾监测预警能力和防灭火专业队伍建设，深化地空协同和联防联控，精准划定森林防火区，推进</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一山一策</w:t>
      </w:r>
      <w:r>
        <w:rPr>
          <w:rFonts w:hint="eastAsia" w:ascii="Times New Roman" w:hAnsi="Times New Roman"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w:t>
      </w:r>
      <w:r>
        <w:rPr>
          <w:rFonts w:hint="eastAsia" w:ascii="Times New Roman" w:hAnsi="Times New Roman" w:eastAsia="仿宋_GB2312" w:cs="Times New Roman"/>
          <w:b w:val="0"/>
          <w:bCs w:val="0"/>
          <w:strike w:val="0"/>
          <w:dstrike w:val="0"/>
          <w:color w:val="000000" w:themeColor="text1"/>
          <w:kern w:val="21"/>
          <w:highlight w:val="none"/>
          <w:u w:val="none"/>
          <w:lang w:val="en-US" w:eastAsia="zh-CN"/>
          <w14:textFill>
            <w14:solidFill>
              <w14:schemeClr w14:val="tx1"/>
            </w14:solidFill>
          </w14:textFill>
          <w14:ligatures w14:val="standardContextual"/>
        </w:rPr>
        <w:t>防控。持续完善雨情洪涝的实时监测预警，常态化开展防汛防台风隐患排查整治，精准划定山洪灾害风险区域，确保河道行洪安全顺畅。扎实做好震情监视跟踪和应对准备工作，完善地震应急预案、地震灾害应急处置流程，常态化组织地震应急演练，提升公众防震避险意识和能力。</w:t>
      </w:r>
    </w:p>
    <w:p w14:paraId="677E36EE">
      <w:pPr>
        <w:pStyle w:val="28"/>
        <w:keepNext w:val="0"/>
        <w:keepLines w:val="0"/>
        <w:pageBreakBefore w:val="0"/>
        <w:widowControl w:val="0"/>
        <w:kinsoku/>
        <w:wordWrap/>
        <w:overflowPunct w:val="0"/>
        <w:topLinePunct w:val="0"/>
        <w:autoSpaceDE/>
        <w:autoSpaceDN/>
        <w:bidi w:val="0"/>
        <w:adjustRightInd/>
        <w:snapToGrid/>
        <w:spacing w:line="574" w:lineRule="exact"/>
        <w:ind w:firstLine="640"/>
        <w:textAlignment w:val="auto"/>
        <w:rPr>
          <w:rFonts w:hint="default" w:ascii="Times New Roman" w:hAnsi="Times New Roman" w:eastAsia="楷体_GB2312" w:cs="Times New Roman"/>
          <w:b w:val="0"/>
          <w:bCs w:val="0"/>
          <w:strike w:val="0"/>
          <w:dstrike w:val="0"/>
          <w:color w:val="000000" w:themeColor="text1"/>
          <w:kern w:val="21"/>
          <w:highlight w:val="none"/>
          <w:u w:val="none"/>
          <w14:textFill>
            <w14:solidFill>
              <w14:schemeClr w14:val="tx1"/>
            </w14:solidFill>
          </w14:textFill>
          <w14:ligatures w14:val="standardContextual"/>
        </w:rPr>
      </w:pP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立体强化应急保障。</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强化应急物资保障，细化应急物资储备、调配及运输流程，确保关键时刻调得出、用得上。完善应急物资储备，以政府实物储备为基础，确定储备品种规模，保障0.5万人紧急转移安置需求；建立</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市级+镇级+企业代储</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三级体系，按镇街灾种差异化储备；完善动态管理与调拨机制，定期清查补充，确保物资</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拿得出、用得上</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。推动应急预案</w:t>
      </w:r>
      <w:r>
        <w:rPr>
          <w:rFonts w:hint="default"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编制</w:t>
      </w:r>
      <w:r>
        <w:rPr>
          <w:rFonts w:hint="default" w:ascii="Times New Roman" w:hAnsi="Times New Roman" w:cs="Times New Roman"/>
          <w:b w:val="0"/>
          <w:bCs w:val="0"/>
          <w:strike w:val="0"/>
          <w:dstrike w:val="0"/>
          <w:color w:val="000000" w:themeColor="text1"/>
          <w:highlight w:val="none"/>
          <w:u w:val="none"/>
          <w14:textFill>
            <w14:solidFill>
              <w14:schemeClr w14:val="tx1"/>
            </w14:solidFill>
          </w14:textFill>
        </w:rPr>
        <w:t>，确保预案的针对性、实用性和可操作性。针对自然灾害、事故灾难、公共卫生事件和社会安全事件等不同类型突发事件，制定专项应急预案。加强应急演练，定期组织跨部门、跨区域的综合应急演练。广泛宣传应急知识，普及自救互救技能。对不同群体开展有针对性的应急教育活动，推动应急管理理念深入人心。</w:t>
      </w:r>
    </w:p>
    <w:p w14:paraId="48E2FD4D">
      <w:pPr>
        <w:pStyle w:val="28"/>
        <w:keepNext w:val="0"/>
        <w:keepLines w:val="0"/>
        <w:pageBreakBefore w:val="0"/>
        <w:widowControl w:val="0"/>
        <w:kinsoku/>
        <w:wordWrap/>
        <w:overflowPunct w:val="0"/>
        <w:topLinePunct w:val="0"/>
        <w:autoSpaceDE/>
        <w:autoSpaceDN/>
        <w:bidi w:val="0"/>
        <w:spacing w:line="574" w:lineRule="exact"/>
        <w:ind w:firstLine="640"/>
        <w:textAlignment w:val="auto"/>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加强应急体系建设</w:t>
      </w:r>
      <w:r>
        <w:rPr>
          <w:rFonts w:hint="default" w:ascii="Times New Roman" w:hAnsi="Times New Roman" w:eastAsia="楷体_GB2312" w:cs="宋体"/>
          <w:b w:val="0"/>
          <w:bCs w:val="0"/>
          <w:strike w:val="0"/>
          <w:dstrike w:val="0"/>
          <w:color w:val="auto"/>
          <w:spacing w:val="0"/>
          <w:kern w:val="2"/>
          <w:sz w:val="32"/>
          <w:szCs w:val="32"/>
          <w:highlight w:val="none"/>
          <w:u w:val="none"/>
          <w:lang w:val="en-US" w:eastAsia="zh-CN" w:bidi="ar-SA"/>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构建分级应急队伍体系，组建市级森林防灭火、防汛防台、海上救援等专业队伍，配齐专用装备物资；鼓励社会组织参与，建立政府与</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社会</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组织常态化合作机制，同时指导危化、非煤矿山等高危企业建立专职或兼职应急队伍，整合医疗力量组建应急医疗救援队，</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加强</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跨区域协作能力。</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强化海上救援能力建设，</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健全海洋、</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海事、消防等多部门联动救援机制，提</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高</w:t>
      </w: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t>海上突发事件快速处置效率。</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强化镇街综合应急救援队伍建设，提升基层响应能力。建强三级灾害信息员队伍，实现市、镇、村三级全覆盖，每个村（社区）至少配1名</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灾害</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信息员，通过</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线上+线下</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培训提升灾害防范与信息报送能力；建立激励机制，规范报送流程，为应急决策提供及时准确的数据支撑。常态化开展</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四不</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演练、</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双盲</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cs="Times New Roman"/>
          <w:b w:val="0"/>
          <w:bCs w:val="0"/>
          <w:strike w:val="0"/>
          <w:dstrike w:val="0"/>
          <w:color w:val="000000" w:themeColor="text1"/>
          <w:highlight w:val="none"/>
          <w:u w:val="none"/>
          <w14:textFill>
            <w14:solidFill>
              <w14:schemeClr w14:val="tx1"/>
            </w14:solidFill>
          </w14:textFill>
        </w:rPr>
        <w:t>演练，定期组织救援队伍开展专业技能培训，提升救援队伍的应急处置能力和协同作战能力。加大救援设备投入力度，根据不同应急场景和任务需求，加快救援车辆、无人机、卫星电话等救援设备按需更新，确保救援队伍在复杂环境下能够迅速开展救援行动。</w:t>
      </w:r>
      <w:r>
        <w:rPr>
          <w:rFonts w:hint="eastAsia" w:ascii="Times New Roman" w:hAnsi="Times New Roman" w:cs="Times New Roman"/>
          <w:b w:val="0"/>
          <w:bCs w:val="0"/>
          <w:strike w:val="0"/>
          <w:dstrike w:val="0"/>
          <w:color w:val="000000" w:themeColor="text1"/>
          <w:highlight w:val="none"/>
          <w:u w:val="none"/>
          <w:lang w:eastAsia="zh-CN"/>
          <w14:textFill>
            <w14:solidFill>
              <w14:schemeClr w14:val="tx1"/>
            </w14:solidFill>
          </w14:textFill>
        </w:rPr>
        <w:t>力争推动</w:t>
      </w:r>
      <w:r>
        <w:rPr>
          <w:rFonts w:hint="eastAsia" w:ascii="Times New Roman" w:hAnsi="Times New Roman" w:cs="Times New Roman"/>
          <w:b w:val="0"/>
          <w:bCs w:val="0"/>
          <w:strike w:val="0"/>
          <w:dstrike w:val="0"/>
          <w:color w:val="000000" w:themeColor="text1"/>
          <w:highlight w:val="none"/>
          <w:u w:val="none"/>
          <w:lang w:val="en-US" w:eastAsia="zh-CN"/>
          <w14:textFill>
            <w14:solidFill>
              <w14:schemeClr w14:val="tx1"/>
            </w14:solidFill>
          </w14:textFill>
        </w:rPr>
        <w:t>荣成市通用机场航空应急救援基地项目落地建设，综合提升航空护林、火情监测、火灾扑救及其他灾害事故的航空应急救援能力。</w:t>
      </w:r>
    </w:p>
    <w:p w14:paraId="6487739A">
      <w:pPr>
        <w:pStyle w:val="28"/>
        <w:keepNext w:val="0"/>
        <w:keepLines w:val="0"/>
        <w:pageBreakBefore w:val="0"/>
        <w:widowControl w:val="0"/>
        <w:kinsoku/>
        <w:wordWrap/>
        <w:overflowPunct w:val="0"/>
        <w:topLinePunct w:val="0"/>
        <w:autoSpaceDE/>
        <w:autoSpaceDN/>
        <w:bidi w:val="0"/>
        <w:spacing w:line="560" w:lineRule="exact"/>
        <w:ind w:firstLine="640"/>
        <w:textAlignment w:val="auto"/>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cs="Times New Roman"/>
          <w:b w:val="0"/>
          <w:bCs w:val="0"/>
          <w:strike w:val="0"/>
          <w:dstrike w:val="0"/>
          <w:color w:val="000000" w:themeColor="text1"/>
          <w:highlight w:val="none"/>
          <w:u w:val="none"/>
          <w14:textFill>
            <w14:solidFill>
              <w14:schemeClr w14:val="tx1"/>
            </w14:solidFill>
          </w14:textFill>
        </w:rPr>
        <w:br w:type="page"/>
      </w:r>
    </w:p>
    <w:p w14:paraId="41EB9E99">
      <w:pPr>
        <w:pStyle w:val="31"/>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pPr>
      <w:bookmarkStart w:id="161" w:name="_Toc12650"/>
      <w:r>
        <w:rPr>
          <w:rFonts w:hint="eastAsia" w:ascii="Times New Roman" w:hAnsi="Times New Roman"/>
          <w:b w:val="0"/>
          <w:bCs w:val="0"/>
          <w:strike w:val="0"/>
          <w:dstrike w:val="0"/>
          <w:color w:val="000000" w:themeColor="text1"/>
          <w:highlight w:val="none"/>
          <w:u w:val="none"/>
          <w14:textFill>
            <w14:solidFill>
              <w14:schemeClr w14:val="tx1"/>
            </w14:solidFill>
          </w14:textFill>
        </w:rPr>
        <w:t>第十</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四</w:t>
      </w:r>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章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坚持</w:t>
      </w:r>
      <w:r>
        <w:rPr>
          <w:rFonts w:hint="eastAsia" w:ascii="Times New Roman" w:hAnsi="Times New Roman"/>
          <w:b w:val="0"/>
          <w:bCs w:val="0"/>
          <w:strike w:val="0"/>
          <w:dstrike w:val="0"/>
          <w:color w:val="000000" w:themeColor="text1"/>
          <w:highlight w:val="none"/>
          <w:u w:val="none"/>
          <w14:textFill>
            <w14:solidFill>
              <w14:schemeClr w14:val="tx1"/>
            </w14:solidFill>
          </w14:textFill>
        </w:rPr>
        <w:t>党的全面领导，确保</w:t>
      </w:r>
      <w:bookmarkEnd w:id="151"/>
      <w:bookmarkEnd w:id="152"/>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高质效</w:t>
      </w:r>
      <w:r>
        <w:rPr>
          <w:rFonts w:hint="eastAsia" w:ascii="Times New Roman" w:hAnsi="Times New Roman"/>
          <w:b w:val="0"/>
          <w:bCs w:val="0"/>
          <w:strike w:val="0"/>
          <w:dstrike w:val="0"/>
          <w:color w:val="000000" w:themeColor="text1"/>
          <w:highlight w:val="none"/>
          <w:u w:val="none"/>
          <w:lang w:val="en-US" w:eastAsia="zh-CN"/>
          <w14:textFill>
            <w14:solidFill>
              <w14:schemeClr w14:val="tx1"/>
            </w14:solidFill>
          </w14:textFill>
        </w:rPr>
        <w:t xml:space="preserve">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完成“十五五”各项目标任务</w:t>
      </w:r>
      <w:bookmarkEnd w:id="161"/>
    </w:p>
    <w:p w14:paraId="624C881D">
      <w:pPr>
        <w:keepNext w:val="0"/>
        <w:keepLines w:val="0"/>
        <w:pageBreakBefore w:val="0"/>
        <w:widowControl w:val="0"/>
        <w:kinsoku/>
        <w:wordWrap/>
        <w:overflowPunct w:val="0"/>
        <w:topLinePunct w:val="0"/>
        <w:autoSpaceDE/>
        <w:autoSpaceDN/>
        <w:bidi w:val="0"/>
        <w:adjustRightInd w:val="0"/>
        <w:snapToGrid w:val="0"/>
        <w:spacing w:line="560" w:lineRule="exact"/>
        <w:ind w:firstLine="640" w:firstLineChars="200"/>
        <w:textAlignment w:val="auto"/>
        <w:rPr>
          <w:rFonts w:ascii="Times New Roman" w:hAnsi="Times New Roman" w:eastAsia="黑体" w:cs="Heiti SC Medium"/>
          <w:b w:val="0"/>
          <w:bCs w:val="0"/>
          <w:strike w:val="0"/>
          <w:dstrike w:val="0"/>
          <w:color w:val="000000" w:themeColor="text1"/>
          <w:kern w:val="21"/>
          <w:sz w:val="32"/>
          <w:szCs w:val="32"/>
          <w:highlight w:val="none"/>
          <w:u w:val="none"/>
          <w14:textFill>
            <w14:solidFill>
              <w14:schemeClr w14:val="tx1"/>
            </w14:solidFill>
          </w14:textFill>
          <w14:ligatures w14:val="standardContextual"/>
        </w:rPr>
      </w:pPr>
      <w:bookmarkStart w:id="162" w:name="_Toc10788"/>
      <w:bookmarkStart w:id="163" w:name="_Toc1221"/>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坚持</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和加强</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党的全面领导，增强党的政治领导力、思想引领力、群众组织力、社会号召力，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完善</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党委领导、政府负责、部门协同的规划实施机制，健全监测评估、政策协调和工作推进</w:t>
      </w:r>
      <w:r>
        <w:rPr>
          <w:rFonts w:hint="eastAsia" w:ascii="Times New Roman" w:hAnsi="Times New Roman" w:eastAsia="仿宋_GB2312" w:cs="仿宋_GB2312"/>
          <w:b w:val="0"/>
          <w:bCs w:val="0"/>
          <w:strike w:val="0"/>
          <w:dstrike w:val="0"/>
          <w:color w:val="000000" w:themeColor="text1"/>
          <w:kern w:val="21"/>
          <w:sz w:val="32"/>
          <w:szCs w:val="32"/>
          <w:highlight w:val="none"/>
          <w:u w:val="none"/>
          <w:lang w:eastAsia="zh-CN"/>
          <w14:textFill>
            <w14:solidFill>
              <w14:schemeClr w14:val="tx1"/>
            </w14:solidFill>
          </w14:textFill>
          <w14:ligatures w14:val="standardContextual"/>
        </w:rPr>
        <w:t>体系</w:t>
      </w:r>
      <w:r>
        <w:rPr>
          <w:rFonts w:hint="eastAsia" w:ascii="Times New Roman" w:hAnsi="Times New Roman" w:eastAsia="仿宋_GB2312" w:cs="仿宋_GB2312"/>
          <w:b w:val="0"/>
          <w:bCs w:val="0"/>
          <w:strike w:val="0"/>
          <w:dstrike w:val="0"/>
          <w:color w:val="000000" w:themeColor="text1"/>
          <w:kern w:val="21"/>
          <w:sz w:val="32"/>
          <w:szCs w:val="32"/>
          <w:highlight w:val="none"/>
          <w:u w:val="none"/>
          <w14:textFill>
            <w14:solidFill>
              <w14:schemeClr w14:val="tx1"/>
            </w14:solidFill>
          </w14:textFill>
          <w14:ligatures w14:val="standardContextual"/>
        </w:rPr>
        <w:t>，提升规划实施的精准性和实效性，为建设中国式现代化荣成凝聚力量。</w:t>
      </w:r>
      <w:bookmarkEnd w:id="162"/>
      <w:bookmarkEnd w:id="163"/>
    </w:p>
    <w:p w14:paraId="4E878D29">
      <w:pPr>
        <w:pStyle w:val="33"/>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64" w:name="_Toc28638"/>
      <w:r>
        <w:rPr>
          <w:rFonts w:hint="eastAsia" w:ascii="Times New Roman" w:hAnsi="Times New Roman"/>
          <w:b w:val="0"/>
          <w:bCs w:val="0"/>
          <w:strike w:val="0"/>
          <w:dstrike w:val="0"/>
          <w:color w:val="000000" w:themeColor="text1"/>
          <w:highlight w:val="none"/>
          <w:u w:val="none"/>
          <w14:textFill>
            <w14:solidFill>
              <w14:schemeClr w14:val="tx1"/>
            </w14:solidFill>
          </w14:textFill>
        </w:rPr>
        <w:t>第一节 强化党的全面领导</w:t>
      </w:r>
      <w:bookmarkEnd w:id="164"/>
    </w:p>
    <w:p w14:paraId="0932FF11">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健全党领导规划工作机制。</w:t>
      </w:r>
      <w:r>
        <w:rPr>
          <w:rFonts w:ascii="Times New Roman" w:hAnsi="Times New Roman"/>
          <w:b w:val="0"/>
          <w:bCs w:val="0"/>
          <w:strike w:val="0"/>
          <w:dstrike w:val="0"/>
          <w:color w:val="000000" w:themeColor="text1"/>
          <w:highlight w:val="none"/>
          <w:u w:val="none"/>
          <w14:textFill>
            <w14:solidFill>
              <w14:schemeClr w14:val="tx1"/>
            </w14:solidFill>
          </w14:textFill>
        </w:rPr>
        <w:t>坚持党对</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规划实施的全面领导，</w:t>
      </w:r>
      <w:r>
        <w:rPr>
          <w:rFonts w:hint="eastAsia" w:ascii="Times New Roman" w:hAnsi="Times New Roman"/>
          <w:b w:val="0"/>
          <w:bCs w:val="0"/>
          <w:strike w:val="0"/>
          <w:dstrike w:val="0"/>
          <w:color w:val="000000" w:themeColor="text1"/>
          <w:highlight w:val="none"/>
          <w:u w:val="none"/>
          <w14:textFill>
            <w14:solidFill>
              <w14:schemeClr w14:val="tx1"/>
            </w14:solidFill>
          </w14:textFill>
        </w:rPr>
        <w:t>将党的领导贯穿于规划编制、实施、评估、调整全过程</w:t>
      </w:r>
      <w:r>
        <w:rPr>
          <w:rFonts w:ascii="Times New Roman" w:hAnsi="Times New Roman"/>
          <w:b w:val="0"/>
          <w:bCs w:val="0"/>
          <w:strike w:val="0"/>
          <w:dstrike w:val="0"/>
          <w:color w:val="000000" w:themeColor="text1"/>
          <w:highlight w:val="none"/>
          <w:u w:val="none"/>
          <w14:textFill>
            <w14:solidFill>
              <w14:schemeClr w14:val="tx1"/>
            </w14:solidFill>
          </w14:textFill>
        </w:rPr>
        <w:t>，构建</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市委统一领导、政府组织实施、部门协同推进、社会广泛参与</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闭环工作格局。严格落实规划实施议事制度</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聚焦规划执行中的重大难点与关键堵点</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深入研究、精准破题，确保规划实施方向与党中央、省委、威海市委决策部署同频共振、高度一致，为规划落地提供坚强政治保障。</w:t>
      </w:r>
    </w:p>
    <w:p w14:paraId="2BD1DABA">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落实党政同责机制。</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加强</w:t>
      </w:r>
      <w:r>
        <w:rPr>
          <w:rFonts w:ascii="Times New Roman" w:hAnsi="Times New Roman" w:cs="宋体"/>
          <w:b w:val="0"/>
          <w:bCs w:val="0"/>
          <w:strike w:val="0"/>
          <w:dstrike w:val="0"/>
          <w:color w:val="000000" w:themeColor="text1"/>
          <w:highlight w:val="none"/>
          <w:u w:val="none"/>
          <w14:textFill>
            <w14:solidFill>
              <w14:schemeClr w14:val="tx1"/>
            </w14:solidFill>
          </w14:textFill>
        </w:rPr>
        <w:t>规划主要目标任务</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动态监测和总结评估，落实</w:t>
      </w:r>
      <w:r>
        <w:rPr>
          <w:rFonts w:ascii="Times New Roman" w:hAnsi="Times New Roman" w:cs="宋体"/>
          <w:b w:val="0"/>
          <w:bCs w:val="0"/>
          <w:strike w:val="0"/>
          <w:dstrike w:val="0"/>
          <w:color w:val="000000" w:themeColor="text1"/>
          <w:highlight w:val="none"/>
          <w:u w:val="none"/>
          <w14:textFill>
            <w14:solidFill>
              <w14:schemeClr w14:val="tx1"/>
            </w14:solidFill>
          </w14:textFill>
        </w:rPr>
        <w:t>经济发展、生态保护、民生改善等领域指标</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任务</w:t>
      </w:r>
      <w:r>
        <w:rPr>
          <w:rFonts w:ascii="Times New Roman" w:hAnsi="Times New Roman" w:cs="宋体"/>
          <w:b w:val="0"/>
          <w:bCs w:val="0"/>
          <w:strike w:val="0"/>
          <w:dstrike w:val="0"/>
          <w:color w:val="000000" w:themeColor="text1"/>
          <w:highlight w:val="none"/>
          <w:u w:val="none"/>
          <w14:textFill>
            <w14:solidFill>
              <w14:schemeClr w14:val="tx1"/>
            </w14:solidFill>
          </w14:textFill>
        </w:rPr>
        <w:t>，</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完善研究经济社会发展战略和重大政策的工作机制，</w:t>
      </w:r>
      <w:r>
        <w:rPr>
          <w:rFonts w:ascii="Times New Roman" w:hAnsi="Times New Roman" w:cs="宋体"/>
          <w:b w:val="0"/>
          <w:bCs w:val="0"/>
          <w:strike w:val="0"/>
          <w:dstrike w:val="0"/>
          <w:color w:val="000000" w:themeColor="text1"/>
          <w:highlight w:val="none"/>
          <w:u w:val="none"/>
          <w14:textFill>
            <w14:solidFill>
              <w14:schemeClr w14:val="tx1"/>
            </w14:solidFill>
          </w14:textFill>
        </w:rPr>
        <w:t>明确责任主体、量化标准与完成时限</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，织密上下贯通的组织体系</w:t>
      </w:r>
      <w:r>
        <w:rPr>
          <w:rFonts w:ascii="Times New Roman" w:hAnsi="Times New Roman" w:cs="宋体"/>
          <w:b w:val="0"/>
          <w:bCs w:val="0"/>
          <w:strike w:val="0"/>
          <w:dstrike w:val="0"/>
          <w:color w:val="000000" w:themeColor="text1"/>
          <w:highlight w:val="none"/>
          <w:u w:val="none"/>
          <w14:textFill>
            <w14:solidFill>
              <w14:schemeClr w14:val="tx1"/>
            </w14:solidFill>
          </w14:textFill>
        </w:rPr>
        <w:t>。严格实行</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清单化管理、项目化推进</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模式，动态跟踪指标落实进度</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强化结果运用，确保规划目标落地见效。</w:t>
      </w:r>
    </w:p>
    <w:p w14:paraId="14E6455A">
      <w:pPr>
        <w:pStyle w:val="28"/>
        <w:keepNext w:val="0"/>
        <w:keepLines w:val="0"/>
        <w:pageBreakBefore w:val="0"/>
        <w:widowControl w:val="0"/>
        <w:kinsoku/>
        <w:wordWrap/>
        <w:overflowPunct w:val="0"/>
        <w:topLinePunct w:val="0"/>
        <w:autoSpaceDE/>
        <w:autoSpaceDN/>
        <w:bidi w:val="0"/>
        <w:spacing w:line="560" w:lineRule="exact"/>
        <w:ind w:firstLine="640"/>
        <w:textAlignment w:val="auto"/>
        <w:rPr>
          <w:rFonts w:hint="eastAsia" w:ascii="Times New Roman" w:hAnsi="Times New Roman" w:eastAsia="仿宋_GB2312"/>
          <w:b w:val="0"/>
          <w:bCs w:val="0"/>
          <w:strike w:val="0"/>
          <w:dstrike w:val="0"/>
          <w:color w:val="000000" w:themeColor="text1"/>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强化战略统筹引领。</w:t>
      </w:r>
      <w:r>
        <w:rPr>
          <w:rFonts w:ascii="Times New Roman" w:hAnsi="Times New Roman"/>
          <w:b w:val="0"/>
          <w:bCs w:val="0"/>
          <w:strike w:val="0"/>
          <w:dstrike w:val="0"/>
          <w:color w:val="000000" w:themeColor="text1"/>
          <w:highlight w:val="none"/>
          <w:u w:val="none"/>
          <w14:textFill>
            <w14:solidFill>
              <w14:schemeClr w14:val="tx1"/>
            </w14:solidFill>
          </w14:textFill>
        </w:rPr>
        <w:t>以</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荣归故里</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计划、产业链培育、区域块状经济发展等重点工作为核心抓手，推动规划战略与具体工作深度融合、同频推进。</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加强对重点领域、关键环节的前瞻性研究和系统性谋划，确保各项战略部署在空间布局、产业发展、资源配置等方面形成合力，服务全市发展大局，以战略主动赢得发展主动。</w:t>
      </w:r>
    </w:p>
    <w:p w14:paraId="10741950">
      <w:pPr>
        <w:pStyle w:val="33"/>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65" w:name="_Toc16303"/>
      <w:r>
        <w:rPr>
          <w:rFonts w:hint="eastAsia" w:ascii="Times New Roman" w:hAnsi="Times New Roman"/>
          <w:b w:val="0"/>
          <w:bCs w:val="0"/>
          <w:strike w:val="0"/>
          <w:dstrike w:val="0"/>
          <w:color w:val="000000" w:themeColor="text1"/>
          <w:highlight w:val="none"/>
          <w:u w:val="none"/>
          <w14:textFill>
            <w14:solidFill>
              <w14:schemeClr w14:val="tx1"/>
            </w14:solidFill>
          </w14:textFill>
        </w:rPr>
        <w:t>第二节 完善规划衔接机制</w:t>
      </w:r>
      <w:bookmarkEnd w:id="165"/>
    </w:p>
    <w:p w14:paraId="76FC02C5">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强化“多规合一”衔接。</w:t>
      </w:r>
      <w:r>
        <w:rPr>
          <w:rFonts w:ascii="Times New Roman" w:hAnsi="Times New Roman"/>
          <w:b w:val="0"/>
          <w:bCs w:val="0"/>
          <w:strike w:val="0"/>
          <w:dstrike w:val="0"/>
          <w:color w:val="000000" w:themeColor="text1"/>
          <w:highlight w:val="none"/>
          <w:u w:val="none"/>
          <w14:textFill>
            <w14:solidFill>
              <w14:schemeClr w14:val="tx1"/>
            </w14:solidFill>
          </w14:textFill>
        </w:rPr>
        <w:t>精准制定规划实施配套政策体系，以</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规划为总纲，推动与各领域专项规划、重点区域规划深度衔接协同</w:t>
      </w:r>
      <w:r>
        <w:rPr>
          <w:rFonts w:hint="eastAsia" w:ascii="Times New Roman" w:hAnsi="Times New Roman"/>
          <w:b w:val="0"/>
          <w:bCs w:val="0"/>
          <w:strike w:val="0"/>
          <w:dstrike w:val="0"/>
          <w:color w:val="000000" w:themeColor="text1"/>
          <w:highlight w:val="none"/>
          <w:u w:val="none"/>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系统梳理规划间关联事项，有效规避规划冲突、重复建设</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强化政策协同联动</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统筹协调，各部门各司其职、密切配合，主动对接国家和省</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市级</w:t>
      </w:r>
      <w:r>
        <w:rPr>
          <w:rFonts w:ascii="Times New Roman" w:hAnsi="Times New Roman"/>
          <w:b w:val="0"/>
          <w:bCs w:val="0"/>
          <w:strike w:val="0"/>
          <w:dstrike w:val="0"/>
          <w:color w:val="000000" w:themeColor="text1"/>
          <w:highlight w:val="none"/>
          <w:u w:val="none"/>
          <w14:textFill>
            <w14:solidFill>
              <w14:schemeClr w14:val="tx1"/>
            </w14:solidFill>
          </w14:textFill>
        </w:rPr>
        <w:t>战略部署，形成纵向贯通上级要求、横向协同部门力量的政策合力，切实将规划蓝图转化为具体行动与实际成效。</w:t>
      </w:r>
    </w:p>
    <w:p w14:paraId="43AB4F96">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建立规划指标传导机制。</w:t>
      </w:r>
      <w:r>
        <w:rPr>
          <w:rFonts w:ascii="Times New Roman" w:hAnsi="Times New Roman"/>
          <w:b w:val="0"/>
          <w:bCs w:val="0"/>
          <w:strike w:val="0"/>
          <w:dstrike w:val="0"/>
          <w:color w:val="000000" w:themeColor="text1"/>
          <w:highlight w:val="none"/>
          <w:u w:val="none"/>
          <w14:textFill>
            <w14:solidFill>
              <w14:schemeClr w14:val="tx1"/>
            </w14:solidFill>
          </w14:textFill>
        </w:rPr>
        <w:t>系统梳理规划核心指标体系，聚焦经济增长、能耗降低、民生保障等关键领域指标，结合发展实际与各部门职能定位，科学拆解指标任务并精准分配至对应单位，明确各指标的年度推进目标与分阶段落实任务。构建</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市级统筹</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部门落实</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闭环传导链条，市级层面统筹指标整体推进，部门牵头细化落实路径，确保规划指标全链条贯通落地。</w:t>
      </w:r>
    </w:p>
    <w:p w14:paraId="1AD725AD">
      <w:pPr>
        <w:pStyle w:val="28"/>
        <w:keepNext w:val="0"/>
        <w:keepLines w:val="0"/>
        <w:pageBreakBefore w:val="0"/>
        <w:widowControl w:val="0"/>
        <w:kinsoku/>
        <w:wordWrap/>
        <w:overflowPunct w:val="0"/>
        <w:topLinePunct w:val="0"/>
        <w:autoSpaceDE/>
        <w:autoSpaceDN/>
        <w:bidi w:val="0"/>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规范规划调整程序。</w:t>
      </w:r>
      <w:r>
        <w:rPr>
          <w:rFonts w:ascii="Times New Roman" w:hAnsi="Times New Roman"/>
          <w:b w:val="0"/>
          <w:bCs w:val="0"/>
          <w:strike w:val="0"/>
          <w:dstrike w:val="0"/>
          <w:color w:val="000000" w:themeColor="text1"/>
          <w:highlight w:val="none"/>
          <w:u w:val="none"/>
          <w14:textFill>
            <w14:solidFill>
              <w14:schemeClr w14:val="tx1"/>
            </w14:solidFill>
          </w14:textFill>
        </w:rPr>
        <w:t>严格遵循规划调整法定流程与操作规范，启动前组织相关领域专家、部门开展充分论证，重点评估调整对规划整体性、实施进度的影响，形成专项论证报告</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按规定程序报请对应部门审批，切实维护规划的权威性与执行严肃性。</w:t>
      </w:r>
    </w:p>
    <w:p w14:paraId="61B81EFF">
      <w:pPr>
        <w:pStyle w:val="33"/>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eastAsia="黑体"/>
          <w:b w:val="0"/>
          <w:bCs w:val="0"/>
          <w:strike w:val="0"/>
          <w:dstrike w:val="0"/>
          <w:color w:val="000000" w:themeColor="text1"/>
          <w:highlight w:val="none"/>
          <w:u w:val="none"/>
          <w:lang w:eastAsia="zh-CN"/>
          <w14:textFill>
            <w14:solidFill>
              <w14:schemeClr w14:val="tx1"/>
            </w14:solidFill>
          </w14:textFill>
        </w:rPr>
      </w:pPr>
      <w:bookmarkStart w:id="166" w:name="_Toc26276"/>
      <w:r>
        <w:rPr>
          <w:rFonts w:hint="eastAsia" w:ascii="Times New Roman" w:hAnsi="Times New Roman"/>
          <w:b w:val="0"/>
          <w:bCs w:val="0"/>
          <w:strike w:val="0"/>
          <w:dstrike w:val="0"/>
          <w:color w:val="000000" w:themeColor="text1"/>
          <w:highlight w:val="none"/>
          <w:u w:val="none"/>
          <w14:textFill>
            <w14:solidFill>
              <w14:schemeClr w14:val="tx1"/>
            </w14:solidFill>
          </w14:textFill>
        </w:rPr>
        <w:t xml:space="preserve">第三节 </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创新规划实施机制</w:t>
      </w:r>
      <w:bookmarkEnd w:id="166"/>
    </w:p>
    <w:p w14:paraId="4034BFE3">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推进规划实施规范化。</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围绕“</w:t>
      </w:r>
      <w:r>
        <w:rPr>
          <w:rFonts w:ascii="Times New Roman" w:hAnsi="Times New Roman"/>
          <w:b w:val="0"/>
          <w:bCs w:val="0"/>
          <w:strike w:val="0"/>
          <w:dstrike w:val="0"/>
          <w:color w:val="000000" w:themeColor="text1"/>
          <w:highlight w:val="none"/>
          <w:u w:val="none"/>
          <w14:textFill>
            <w14:solidFill>
              <w14:schemeClr w14:val="tx1"/>
            </w14:solidFill>
          </w14:textFill>
        </w:rPr>
        <w:t>十五五</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规划主要目标、重点任务、实施路径等核心内容落地需求</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细化完善财政支持、要素保障等配套政策，形成</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规划引领政策、政策支撑规划</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的闭环体系。进一步规范规划行为，明确项目审批流程、执法监管标准与权责边界，确保从项目立项、建设到后续监管的各环节均依法依规推进，为规划实施提供坚实法治保障。</w:t>
      </w:r>
    </w:p>
    <w:p w14:paraId="6ACA14AE">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优化要素保障配置。</w:t>
      </w:r>
      <w:r>
        <w:rPr>
          <w:rFonts w:ascii="Times New Roman" w:hAnsi="Times New Roman"/>
          <w:b w:val="0"/>
          <w:bCs w:val="0"/>
          <w:strike w:val="0"/>
          <w:dstrike w:val="0"/>
          <w:color w:val="000000" w:themeColor="text1"/>
          <w:highlight w:val="none"/>
          <w:u w:val="none"/>
          <w14:textFill>
            <w14:solidFill>
              <w14:schemeClr w14:val="tx1"/>
            </w14:solidFill>
          </w14:textFill>
        </w:rPr>
        <w:t>统筹高效调配土地、资金、人才等关键要素资源，建立要素保障优先机制，确保要素供给精准匹配项目需求</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。健全多元化投融资体系，积极争取中央预算内投资、专项债券等政策支持，建立健全激励保障服务。加强基础设施与规划项目的配套衔接，为规划项目顺利实施提供全周期要素支撑，</w:t>
      </w:r>
      <w:r>
        <w:rPr>
          <w:rFonts w:ascii="Times New Roman" w:hAnsi="Times New Roman"/>
          <w:b w:val="0"/>
          <w:bCs w:val="0"/>
          <w:strike w:val="0"/>
          <w:dstrike w:val="0"/>
          <w:color w:val="000000" w:themeColor="text1"/>
          <w:highlight w:val="none"/>
          <w:u w:val="none"/>
          <w14:textFill>
            <w14:solidFill>
              <w14:schemeClr w14:val="tx1"/>
            </w14:solidFill>
          </w14:textFill>
        </w:rPr>
        <w:t>切实推动规划战略落地生根、转化为发展实效。</w:t>
      </w:r>
    </w:p>
    <w:p w14:paraId="480C0D46">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畅通监督反馈渠道。</w:t>
      </w:r>
      <w:r>
        <w:rPr>
          <w:rFonts w:ascii="Times New Roman" w:hAnsi="Times New Roman"/>
          <w:b w:val="0"/>
          <w:bCs w:val="0"/>
          <w:strike w:val="0"/>
          <w:dstrike w:val="0"/>
          <w:color w:val="000000" w:themeColor="text1"/>
          <w:highlight w:val="none"/>
          <w:u w:val="none"/>
          <w14:textFill>
            <w14:solidFill>
              <w14:schemeClr w14:val="tx1"/>
            </w14:solidFill>
          </w14:textFill>
        </w:rPr>
        <w:t>自觉主动接受人大法律监督与政协民主监督，严格落实定期报告通报制度，按规定报告规划实施进展、重点任务完成情况，确保监督有力、反馈及时。充分依托网站等平台，建立群众意见建议收集、转办、反馈闭环机制，高效收集社会各界对规划实施的意见建议，回应群众诉求与社会关切，切实凝聚全社会支持参与规划实施的强大合力。</w:t>
      </w:r>
    </w:p>
    <w:p w14:paraId="13CA37F9">
      <w:pPr>
        <w:pStyle w:val="33"/>
        <w:keepNext w:val="0"/>
        <w:keepLines w:val="0"/>
        <w:pageBreakBefore w:val="0"/>
        <w:widowControl w:val="0"/>
        <w:kinsoku/>
        <w:wordWrap/>
        <w:overflowPunct w:val="0"/>
        <w:topLinePunct w:val="0"/>
        <w:autoSpaceDE/>
        <w:autoSpaceDN/>
        <w:bidi w:val="0"/>
        <w:spacing w:line="560" w:lineRule="exact"/>
        <w:jc w:val="center"/>
        <w:textAlignment w:val="auto"/>
        <w:rPr>
          <w:rFonts w:hint="eastAsia" w:ascii="Times New Roman" w:hAnsi="Times New Roman"/>
          <w:b w:val="0"/>
          <w:bCs w:val="0"/>
          <w:strike w:val="0"/>
          <w:dstrike w:val="0"/>
          <w:color w:val="000000" w:themeColor="text1"/>
          <w:highlight w:val="none"/>
          <w:u w:val="none"/>
          <w14:textFill>
            <w14:solidFill>
              <w14:schemeClr w14:val="tx1"/>
            </w14:solidFill>
          </w14:textFill>
        </w:rPr>
      </w:pPr>
      <w:bookmarkStart w:id="167" w:name="_Toc18107"/>
      <w:r>
        <w:rPr>
          <w:rFonts w:hint="eastAsia" w:ascii="Times New Roman" w:hAnsi="Times New Roman"/>
          <w:b w:val="0"/>
          <w:bCs w:val="0"/>
          <w:strike w:val="0"/>
          <w:dstrike w:val="0"/>
          <w:color w:val="000000" w:themeColor="text1"/>
          <w:highlight w:val="none"/>
          <w:u w:val="none"/>
          <w14:textFill>
            <w14:solidFill>
              <w14:schemeClr w14:val="tx1"/>
            </w14:solidFill>
          </w14:textFill>
        </w:rPr>
        <w:t>第四节 健全</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督导评估</w:t>
      </w:r>
      <w:r>
        <w:rPr>
          <w:rFonts w:hint="eastAsia" w:ascii="Times New Roman" w:hAnsi="Times New Roman"/>
          <w:b w:val="0"/>
          <w:bCs w:val="0"/>
          <w:strike w:val="0"/>
          <w:dstrike w:val="0"/>
          <w:color w:val="000000" w:themeColor="text1"/>
          <w:highlight w:val="none"/>
          <w:u w:val="none"/>
          <w14:textFill>
            <w14:solidFill>
              <w14:schemeClr w14:val="tx1"/>
            </w14:solidFill>
          </w14:textFill>
        </w:rPr>
        <w:t>机制</w:t>
      </w:r>
      <w:bookmarkEnd w:id="167"/>
    </w:p>
    <w:p w14:paraId="1C719AB2">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eastAsia="仿宋_GB2312"/>
          <w:b w:val="0"/>
          <w:bCs w:val="0"/>
          <w:strike w:val="0"/>
          <w:dstrike w:val="0"/>
          <w:color w:val="000000" w:themeColor="text1"/>
          <w:highlight w:val="none"/>
          <w:u w:val="none"/>
          <w:lang w:eastAsia="zh-CN"/>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建立常态化督导机制。</w:t>
      </w:r>
      <w:r>
        <w:rPr>
          <w:rFonts w:ascii="Times New Roman" w:hAnsi="Times New Roman"/>
          <w:b w:val="0"/>
          <w:bCs w:val="0"/>
          <w:strike w:val="0"/>
          <w:dstrike w:val="0"/>
          <w:color w:val="000000" w:themeColor="text1"/>
          <w:highlight w:val="none"/>
          <w:u w:val="none"/>
          <w14:textFill>
            <w14:solidFill>
              <w14:schemeClr w14:val="tx1"/>
            </w14:solidFill>
          </w14:textFill>
        </w:rPr>
        <w:t>聚焦规划落地关键环节，开展实地督导，重点检查重大项目建设进度、核心指标完成情况</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等</w:t>
      </w:r>
      <w:r>
        <w:rPr>
          <w:rFonts w:ascii="Times New Roman" w:hAnsi="Times New Roman"/>
          <w:b w:val="0"/>
          <w:bCs w:val="0"/>
          <w:strike w:val="0"/>
          <w:dstrike w:val="0"/>
          <w:color w:val="000000" w:themeColor="text1"/>
          <w:highlight w:val="none"/>
          <w:u w:val="none"/>
          <w14:textFill>
            <w14:solidFill>
              <w14:schemeClr w14:val="tx1"/>
            </w14:solidFill>
          </w14:textFill>
        </w:rPr>
        <w:t>。</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充分发挥民主党派、工商联、无党派人士作用，加强党外知识分子、民营经济和新的社会阶层人士协同配合，最大限度凝聚督导合力。</w:t>
      </w:r>
    </w:p>
    <w:p w14:paraId="71B11FF6">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ascii="Times New Roman" w:hAnsi="Times New Roman"/>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加强规划动态监测。</w:t>
      </w:r>
      <w:r>
        <w:rPr>
          <w:rFonts w:ascii="Times New Roman" w:hAnsi="Times New Roman"/>
          <w:b w:val="0"/>
          <w:bCs w:val="0"/>
          <w:strike w:val="0"/>
          <w:dstrike w:val="0"/>
          <w:color w:val="000000" w:themeColor="text1"/>
          <w:highlight w:val="none"/>
          <w:u w:val="none"/>
          <w14:textFill>
            <w14:solidFill>
              <w14:schemeClr w14:val="tx1"/>
            </w14:solidFill>
          </w14:textFill>
        </w:rPr>
        <w:t>构建全周期评估制度，切实提升规划评估的客观性、公正性与专业性</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w:t>
      </w:r>
      <w:r>
        <w:rPr>
          <w:rFonts w:ascii="Times New Roman" w:hAnsi="Times New Roman"/>
          <w:b w:val="0"/>
          <w:bCs w:val="0"/>
          <w:strike w:val="0"/>
          <w:dstrike w:val="0"/>
          <w:color w:val="000000" w:themeColor="text1"/>
          <w:highlight w:val="none"/>
          <w:u w:val="none"/>
          <w14:textFill>
            <w14:solidFill>
              <w14:schemeClr w14:val="tx1"/>
            </w14:solidFill>
          </w14:textFill>
        </w:rPr>
        <w:t>年度监测聚焦核心指标完成进度与重大项目推进情况，掌握规划实施动态；中期评估重点复盘规划实施成效，深入分析执行过程中存在的堵点难点，提出针对性优化调整建议；期末全面</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总结</w:t>
      </w:r>
      <w:r>
        <w:rPr>
          <w:rFonts w:ascii="Times New Roman" w:hAnsi="Times New Roman"/>
          <w:b w:val="0"/>
          <w:bCs w:val="0"/>
          <w:strike w:val="0"/>
          <w:dstrike w:val="0"/>
          <w:color w:val="000000" w:themeColor="text1"/>
          <w:highlight w:val="none"/>
          <w:u w:val="none"/>
          <w14:textFill>
            <w14:solidFill>
              <w14:schemeClr w14:val="tx1"/>
            </w14:solidFill>
          </w14:textFill>
        </w:rPr>
        <w:t>规划各项目标任务完成情况，系统</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梳理</w:t>
      </w:r>
      <w:r>
        <w:rPr>
          <w:rFonts w:ascii="Times New Roman" w:hAnsi="Times New Roman"/>
          <w:b w:val="0"/>
          <w:bCs w:val="0"/>
          <w:strike w:val="0"/>
          <w:dstrike w:val="0"/>
          <w:color w:val="000000" w:themeColor="text1"/>
          <w:highlight w:val="none"/>
          <w:u w:val="none"/>
          <w14:textFill>
            <w14:solidFill>
              <w14:schemeClr w14:val="tx1"/>
            </w14:solidFill>
          </w14:textFill>
        </w:rPr>
        <w:t>实施经验与不足，</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以动态监测</w:t>
      </w:r>
      <w:r>
        <w:rPr>
          <w:rFonts w:ascii="Times New Roman" w:hAnsi="Times New Roman"/>
          <w:b w:val="0"/>
          <w:bCs w:val="0"/>
          <w:strike w:val="0"/>
          <w:dstrike w:val="0"/>
          <w:color w:val="000000" w:themeColor="text1"/>
          <w:highlight w:val="none"/>
          <w:u w:val="none"/>
          <w14:textFill>
            <w14:solidFill>
              <w14:schemeClr w14:val="tx1"/>
            </w14:solidFill>
          </w14:textFill>
        </w:rPr>
        <w:t>为规划</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实施</w:t>
      </w:r>
      <w:r>
        <w:rPr>
          <w:rFonts w:ascii="Times New Roman" w:hAnsi="Times New Roman"/>
          <w:b w:val="0"/>
          <w:bCs w:val="0"/>
          <w:strike w:val="0"/>
          <w:dstrike w:val="0"/>
          <w:color w:val="000000" w:themeColor="text1"/>
          <w:highlight w:val="none"/>
          <w:u w:val="none"/>
          <w14:textFill>
            <w14:solidFill>
              <w14:schemeClr w14:val="tx1"/>
            </w14:solidFill>
          </w14:textFill>
        </w:rPr>
        <w:t>提供科学依据。</w:t>
      </w:r>
    </w:p>
    <w:p w14:paraId="20B917F8">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ascii="Times New Roman" w:hAnsi="Times New Roman" w:cs="宋体"/>
          <w:b w:val="0"/>
          <w:bCs w:val="0"/>
          <w:strike w:val="0"/>
          <w:dstrike w:val="0"/>
          <w:color w:val="000000" w:themeColor="text1"/>
          <w:highlight w:val="none"/>
          <w:u w:val="none"/>
          <w14:textFill>
            <w14:solidFill>
              <w14:schemeClr w14:val="tx1"/>
            </w14:solidFill>
          </w14:textFill>
        </w:rPr>
      </w:pPr>
      <w:r>
        <w:rPr>
          <w:rFonts w:hint="eastAsia" w:ascii="Times New Roman" w:hAnsi="Times New Roman" w:eastAsia="楷体_GB2312" w:cs="宋体"/>
          <w:b w:val="0"/>
          <w:bCs w:val="0"/>
          <w:strike w:val="0"/>
          <w:dstrike w:val="0"/>
          <w:color w:val="auto"/>
          <w:spacing w:val="0"/>
          <w:kern w:val="2"/>
          <w:sz w:val="32"/>
          <w:szCs w:val="32"/>
          <w:highlight w:val="none"/>
          <w:u w:val="none"/>
          <w:lang w:val="en-US" w:eastAsia="zh-CN" w:bidi="ar-SA"/>
        </w:rPr>
        <w:t>筑牢廉政监督防线。</w:t>
      </w:r>
      <w:r>
        <w:rPr>
          <w:rFonts w:hint="eastAsia" w:ascii="Times New Roman" w:hAnsi="Times New Roman"/>
          <w:b w:val="0"/>
          <w:bCs w:val="0"/>
          <w:strike w:val="0"/>
          <w:dstrike w:val="0"/>
          <w:color w:val="000000" w:themeColor="text1"/>
          <w:highlight w:val="none"/>
          <w:u w:val="none"/>
          <w14:textFill>
            <w14:solidFill>
              <w14:schemeClr w14:val="tx1"/>
            </w14:solidFill>
          </w14:textFill>
        </w:rPr>
        <w:t>持之以恒推进全面从严治党，提高党领导经济社会发展</w:t>
      </w:r>
      <w:r>
        <w:rPr>
          <w:rFonts w:hint="eastAsia" w:ascii="Times New Roman" w:hAnsi="Times New Roman"/>
          <w:b w:val="0"/>
          <w:bCs w:val="0"/>
          <w:strike w:val="0"/>
          <w:dstrike w:val="0"/>
          <w:color w:val="000000" w:themeColor="text1"/>
          <w:highlight w:val="none"/>
          <w:u w:val="none"/>
          <w:lang w:eastAsia="zh-CN"/>
          <w14:textFill>
            <w14:solidFill>
              <w14:schemeClr w14:val="tx1"/>
            </w14:solidFill>
          </w14:textFill>
        </w:rPr>
        <w:t>的</w:t>
      </w:r>
      <w:r>
        <w:rPr>
          <w:rFonts w:hint="eastAsia" w:ascii="Times New Roman" w:hAnsi="Times New Roman"/>
          <w:b w:val="0"/>
          <w:bCs w:val="0"/>
          <w:strike w:val="0"/>
          <w:dstrike w:val="0"/>
          <w:color w:val="000000" w:themeColor="text1"/>
          <w:highlight w:val="none"/>
          <w:u w:val="none"/>
          <w14:textFill>
            <w14:solidFill>
              <w14:schemeClr w14:val="tx1"/>
            </w14:solidFill>
          </w14:textFill>
        </w:rPr>
        <w:t>能力和水平。聚焦规划实施中项目审批、民生资金分配使用等廉政风险关键领域，规范权力运行流程。紧盯部门履职情况精准发力，推动形成廉洁高效的工作作风，构建亲而有度、清而有为的政商关系，让廉洁自律成为规划顺利实施的坚实保障。</w:t>
      </w:r>
    </w:p>
    <w:p w14:paraId="6502F70F">
      <w:pPr>
        <w:pStyle w:val="28"/>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rPr>
          <w:rFonts w:hint="eastAsia" w:eastAsia="仿宋_GB2312"/>
          <w:sz w:val="32"/>
          <w:szCs w:val="32"/>
        </w:rPr>
      </w:pP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实现“十五五”规划确定的各项目标任务，任务艰巨、使命重大。全市上下要更加紧密地团结在以习近平同志为核心的党中央周围，坚持</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守正创新</w:t>
      </w:r>
      <w:r>
        <w:rPr>
          <w:rFonts w:hint="eastAsia"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w:t>
      </w:r>
      <w:r>
        <w:rPr>
          <w:rFonts w:hint="eastAsia" w:ascii="Times New Roman" w:hAnsi="Times New Roman"/>
          <w:b w:val="0"/>
          <w:bCs w:val="0"/>
          <w:spacing w:val="4"/>
        </w:rPr>
        <w:t>担当作为、实干争先，</w:t>
      </w:r>
      <w:r>
        <w:rPr>
          <w:rFonts w:hint="default" w:ascii="Times New Roman" w:hAnsi="Times New Roman" w:cs="宋体"/>
          <w:b w:val="0"/>
          <w:bCs w:val="0"/>
          <w:strike w:val="0"/>
          <w:dstrike w:val="0"/>
          <w:color w:val="000000" w:themeColor="text1"/>
          <w:highlight w:val="none"/>
          <w:u w:val="none"/>
          <w14:textFill>
            <w14:solidFill>
              <w14:schemeClr w14:val="tx1"/>
            </w14:solidFill>
          </w14:textFill>
        </w:rPr>
        <w:t>奋力</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开创</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深蓝、零碳、精致、幸福</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现代化</w:t>
      </w:r>
      <w:r>
        <w:rPr>
          <w:rFonts w:hint="default" w:ascii="Times New Roman" w:hAnsi="Times New Roman" w:cs="宋体"/>
          <w:b w:val="0"/>
          <w:bCs w:val="0"/>
          <w:strike w:val="0"/>
          <w:dstrike w:val="0"/>
          <w:color w:val="000000" w:themeColor="text1"/>
          <w:highlight w:val="none"/>
          <w:u w:val="none"/>
          <w14:textFill>
            <w14:solidFill>
              <w14:schemeClr w14:val="tx1"/>
            </w14:solidFill>
          </w14:textFill>
        </w:rPr>
        <w:t>新</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荣成建设新局面</w:t>
      </w:r>
      <w:r>
        <w:rPr>
          <w:rFonts w:hint="default" w:ascii="Times New Roman" w:hAnsi="Times New Roman" w:cs="宋体"/>
          <w:b w:val="0"/>
          <w:bCs w:val="0"/>
          <w:strike w:val="0"/>
          <w:dstrike w:val="0"/>
          <w:color w:val="000000" w:themeColor="text1"/>
          <w:highlight w:val="none"/>
          <w:u w:val="none"/>
          <w14:textFill>
            <w14:solidFill>
              <w14:schemeClr w14:val="tx1"/>
            </w14:solidFill>
          </w14:textFill>
        </w:rPr>
        <w:t>，</w:t>
      </w:r>
      <w:r>
        <w:rPr>
          <w:rFonts w:hint="default" w:ascii="Times New Roman" w:hAnsi="Times New Roman" w:cs="宋体"/>
          <w:b w:val="0"/>
          <w:bCs w:val="0"/>
          <w:strike w:val="0"/>
          <w:dstrike w:val="0"/>
          <w:color w:val="000000" w:themeColor="text1"/>
          <w:highlight w:val="none"/>
          <w:u w:val="none"/>
          <w:lang w:val="en-US" w:eastAsia="zh-CN"/>
          <w14:textFill>
            <w14:solidFill>
              <w14:schemeClr w14:val="tx1"/>
            </w14:solidFill>
          </w14:textFill>
        </w:rPr>
        <w:t>争当新时代社会主义现代化强省建设县域范例</w:t>
      </w:r>
      <w:r>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t>。</w:t>
      </w:r>
    </w:p>
    <w:p w14:paraId="448E2174">
      <w:pPr>
        <w:pStyle w:val="38"/>
        <w:keepNext w:val="0"/>
        <w:keepLines w:val="0"/>
        <w:pageBreakBefore w:val="0"/>
        <w:widowControl w:val="0"/>
        <w:kinsoku/>
        <w:wordWrap/>
        <w:overflowPunct/>
        <w:topLinePunct w:val="0"/>
        <w:autoSpaceDE w:val="0"/>
        <w:autoSpaceDN w:val="0"/>
        <w:bidi w:val="0"/>
        <w:adjustRightInd w:val="0"/>
        <w:snapToGrid/>
        <w:spacing w:line="100" w:lineRule="exact"/>
        <w:ind w:left="0" w:leftChars="0" w:right="0" w:rightChars="0" w:firstLine="0" w:firstLineChars="0"/>
        <w:jc w:val="left"/>
        <w:textAlignment w:val="auto"/>
        <w:outlineLvl w:val="9"/>
        <w:rPr>
          <w:rFonts w:hint="eastAsia" w:eastAsia="仿宋_GB2312"/>
          <w:sz w:val="32"/>
          <w:szCs w:val="32"/>
        </w:rPr>
      </w:pPr>
    </w:p>
    <w:p w14:paraId="0D143A33">
      <w:pPr>
        <w:pStyle w:val="38"/>
        <w:keepNext w:val="0"/>
        <w:keepLines w:val="0"/>
        <w:pageBreakBefore w:val="0"/>
        <w:widowControl w:val="0"/>
        <w:kinsoku/>
        <w:wordWrap/>
        <w:overflowPunct/>
        <w:topLinePunct w:val="0"/>
        <w:autoSpaceDE w:val="0"/>
        <w:autoSpaceDN w:val="0"/>
        <w:bidi w:val="0"/>
        <w:adjustRightInd w:val="0"/>
        <w:snapToGrid/>
        <w:spacing w:line="100" w:lineRule="exact"/>
        <w:ind w:left="0" w:leftChars="0" w:right="0" w:rightChars="0" w:firstLine="0" w:firstLineChars="0"/>
        <w:jc w:val="left"/>
        <w:textAlignment w:val="auto"/>
        <w:outlineLvl w:val="9"/>
        <w:rPr>
          <w:rFonts w:hint="eastAsia" w:eastAsia="仿宋_GB2312"/>
          <w:sz w:val="32"/>
          <w:szCs w:val="32"/>
        </w:rPr>
      </w:pPr>
    </w:p>
    <w:p w14:paraId="54DDBAC2">
      <w:pPr>
        <w:pStyle w:val="38"/>
        <w:keepNext w:val="0"/>
        <w:keepLines w:val="0"/>
        <w:pageBreakBefore w:val="0"/>
        <w:widowControl w:val="0"/>
        <w:kinsoku/>
        <w:wordWrap/>
        <w:overflowPunct/>
        <w:topLinePunct w:val="0"/>
        <w:autoSpaceDE w:val="0"/>
        <w:autoSpaceDN w:val="0"/>
        <w:bidi w:val="0"/>
        <w:adjustRightInd w:val="0"/>
        <w:snapToGrid/>
        <w:spacing w:line="100" w:lineRule="exact"/>
        <w:ind w:left="0" w:leftChars="0" w:right="0" w:rightChars="0" w:firstLine="0" w:firstLineChars="0"/>
        <w:jc w:val="left"/>
        <w:textAlignment w:val="auto"/>
        <w:outlineLvl w:val="9"/>
        <w:rPr>
          <w:rFonts w:hint="eastAsia" w:eastAsia="仿宋_GB2312"/>
          <w:sz w:val="32"/>
          <w:szCs w:val="32"/>
        </w:rPr>
      </w:pPr>
    </w:p>
    <w:p w14:paraId="75EBE7F2">
      <w:pPr>
        <w:pStyle w:val="38"/>
        <w:keepNext w:val="0"/>
        <w:keepLines w:val="0"/>
        <w:pageBreakBefore w:val="0"/>
        <w:widowControl w:val="0"/>
        <w:kinsoku/>
        <w:wordWrap/>
        <w:overflowPunct/>
        <w:topLinePunct w:val="0"/>
        <w:autoSpaceDE w:val="0"/>
        <w:autoSpaceDN w:val="0"/>
        <w:bidi w:val="0"/>
        <w:adjustRightInd w:val="0"/>
        <w:snapToGrid/>
        <w:spacing w:line="100" w:lineRule="exact"/>
        <w:ind w:left="0" w:leftChars="0" w:right="0" w:rightChars="0" w:firstLine="0" w:firstLineChars="0"/>
        <w:jc w:val="left"/>
        <w:textAlignment w:val="auto"/>
        <w:outlineLvl w:val="9"/>
        <w:rPr>
          <w:rFonts w:hint="eastAsia" w:eastAsia="仿宋_GB2312"/>
          <w:sz w:val="32"/>
          <w:szCs w:val="32"/>
        </w:rPr>
      </w:pPr>
    </w:p>
    <w:p w14:paraId="6B064E64">
      <w:pPr>
        <w:pStyle w:val="38"/>
        <w:keepNext w:val="0"/>
        <w:keepLines w:val="0"/>
        <w:pageBreakBefore w:val="0"/>
        <w:widowControl w:val="0"/>
        <w:kinsoku/>
        <w:wordWrap/>
        <w:overflowPunct/>
        <w:topLinePunct w:val="0"/>
        <w:autoSpaceDE w:val="0"/>
        <w:autoSpaceDN w:val="0"/>
        <w:bidi w:val="0"/>
        <w:adjustRightInd w:val="0"/>
        <w:snapToGrid/>
        <w:spacing w:line="100" w:lineRule="exact"/>
        <w:ind w:left="0" w:leftChars="0" w:right="0" w:rightChars="0" w:firstLine="0" w:firstLineChars="0"/>
        <w:jc w:val="left"/>
        <w:textAlignment w:val="auto"/>
        <w:outlineLvl w:val="9"/>
        <w:rPr>
          <w:rFonts w:hint="eastAsia" w:eastAsia="仿宋_GB2312"/>
          <w:sz w:val="32"/>
          <w:szCs w:val="32"/>
        </w:rPr>
      </w:pPr>
    </w:p>
    <w:p w14:paraId="4ABC48B9">
      <w:pPr>
        <w:pStyle w:val="38"/>
        <w:keepNext w:val="0"/>
        <w:keepLines w:val="0"/>
        <w:pageBreakBefore w:val="0"/>
        <w:widowControl w:val="0"/>
        <w:kinsoku/>
        <w:wordWrap/>
        <w:overflowPunct/>
        <w:topLinePunct w:val="0"/>
        <w:autoSpaceDE w:val="0"/>
        <w:autoSpaceDN w:val="0"/>
        <w:bidi w:val="0"/>
        <w:adjustRightInd w:val="0"/>
        <w:snapToGrid/>
        <w:spacing w:line="240" w:lineRule="exact"/>
        <w:ind w:left="0" w:leftChars="0" w:right="0" w:rightChars="0" w:firstLine="0" w:firstLineChars="0"/>
        <w:jc w:val="center"/>
        <w:textAlignment w:val="auto"/>
        <w:outlineLvl w:val="9"/>
        <w:rPr>
          <w:rFonts w:hint="eastAsia" w:ascii="Times New Roman" w:hAnsi="Times New Roman" w:eastAsia="仿宋_GB2312" w:cs="Times New Roman"/>
          <w:sz w:val="32"/>
          <w:szCs w:val="32"/>
          <w:lang w:val="en-US" w:eastAsia="zh-CN"/>
        </w:rPr>
      </w:pPr>
    </w:p>
    <w:p w14:paraId="33F1AE64">
      <w:pPr>
        <w:spacing w:line="576" w:lineRule="exact"/>
        <w:ind w:right="210" w:rightChars="100"/>
        <w:jc w:val="both"/>
        <w:rPr>
          <w:rFonts w:hint="eastAsia" w:ascii="Times New Roman" w:hAnsi="Times New Roman" w:cs="宋体"/>
          <w:b w:val="0"/>
          <w:bCs w:val="0"/>
          <w:strike w:val="0"/>
          <w:dstrike w:val="0"/>
          <w:color w:val="000000" w:themeColor="text1"/>
          <w:highlight w:val="none"/>
          <w:u w:val="none"/>
          <w:lang w:eastAsia="zh-CN"/>
          <w14:textFill>
            <w14:solidFill>
              <w14:schemeClr w14:val="tx1"/>
            </w14:solidFill>
          </w14:textFill>
        </w:rPr>
      </w:pPr>
      <w:bookmarkStart w:id="168" w:name="_GoBack"/>
      <w:bookmarkEnd w:id="168"/>
    </w:p>
    <w:sectPr>
      <w:pgSz w:w="11906" w:h="16838"/>
      <w:pgMar w:top="1814" w:right="1417" w:bottom="1814" w:left="1474" w:header="851" w:footer="992" w:gutter="0"/>
      <w:pgBorders>
        <w:top w:val="none" w:sz="0" w:space="0"/>
        <w:left w:val="none" w:sz="0" w:space="0"/>
        <w:bottom w:val="none" w:sz="0" w:space="0"/>
        <w:right w:val="none" w:sz="0" w:space="0"/>
      </w:pgBorders>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6949D77-192F-41E2-94F6-571D6859E20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07708EF-0470-41BC-87FA-7E7675F63951}"/>
  </w:font>
  <w:font w:name="方正小标宋简体">
    <w:panose1 w:val="02010600010101010101"/>
    <w:charset w:val="86"/>
    <w:family w:val="script"/>
    <w:pitch w:val="default"/>
    <w:sig w:usb0="00000001" w:usb1="080E0000" w:usb2="00000000" w:usb3="00000000" w:csb0="00040000" w:csb1="00000000"/>
    <w:embedRegular r:id="rId3" w:fontKey="{539436ED-6A86-4142-895B-167A48D3E7AF}"/>
  </w:font>
  <w:font w:name="Calibri Light">
    <w:panose1 w:val="020F0302020204030204"/>
    <w:charset w:val="00"/>
    <w:family w:val="swiss"/>
    <w:pitch w:val="default"/>
    <w:sig w:usb0="E4002EFF" w:usb1="C200247B" w:usb2="00000009" w:usb3="00000000" w:csb0="200001FF" w:csb1="00000000"/>
  </w:font>
  <w:font w:name="???">
    <w:altName w:val="Times New Roman"/>
    <w:panose1 w:val="00000000000000000000"/>
    <w:charset w:val="00"/>
    <w:family w:val="auto"/>
    <w:pitch w:val="default"/>
    <w:sig w:usb0="00000000" w:usb1="00000000" w:usb2="00000000" w:usb3="00000000" w:csb0="00000001" w:csb1="00000000"/>
  </w:font>
  <w:font w:name="创艺简标宋">
    <w:altName w:val="方正小标宋简体"/>
    <w:panose1 w:val="00000000000000000000"/>
    <w:charset w:val="86"/>
    <w:family w:val="auto"/>
    <w:pitch w:val="default"/>
    <w:sig w:usb0="00000000" w:usb1="00000000" w:usb2="00000000" w:usb3="00000000" w:csb0="00040001" w:csb1="00000000"/>
  </w:font>
  <w:font w:name="楷体_GB2312">
    <w:panose1 w:val="02010609030101010101"/>
    <w:charset w:val="86"/>
    <w:family w:val="modern"/>
    <w:pitch w:val="default"/>
    <w:sig w:usb0="00000001" w:usb1="080E0000" w:usb2="00000000" w:usb3="00000000" w:csb0="00040000" w:csb1="00000000"/>
    <w:embedRegular r:id="rId4" w:fontKey="{9F753417-D46F-4CEE-990F-295219EFC7A5}"/>
  </w:font>
  <w:font w:name="仿宋">
    <w:panose1 w:val="02010609060101010101"/>
    <w:charset w:val="86"/>
    <w:family w:val="auto"/>
    <w:pitch w:val="default"/>
    <w:sig w:usb0="800002BF" w:usb1="38CF7CFA" w:usb2="00000016" w:usb3="00000000" w:csb0="00040001" w:csb1="00000000"/>
    <w:embedRegular r:id="rId5" w:fontKey="{C1FA1B00-ADEF-4F58-A3A5-00EB6F7551C4}"/>
  </w:font>
  <w:font w:name="Heiti SC Medium">
    <w:altName w:val="宋体"/>
    <w:panose1 w:val="00000000000000000000"/>
    <w:charset w:val="86"/>
    <w:family w:val="auto"/>
    <w:pitch w:val="default"/>
    <w:sig w:usb0="00000000" w:usb1="00000000" w:usb2="00000000" w:usb3="00000000" w:csb0="203E0000" w:csb1="00000000"/>
    <w:embedRegular r:id="rId6" w:fontKey="{9AA65221-7C92-4CF6-A894-B9BBDB6AB19F}"/>
  </w:font>
  <w:font w:name="FangSong_GB2312">
    <w:altName w:val="仿宋_GB2312"/>
    <w:panose1 w:val="02010609030101010101"/>
    <w:charset w:val="86"/>
    <w:family w:val="auto"/>
    <w:pitch w:val="default"/>
    <w:sig w:usb0="00000000" w:usb1="00000000" w:usb2="00000000" w:usb3="00000000" w:csb0="00040000" w:csb1="00000000"/>
    <w:embedRegular r:id="rId7" w:fontKey="{A2D06192-F2ED-4190-B725-BB3E52FC928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CFAF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38C42">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BE2BE">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8BE2BE">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0ED93">
                          <w:pPr>
                            <w:pStyle w:val="11"/>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3390ED93">
                    <w:pPr>
                      <w:pStyle w:val="11"/>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627D3">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303B0">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07303B0">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77059">
    <w:pPr>
      <w:pStyle w:val="11"/>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AB136">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DAD1D9">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3DAD1D9">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F3BE3">
    <w:pPr>
      <w:spacing w:line="240" w:lineRule="auto"/>
      <w:ind w:left="0"/>
      <w:rPr>
        <w:rFonts w:ascii="FangSong_GB2312" w:hAnsi="FangSong_GB2312" w:eastAsia="FangSong_GB2312" w:cs="FangSong_GB2312"/>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35EDBE">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35EDBE">
                    <w:pPr>
                      <w:pStyle w:val="11"/>
                      <w:rPr>
                        <w:rFonts w:hint="eastAsia" w:ascii="宋体" w:hAnsi="宋体" w:eastAsia="宋体" w:cs="宋体"/>
                        <w:sz w:val="28"/>
                        <w:szCs w:val="28"/>
                        <w:lang w:eastAsia="zh-CN"/>
                      </w:rPr>
                    </w:pPr>
                    <w:r>
                      <w:rPr>
                        <w:rFonts w:hint="eastAsia" w:ascii="宋体" w:hAnsi="宋体" w:cs="宋体"/>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cs="宋体"/>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EBA83">
    <w:pPr>
      <w:pStyle w:val="12"/>
      <w:pBdr>
        <w:bottom w:val="none" w:color="auto" w:sz="0" w:space="0"/>
      </w:pBdr>
      <w:spacing w:after="24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9F15F">
    <w:pPr>
      <w:pStyle w:val="12"/>
      <w:spacing w:after="24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CF328">
    <w:pPr>
      <w:pStyle w:val="12"/>
      <w:spacing w:after="240"/>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B8000">
    <w:pPr>
      <w:pStyle w:val="12"/>
      <w:spacing w:after="240"/>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CEC0E">
    <w:pPr>
      <w:pStyle w:val="12"/>
      <w:spacing w:after="24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I5ZTg2NjdiZjYzNDYzOWUxNTZkOTM1MDQ5NjBlNmQifQ=="/>
  </w:docVars>
  <w:rsids>
    <w:rsidRoot w:val="00000000"/>
    <w:rsid w:val="00103897"/>
    <w:rsid w:val="001F1D2C"/>
    <w:rsid w:val="00215AA4"/>
    <w:rsid w:val="0022181C"/>
    <w:rsid w:val="00247343"/>
    <w:rsid w:val="00274BDD"/>
    <w:rsid w:val="002D0B92"/>
    <w:rsid w:val="002F128F"/>
    <w:rsid w:val="00305CE7"/>
    <w:rsid w:val="00351550"/>
    <w:rsid w:val="003D6656"/>
    <w:rsid w:val="004479E5"/>
    <w:rsid w:val="004874D5"/>
    <w:rsid w:val="00496DA9"/>
    <w:rsid w:val="004B48CF"/>
    <w:rsid w:val="004E2611"/>
    <w:rsid w:val="004F1218"/>
    <w:rsid w:val="0055574E"/>
    <w:rsid w:val="005C088A"/>
    <w:rsid w:val="0062225F"/>
    <w:rsid w:val="006D0CE9"/>
    <w:rsid w:val="00702588"/>
    <w:rsid w:val="0078143C"/>
    <w:rsid w:val="007C2E06"/>
    <w:rsid w:val="007E2EF7"/>
    <w:rsid w:val="0083050D"/>
    <w:rsid w:val="008555F9"/>
    <w:rsid w:val="00861DAB"/>
    <w:rsid w:val="00867FFD"/>
    <w:rsid w:val="008878D1"/>
    <w:rsid w:val="008B1170"/>
    <w:rsid w:val="008D313A"/>
    <w:rsid w:val="009269A2"/>
    <w:rsid w:val="009C0CAF"/>
    <w:rsid w:val="009E5347"/>
    <w:rsid w:val="00A010BF"/>
    <w:rsid w:val="00A12741"/>
    <w:rsid w:val="00A566D5"/>
    <w:rsid w:val="00B76409"/>
    <w:rsid w:val="00B82D37"/>
    <w:rsid w:val="00B87A8B"/>
    <w:rsid w:val="00BE7797"/>
    <w:rsid w:val="00CF5500"/>
    <w:rsid w:val="00D44EA4"/>
    <w:rsid w:val="00DE5743"/>
    <w:rsid w:val="00E371FE"/>
    <w:rsid w:val="00E645F8"/>
    <w:rsid w:val="00EB6C15"/>
    <w:rsid w:val="00EE0556"/>
    <w:rsid w:val="00EF16FF"/>
    <w:rsid w:val="00F40B69"/>
    <w:rsid w:val="00F76805"/>
    <w:rsid w:val="00FC4047"/>
    <w:rsid w:val="01017684"/>
    <w:rsid w:val="010351AA"/>
    <w:rsid w:val="01057174"/>
    <w:rsid w:val="01064C9A"/>
    <w:rsid w:val="01066A48"/>
    <w:rsid w:val="010A353B"/>
    <w:rsid w:val="010D427B"/>
    <w:rsid w:val="010D66B0"/>
    <w:rsid w:val="011253ED"/>
    <w:rsid w:val="01161381"/>
    <w:rsid w:val="011E0236"/>
    <w:rsid w:val="01203FAE"/>
    <w:rsid w:val="01211AD4"/>
    <w:rsid w:val="01250E9E"/>
    <w:rsid w:val="01293007"/>
    <w:rsid w:val="012C1DB7"/>
    <w:rsid w:val="01396E1E"/>
    <w:rsid w:val="013A5802"/>
    <w:rsid w:val="014365C7"/>
    <w:rsid w:val="01475B40"/>
    <w:rsid w:val="014852B3"/>
    <w:rsid w:val="0149727D"/>
    <w:rsid w:val="014D0B1B"/>
    <w:rsid w:val="014F6641"/>
    <w:rsid w:val="01503E86"/>
    <w:rsid w:val="01505F15"/>
    <w:rsid w:val="015654C1"/>
    <w:rsid w:val="015920E6"/>
    <w:rsid w:val="0159301C"/>
    <w:rsid w:val="016C055C"/>
    <w:rsid w:val="017265DB"/>
    <w:rsid w:val="01740E6F"/>
    <w:rsid w:val="01785675"/>
    <w:rsid w:val="017936BE"/>
    <w:rsid w:val="017E6B98"/>
    <w:rsid w:val="01804A4C"/>
    <w:rsid w:val="018F2EE2"/>
    <w:rsid w:val="01934780"/>
    <w:rsid w:val="019F1CAA"/>
    <w:rsid w:val="01A47FC5"/>
    <w:rsid w:val="01A71FD9"/>
    <w:rsid w:val="01A754AC"/>
    <w:rsid w:val="01AA7D1B"/>
    <w:rsid w:val="01B033D2"/>
    <w:rsid w:val="01B42948"/>
    <w:rsid w:val="01B841E6"/>
    <w:rsid w:val="01B8645F"/>
    <w:rsid w:val="01BF5575"/>
    <w:rsid w:val="01C43C76"/>
    <w:rsid w:val="01CC715B"/>
    <w:rsid w:val="01D34B7C"/>
    <w:rsid w:val="01D455A5"/>
    <w:rsid w:val="01D63375"/>
    <w:rsid w:val="01D63DB7"/>
    <w:rsid w:val="01DB7918"/>
    <w:rsid w:val="01DD41C2"/>
    <w:rsid w:val="01E376AC"/>
    <w:rsid w:val="01E51E07"/>
    <w:rsid w:val="01E83A82"/>
    <w:rsid w:val="01E90844"/>
    <w:rsid w:val="01EC20E2"/>
    <w:rsid w:val="01EF4A93"/>
    <w:rsid w:val="01F21B1E"/>
    <w:rsid w:val="01F33470"/>
    <w:rsid w:val="01F571E8"/>
    <w:rsid w:val="01F77735"/>
    <w:rsid w:val="02011047"/>
    <w:rsid w:val="020967F0"/>
    <w:rsid w:val="020E2058"/>
    <w:rsid w:val="02100BC5"/>
    <w:rsid w:val="021533E7"/>
    <w:rsid w:val="021965D0"/>
    <w:rsid w:val="021B6523"/>
    <w:rsid w:val="022722ED"/>
    <w:rsid w:val="022736E8"/>
    <w:rsid w:val="022A6766"/>
    <w:rsid w:val="022B0E5C"/>
    <w:rsid w:val="022D68CE"/>
    <w:rsid w:val="022E6257"/>
    <w:rsid w:val="02301FCF"/>
    <w:rsid w:val="02340709"/>
    <w:rsid w:val="0239626F"/>
    <w:rsid w:val="023B43AB"/>
    <w:rsid w:val="023F66B6"/>
    <w:rsid w:val="02535CBD"/>
    <w:rsid w:val="025A34EF"/>
    <w:rsid w:val="025D4D8E"/>
    <w:rsid w:val="025D6B3C"/>
    <w:rsid w:val="026003DA"/>
    <w:rsid w:val="02647ECA"/>
    <w:rsid w:val="02654C5A"/>
    <w:rsid w:val="0270061D"/>
    <w:rsid w:val="02747281"/>
    <w:rsid w:val="02775E4F"/>
    <w:rsid w:val="027D0F8C"/>
    <w:rsid w:val="027F2F56"/>
    <w:rsid w:val="027F6AB2"/>
    <w:rsid w:val="0283153E"/>
    <w:rsid w:val="02873BB9"/>
    <w:rsid w:val="02897931"/>
    <w:rsid w:val="028E3199"/>
    <w:rsid w:val="02987B74"/>
    <w:rsid w:val="02A97EFC"/>
    <w:rsid w:val="02AB3D4B"/>
    <w:rsid w:val="02AB5AF9"/>
    <w:rsid w:val="02AE555A"/>
    <w:rsid w:val="02B01361"/>
    <w:rsid w:val="02B2655F"/>
    <w:rsid w:val="02B40E52"/>
    <w:rsid w:val="02B50726"/>
    <w:rsid w:val="02B82105"/>
    <w:rsid w:val="02B96468"/>
    <w:rsid w:val="02BC7B5E"/>
    <w:rsid w:val="02C24513"/>
    <w:rsid w:val="02C72207"/>
    <w:rsid w:val="02CB1CF7"/>
    <w:rsid w:val="02CD3CC1"/>
    <w:rsid w:val="02CF7A3A"/>
    <w:rsid w:val="02D212D8"/>
    <w:rsid w:val="02DA5FC0"/>
    <w:rsid w:val="02ED4364"/>
    <w:rsid w:val="02ED6112"/>
    <w:rsid w:val="02F23728"/>
    <w:rsid w:val="02FC6355"/>
    <w:rsid w:val="03015719"/>
    <w:rsid w:val="03091250"/>
    <w:rsid w:val="030D0562"/>
    <w:rsid w:val="03135309"/>
    <w:rsid w:val="0313544C"/>
    <w:rsid w:val="03190CB5"/>
    <w:rsid w:val="031F2043"/>
    <w:rsid w:val="03231B33"/>
    <w:rsid w:val="03276F2B"/>
    <w:rsid w:val="032D29B2"/>
    <w:rsid w:val="03305FFE"/>
    <w:rsid w:val="03321D76"/>
    <w:rsid w:val="03337D64"/>
    <w:rsid w:val="033D21D3"/>
    <w:rsid w:val="033F6241"/>
    <w:rsid w:val="034877EC"/>
    <w:rsid w:val="034B2E38"/>
    <w:rsid w:val="0350044F"/>
    <w:rsid w:val="035166A0"/>
    <w:rsid w:val="03541CED"/>
    <w:rsid w:val="03556B84"/>
    <w:rsid w:val="03573610"/>
    <w:rsid w:val="03575C81"/>
    <w:rsid w:val="035E700F"/>
    <w:rsid w:val="035E779F"/>
    <w:rsid w:val="03600D18"/>
    <w:rsid w:val="03655CA8"/>
    <w:rsid w:val="03660654"/>
    <w:rsid w:val="03675EC4"/>
    <w:rsid w:val="036A7762"/>
    <w:rsid w:val="03710AF1"/>
    <w:rsid w:val="03722553"/>
    <w:rsid w:val="037B371D"/>
    <w:rsid w:val="037B79F7"/>
    <w:rsid w:val="037C716B"/>
    <w:rsid w:val="03863E70"/>
    <w:rsid w:val="038A7E04"/>
    <w:rsid w:val="038C12F2"/>
    <w:rsid w:val="038C185D"/>
    <w:rsid w:val="0397607D"/>
    <w:rsid w:val="039B3DC0"/>
    <w:rsid w:val="03A367D0"/>
    <w:rsid w:val="03A53B02"/>
    <w:rsid w:val="03A67865"/>
    <w:rsid w:val="03C03826"/>
    <w:rsid w:val="03C10429"/>
    <w:rsid w:val="03C30C20"/>
    <w:rsid w:val="03CF48B6"/>
    <w:rsid w:val="03D177E1"/>
    <w:rsid w:val="03D270B5"/>
    <w:rsid w:val="03EA2651"/>
    <w:rsid w:val="03EE0393"/>
    <w:rsid w:val="03EF5EB9"/>
    <w:rsid w:val="03F17003"/>
    <w:rsid w:val="03FF60FC"/>
    <w:rsid w:val="04025BED"/>
    <w:rsid w:val="040556DD"/>
    <w:rsid w:val="04117BDE"/>
    <w:rsid w:val="04221DEB"/>
    <w:rsid w:val="04240C5C"/>
    <w:rsid w:val="04277401"/>
    <w:rsid w:val="042913CB"/>
    <w:rsid w:val="042B5143"/>
    <w:rsid w:val="042D0428"/>
    <w:rsid w:val="042E0790"/>
    <w:rsid w:val="042E69E2"/>
    <w:rsid w:val="04335DA6"/>
    <w:rsid w:val="04405793"/>
    <w:rsid w:val="04494535"/>
    <w:rsid w:val="044B5C73"/>
    <w:rsid w:val="045126D0"/>
    <w:rsid w:val="0451447E"/>
    <w:rsid w:val="045301F6"/>
    <w:rsid w:val="04552DBC"/>
    <w:rsid w:val="04553F6E"/>
    <w:rsid w:val="045D72C7"/>
    <w:rsid w:val="04635FDA"/>
    <w:rsid w:val="04646932"/>
    <w:rsid w:val="046E3E44"/>
    <w:rsid w:val="04714B20"/>
    <w:rsid w:val="04765429"/>
    <w:rsid w:val="04781A0B"/>
    <w:rsid w:val="04785EAF"/>
    <w:rsid w:val="047C774D"/>
    <w:rsid w:val="047D1B8C"/>
    <w:rsid w:val="048209F9"/>
    <w:rsid w:val="04842AA6"/>
    <w:rsid w:val="0486237A"/>
    <w:rsid w:val="04974587"/>
    <w:rsid w:val="049D5915"/>
    <w:rsid w:val="049F168E"/>
    <w:rsid w:val="04A110DB"/>
    <w:rsid w:val="04A732AF"/>
    <w:rsid w:val="04AA1CCB"/>
    <w:rsid w:val="04AD3DAA"/>
    <w:rsid w:val="04AE367F"/>
    <w:rsid w:val="04B0389B"/>
    <w:rsid w:val="04C609C8"/>
    <w:rsid w:val="04D035F5"/>
    <w:rsid w:val="04D72BD5"/>
    <w:rsid w:val="04D74983"/>
    <w:rsid w:val="04DC01EC"/>
    <w:rsid w:val="04DD1EC8"/>
    <w:rsid w:val="04E711A3"/>
    <w:rsid w:val="04E92820"/>
    <w:rsid w:val="04F45A96"/>
    <w:rsid w:val="050140F6"/>
    <w:rsid w:val="05051219"/>
    <w:rsid w:val="050634BB"/>
    <w:rsid w:val="050D4879"/>
    <w:rsid w:val="051054BA"/>
    <w:rsid w:val="05107E95"/>
    <w:rsid w:val="05111C07"/>
    <w:rsid w:val="05127D9B"/>
    <w:rsid w:val="05137986"/>
    <w:rsid w:val="052809DD"/>
    <w:rsid w:val="05281683"/>
    <w:rsid w:val="052A53FB"/>
    <w:rsid w:val="052B2F21"/>
    <w:rsid w:val="052E778B"/>
    <w:rsid w:val="05300538"/>
    <w:rsid w:val="053973EC"/>
    <w:rsid w:val="053A3164"/>
    <w:rsid w:val="053D39FA"/>
    <w:rsid w:val="053F077B"/>
    <w:rsid w:val="054650D4"/>
    <w:rsid w:val="05465FAD"/>
    <w:rsid w:val="05485F66"/>
    <w:rsid w:val="055B574C"/>
    <w:rsid w:val="055C132D"/>
    <w:rsid w:val="055D1F0C"/>
    <w:rsid w:val="05663F59"/>
    <w:rsid w:val="05687CD1"/>
    <w:rsid w:val="05704DD8"/>
    <w:rsid w:val="0571302A"/>
    <w:rsid w:val="05715BAA"/>
    <w:rsid w:val="05717247"/>
    <w:rsid w:val="05720B50"/>
    <w:rsid w:val="057C552B"/>
    <w:rsid w:val="05863DE1"/>
    <w:rsid w:val="05880374"/>
    <w:rsid w:val="05883ED0"/>
    <w:rsid w:val="058F1702"/>
    <w:rsid w:val="05927CC1"/>
    <w:rsid w:val="05993DE2"/>
    <w:rsid w:val="059960DD"/>
    <w:rsid w:val="059A6853"/>
    <w:rsid w:val="05A86320"/>
    <w:rsid w:val="05AC48F0"/>
    <w:rsid w:val="05AD48C9"/>
    <w:rsid w:val="05AD7DDA"/>
    <w:rsid w:val="05B42F17"/>
    <w:rsid w:val="05C0366A"/>
    <w:rsid w:val="05C313AC"/>
    <w:rsid w:val="05C56ED2"/>
    <w:rsid w:val="05D0614D"/>
    <w:rsid w:val="05D47115"/>
    <w:rsid w:val="05D708CA"/>
    <w:rsid w:val="05DE61E6"/>
    <w:rsid w:val="05E03D0C"/>
    <w:rsid w:val="05E07FE7"/>
    <w:rsid w:val="05E433F7"/>
    <w:rsid w:val="05EB778A"/>
    <w:rsid w:val="05F15DFC"/>
    <w:rsid w:val="05F67F28"/>
    <w:rsid w:val="05F72E03"/>
    <w:rsid w:val="05FB0B46"/>
    <w:rsid w:val="060C4B01"/>
    <w:rsid w:val="060C68AF"/>
    <w:rsid w:val="060E6ACB"/>
    <w:rsid w:val="06147E59"/>
    <w:rsid w:val="0616772D"/>
    <w:rsid w:val="061834A6"/>
    <w:rsid w:val="06191E33"/>
    <w:rsid w:val="061C15D5"/>
    <w:rsid w:val="061D286A"/>
    <w:rsid w:val="061E0B8A"/>
    <w:rsid w:val="062C51A3"/>
    <w:rsid w:val="062F07EF"/>
    <w:rsid w:val="0633208D"/>
    <w:rsid w:val="063A0363"/>
    <w:rsid w:val="063E4C65"/>
    <w:rsid w:val="06500E91"/>
    <w:rsid w:val="06530982"/>
    <w:rsid w:val="06542070"/>
    <w:rsid w:val="065546FA"/>
    <w:rsid w:val="06587E4E"/>
    <w:rsid w:val="06607510"/>
    <w:rsid w:val="0661608D"/>
    <w:rsid w:val="06652463"/>
    <w:rsid w:val="06671F51"/>
    <w:rsid w:val="066E5B12"/>
    <w:rsid w:val="066F11F5"/>
    <w:rsid w:val="0671265E"/>
    <w:rsid w:val="06734B80"/>
    <w:rsid w:val="0679783A"/>
    <w:rsid w:val="067A5F0E"/>
    <w:rsid w:val="067C4315"/>
    <w:rsid w:val="067D3568"/>
    <w:rsid w:val="068648B3"/>
    <w:rsid w:val="0687687D"/>
    <w:rsid w:val="06896EF2"/>
    <w:rsid w:val="068B53F2"/>
    <w:rsid w:val="06913258"/>
    <w:rsid w:val="069468A4"/>
    <w:rsid w:val="06976AC0"/>
    <w:rsid w:val="069B5E85"/>
    <w:rsid w:val="069B7776"/>
    <w:rsid w:val="06A305A3"/>
    <w:rsid w:val="06A411DD"/>
    <w:rsid w:val="06A64813"/>
    <w:rsid w:val="06A92474"/>
    <w:rsid w:val="06B93618"/>
    <w:rsid w:val="06C822EA"/>
    <w:rsid w:val="06D22892"/>
    <w:rsid w:val="06D422E1"/>
    <w:rsid w:val="06E14AFA"/>
    <w:rsid w:val="06EE4206"/>
    <w:rsid w:val="06F07F7E"/>
    <w:rsid w:val="06F14C43"/>
    <w:rsid w:val="06F2019A"/>
    <w:rsid w:val="06F7130D"/>
    <w:rsid w:val="070B300A"/>
    <w:rsid w:val="070F7027"/>
    <w:rsid w:val="07171AFD"/>
    <w:rsid w:val="071A149F"/>
    <w:rsid w:val="071E42E2"/>
    <w:rsid w:val="072412FC"/>
    <w:rsid w:val="072D2F81"/>
    <w:rsid w:val="072D4D2F"/>
    <w:rsid w:val="073065CD"/>
    <w:rsid w:val="07397B77"/>
    <w:rsid w:val="073A569E"/>
    <w:rsid w:val="073F4A62"/>
    <w:rsid w:val="074327A4"/>
    <w:rsid w:val="07465DF0"/>
    <w:rsid w:val="07481B68"/>
    <w:rsid w:val="07497901"/>
    <w:rsid w:val="074B3B46"/>
    <w:rsid w:val="07500A1D"/>
    <w:rsid w:val="075524D7"/>
    <w:rsid w:val="07573D64"/>
    <w:rsid w:val="075854A9"/>
    <w:rsid w:val="075A7AEE"/>
    <w:rsid w:val="0766035D"/>
    <w:rsid w:val="0769037B"/>
    <w:rsid w:val="076F3599"/>
    <w:rsid w:val="076F5347"/>
    <w:rsid w:val="077048BF"/>
    <w:rsid w:val="077438E7"/>
    <w:rsid w:val="077E1A2E"/>
    <w:rsid w:val="077E37DC"/>
    <w:rsid w:val="07844A8B"/>
    <w:rsid w:val="0788465B"/>
    <w:rsid w:val="078D7EC3"/>
    <w:rsid w:val="07927288"/>
    <w:rsid w:val="07943000"/>
    <w:rsid w:val="079528D4"/>
    <w:rsid w:val="07972AF0"/>
    <w:rsid w:val="07A2497A"/>
    <w:rsid w:val="07A86AAB"/>
    <w:rsid w:val="07AD2313"/>
    <w:rsid w:val="07AF3996"/>
    <w:rsid w:val="07B70A9C"/>
    <w:rsid w:val="07BB058C"/>
    <w:rsid w:val="07BE557C"/>
    <w:rsid w:val="07C02047"/>
    <w:rsid w:val="07C739AD"/>
    <w:rsid w:val="07CD5971"/>
    <w:rsid w:val="07D433FC"/>
    <w:rsid w:val="07D6114F"/>
    <w:rsid w:val="07D63618"/>
    <w:rsid w:val="07D94EB6"/>
    <w:rsid w:val="07DB0C2F"/>
    <w:rsid w:val="07DC0503"/>
    <w:rsid w:val="07DD0873"/>
    <w:rsid w:val="07DE071F"/>
    <w:rsid w:val="07EE2F85"/>
    <w:rsid w:val="07EE5861"/>
    <w:rsid w:val="07F42B2E"/>
    <w:rsid w:val="07F82BE5"/>
    <w:rsid w:val="07FB6BDB"/>
    <w:rsid w:val="07FC2953"/>
    <w:rsid w:val="080A5070"/>
    <w:rsid w:val="080B2B96"/>
    <w:rsid w:val="080B3820"/>
    <w:rsid w:val="080F08D8"/>
    <w:rsid w:val="08114650"/>
    <w:rsid w:val="08144141"/>
    <w:rsid w:val="0817314E"/>
    <w:rsid w:val="0819223E"/>
    <w:rsid w:val="082425D6"/>
    <w:rsid w:val="082C3238"/>
    <w:rsid w:val="082F4AD6"/>
    <w:rsid w:val="08305C22"/>
    <w:rsid w:val="083117D0"/>
    <w:rsid w:val="0832500B"/>
    <w:rsid w:val="08330197"/>
    <w:rsid w:val="08346591"/>
    <w:rsid w:val="08375A89"/>
    <w:rsid w:val="083D3697"/>
    <w:rsid w:val="08404F2B"/>
    <w:rsid w:val="08406CE4"/>
    <w:rsid w:val="084A5DB4"/>
    <w:rsid w:val="084E65D5"/>
    <w:rsid w:val="084F4760"/>
    <w:rsid w:val="084F6BDA"/>
    <w:rsid w:val="08512C9F"/>
    <w:rsid w:val="085822E9"/>
    <w:rsid w:val="085B03F1"/>
    <w:rsid w:val="085B3B1D"/>
    <w:rsid w:val="08634780"/>
    <w:rsid w:val="08675042"/>
    <w:rsid w:val="086A0EEA"/>
    <w:rsid w:val="086B6CDD"/>
    <w:rsid w:val="086C5D2B"/>
    <w:rsid w:val="086F1377"/>
    <w:rsid w:val="08716E9D"/>
    <w:rsid w:val="087632A4"/>
    <w:rsid w:val="087C2D8F"/>
    <w:rsid w:val="087C2F45"/>
    <w:rsid w:val="087F635C"/>
    <w:rsid w:val="08856DEC"/>
    <w:rsid w:val="08872B64"/>
    <w:rsid w:val="08923091"/>
    <w:rsid w:val="089808CE"/>
    <w:rsid w:val="089918F0"/>
    <w:rsid w:val="089B03BE"/>
    <w:rsid w:val="089D7C92"/>
    <w:rsid w:val="089F0C9C"/>
    <w:rsid w:val="089F7EAE"/>
    <w:rsid w:val="08AC6127"/>
    <w:rsid w:val="08BB1E7B"/>
    <w:rsid w:val="08BF22FE"/>
    <w:rsid w:val="08C211F0"/>
    <w:rsid w:val="08CB57A5"/>
    <w:rsid w:val="08D31432"/>
    <w:rsid w:val="08D613F6"/>
    <w:rsid w:val="08D72F06"/>
    <w:rsid w:val="08D833C0"/>
    <w:rsid w:val="08DB29E2"/>
    <w:rsid w:val="08E5550A"/>
    <w:rsid w:val="08E92ED7"/>
    <w:rsid w:val="08F61060"/>
    <w:rsid w:val="08FA62A0"/>
    <w:rsid w:val="08FC70AE"/>
    <w:rsid w:val="0901547A"/>
    <w:rsid w:val="090E0B90"/>
    <w:rsid w:val="091837BC"/>
    <w:rsid w:val="091A7E4E"/>
    <w:rsid w:val="091F2D9D"/>
    <w:rsid w:val="09261220"/>
    <w:rsid w:val="0929283D"/>
    <w:rsid w:val="09297778"/>
    <w:rsid w:val="092D3D00"/>
    <w:rsid w:val="09321A62"/>
    <w:rsid w:val="09382467"/>
    <w:rsid w:val="093F4CEB"/>
    <w:rsid w:val="09410F65"/>
    <w:rsid w:val="094822F4"/>
    <w:rsid w:val="094B46B8"/>
    <w:rsid w:val="094B5940"/>
    <w:rsid w:val="095347F5"/>
    <w:rsid w:val="09581E0B"/>
    <w:rsid w:val="095C18FB"/>
    <w:rsid w:val="095D095C"/>
    <w:rsid w:val="0963211F"/>
    <w:rsid w:val="096612C0"/>
    <w:rsid w:val="09672ADE"/>
    <w:rsid w:val="09700478"/>
    <w:rsid w:val="0970184A"/>
    <w:rsid w:val="0972111F"/>
    <w:rsid w:val="09774987"/>
    <w:rsid w:val="09802A2B"/>
    <w:rsid w:val="09815580"/>
    <w:rsid w:val="09844E9A"/>
    <w:rsid w:val="09885D9B"/>
    <w:rsid w:val="098B72B4"/>
    <w:rsid w:val="098F597B"/>
    <w:rsid w:val="09903C9B"/>
    <w:rsid w:val="09960F41"/>
    <w:rsid w:val="099A0675"/>
    <w:rsid w:val="09A6701A"/>
    <w:rsid w:val="09A869C6"/>
    <w:rsid w:val="09AE6772"/>
    <w:rsid w:val="09B259BF"/>
    <w:rsid w:val="09B41737"/>
    <w:rsid w:val="09BA4874"/>
    <w:rsid w:val="09C37BCC"/>
    <w:rsid w:val="09C6146A"/>
    <w:rsid w:val="09CC5188"/>
    <w:rsid w:val="09CF47C3"/>
    <w:rsid w:val="09D05AAE"/>
    <w:rsid w:val="09D41DD9"/>
    <w:rsid w:val="09D5345C"/>
    <w:rsid w:val="09D678FF"/>
    <w:rsid w:val="09D92D04"/>
    <w:rsid w:val="09DC0C8E"/>
    <w:rsid w:val="09DC2A3C"/>
    <w:rsid w:val="09DE4EBA"/>
    <w:rsid w:val="09E85132"/>
    <w:rsid w:val="09E87633"/>
    <w:rsid w:val="09EB6243"/>
    <w:rsid w:val="09EC7123"/>
    <w:rsid w:val="09FC5CFF"/>
    <w:rsid w:val="0A014251"/>
    <w:rsid w:val="0A03446D"/>
    <w:rsid w:val="0A03621B"/>
    <w:rsid w:val="0A075115"/>
    <w:rsid w:val="0A0A554A"/>
    <w:rsid w:val="0A0B50CF"/>
    <w:rsid w:val="0A0C1573"/>
    <w:rsid w:val="0A0F696E"/>
    <w:rsid w:val="0A116B8A"/>
    <w:rsid w:val="0A165F4E"/>
    <w:rsid w:val="0A195A3E"/>
    <w:rsid w:val="0A1B2824"/>
    <w:rsid w:val="0A221267"/>
    <w:rsid w:val="0A222B45"/>
    <w:rsid w:val="0A2543E3"/>
    <w:rsid w:val="0A27015B"/>
    <w:rsid w:val="0A2763AD"/>
    <w:rsid w:val="0A30445B"/>
    <w:rsid w:val="0A314B36"/>
    <w:rsid w:val="0A330AAB"/>
    <w:rsid w:val="0A352BA5"/>
    <w:rsid w:val="0A397E8E"/>
    <w:rsid w:val="0A4A209B"/>
    <w:rsid w:val="0A516F86"/>
    <w:rsid w:val="0A540824"/>
    <w:rsid w:val="0A587B48"/>
    <w:rsid w:val="0A5B1BB3"/>
    <w:rsid w:val="0A647FDC"/>
    <w:rsid w:val="0A656ED5"/>
    <w:rsid w:val="0A6749FB"/>
    <w:rsid w:val="0A6B75FC"/>
    <w:rsid w:val="0A6C3DC0"/>
    <w:rsid w:val="0A6D4172"/>
    <w:rsid w:val="0A6F2477"/>
    <w:rsid w:val="0A775D4F"/>
    <w:rsid w:val="0A785228"/>
    <w:rsid w:val="0A7D4664"/>
    <w:rsid w:val="0A7D5FCD"/>
    <w:rsid w:val="0A88778E"/>
    <w:rsid w:val="0A8C7CD5"/>
    <w:rsid w:val="0A8C7FBE"/>
    <w:rsid w:val="0A8F57AD"/>
    <w:rsid w:val="0A8F5D00"/>
    <w:rsid w:val="0A960E3D"/>
    <w:rsid w:val="0A967038"/>
    <w:rsid w:val="0A982E07"/>
    <w:rsid w:val="0A9C3E06"/>
    <w:rsid w:val="0A9D041D"/>
    <w:rsid w:val="0AA03A6A"/>
    <w:rsid w:val="0AA3355A"/>
    <w:rsid w:val="0AA53386"/>
    <w:rsid w:val="0AA74E2E"/>
    <w:rsid w:val="0AAB0D8C"/>
    <w:rsid w:val="0AAC240E"/>
    <w:rsid w:val="0AB3379D"/>
    <w:rsid w:val="0AB37C41"/>
    <w:rsid w:val="0AB67731"/>
    <w:rsid w:val="0AC10D82"/>
    <w:rsid w:val="0AC41E4E"/>
    <w:rsid w:val="0AC43BFC"/>
    <w:rsid w:val="0AC51722"/>
    <w:rsid w:val="0AC57974"/>
    <w:rsid w:val="0AC736EC"/>
    <w:rsid w:val="0ACB616E"/>
    <w:rsid w:val="0ACC2AB1"/>
    <w:rsid w:val="0AD57BB7"/>
    <w:rsid w:val="0AD81455"/>
    <w:rsid w:val="0AE11D9E"/>
    <w:rsid w:val="0AE222D4"/>
    <w:rsid w:val="0AE93662"/>
    <w:rsid w:val="0AEA2F37"/>
    <w:rsid w:val="0AEC6CAF"/>
    <w:rsid w:val="0AEE0C79"/>
    <w:rsid w:val="0AF273D4"/>
    <w:rsid w:val="0AF52007"/>
    <w:rsid w:val="0AF71D29"/>
    <w:rsid w:val="0B0264D2"/>
    <w:rsid w:val="0B02681E"/>
    <w:rsid w:val="0B0A5387"/>
    <w:rsid w:val="0B147891"/>
    <w:rsid w:val="0B1A7CC0"/>
    <w:rsid w:val="0B20499C"/>
    <w:rsid w:val="0B204BAA"/>
    <w:rsid w:val="0B2428ED"/>
    <w:rsid w:val="0B2621C1"/>
    <w:rsid w:val="0B2E72C7"/>
    <w:rsid w:val="0B322488"/>
    <w:rsid w:val="0B3532C7"/>
    <w:rsid w:val="0B3C7C36"/>
    <w:rsid w:val="0B3D575C"/>
    <w:rsid w:val="0B404839"/>
    <w:rsid w:val="0B41524D"/>
    <w:rsid w:val="0B4340AA"/>
    <w:rsid w:val="0B495EAF"/>
    <w:rsid w:val="0B4B1C27"/>
    <w:rsid w:val="0B5750F1"/>
    <w:rsid w:val="0B597A11"/>
    <w:rsid w:val="0B5A630E"/>
    <w:rsid w:val="0B5C2086"/>
    <w:rsid w:val="0B5F3925"/>
    <w:rsid w:val="0B613662"/>
    <w:rsid w:val="0B66170E"/>
    <w:rsid w:val="0B6E1DBA"/>
    <w:rsid w:val="0B6E638C"/>
    <w:rsid w:val="0B774EE9"/>
    <w:rsid w:val="0B786794"/>
    <w:rsid w:val="0B7A69B0"/>
    <w:rsid w:val="0B7C073E"/>
    <w:rsid w:val="0B7F2650"/>
    <w:rsid w:val="0B7F42C6"/>
    <w:rsid w:val="0B841F65"/>
    <w:rsid w:val="0B862646"/>
    <w:rsid w:val="0B892750"/>
    <w:rsid w:val="0B8B64C8"/>
    <w:rsid w:val="0B8E420A"/>
    <w:rsid w:val="0B911FA3"/>
    <w:rsid w:val="0B9335CE"/>
    <w:rsid w:val="0B9A495D"/>
    <w:rsid w:val="0BB07B4B"/>
    <w:rsid w:val="0BB30DED"/>
    <w:rsid w:val="0BB772BD"/>
    <w:rsid w:val="0BBC2B25"/>
    <w:rsid w:val="0BBD0871"/>
    <w:rsid w:val="0BBE4AEF"/>
    <w:rsid w:val="0BBE689D"/>
    <w:rsid w:val="0BBF6171"/>
    <w:rsid w:val="0BC1013B"/>
    <w:rsid w:val="0BC438C4"/>
    <w:rsid w:val="0BCB2D68"/>
    <w:rsid w:val="0BCC0AE8"/>
    <w:rsid w:val="0BCF0AAA"/>
    <w:rsid w:val="0BD45B9A"/>
    <w:rsid w:val="0BDC31C7"/>
    <w:rsid w:val="0BE0558A"/>
    <w:rsid w:val="0BE34141"/>
    <w:rsid w:val="0BE36304"/>
    <w:rsid w:val="0BE43E2A"/>
    <w:rsid w:val="0BEA58E4"/>
    <w:rsid w:val="0BF202F5"/>
    <w:rsid w:val="0BF277E3"/>
    <w:rsid w:val="0BF64289"/>
    <w:rsid w:val="0C000C64"/>
    <w:rsid w:val="0C0369A6"/>
    <w:rsid w:val="0C0A7D34"/>
    <w:rsid w:val="0C0D2B91"/>
    <w:rsid w:val="0C0F0EA7"/>
    <w:rsid w:val="0C161A76"/>
    <w:rsid w:val="0C1B3CF0"/>
    <w:rsid w:val="0C1C7A68"/>
    <w:rsid w:val="0C201171"/>
    <w:rsid w:val="0C211D10"/>
    <w:rsid w:val="0C232BA4"/>
    <w:rsid w:val="0C281F69"/>
    <w:rsid w:val="0C34090D"/>
    <w:rsid w:val="0C370197"/>
    <w:rsid w:val="0C3B6140"/>
    <w:rsid w:val="0C4134E4"/>
    <w:rsid w:val="0C4548C9"/>
    <w:rsid w:val="0C4578DA"/>
    <w:rsid w:val="0C475EF7"/>
    <w:rsid w:val="0C4D19CF"/>
    <w:rsid w:val="0C4D7C21"/>
    <w:rsid w:val="0C547201"/>
    <w:rsid w:val="0C55370B"/>
    <w:rsid w:val="0C601702"/>
    <w:rsid w:val="0C641D70"/>
    <w:rsid w:val="0C6A5752"/>
    <w:rsid w:val="0C701C23"/>
    <w:rsid w:val="0C757885"/>
    <w:rsid w:val="0C776A4C"/>
    <w:rsid w:val="0C8573BB"/>
    <w:rsid w:val="0C863D4E"/>
    <w:rsid w:val="0C89646F"/>
    <w:rsid w:val="0C8A23BF"/>
    <w:rsid w:val="0C8E1EF9"/>
    <w:rsid w:val="0C95560D"/>
    <w:rsid w:val="0C9A56A7"/>
    <w:rsid w:val="0C9B098C"/>
    <w:rsid w:val="0C9C0D05"/>
    <w:rsid w:val="0C9E222B"/>
    <w:rsid w:val="0CA15CBB"/>
    <w:rsid w:val="0CA35A93"/>
    <w:rsid w:val="0CA84E57"/>
    <w:rsid w:val="0CAC5995"/>
    <w:rsid w:val="0CAD06C0"/>
    <w:rsid w:val="0CAF268A"/>
    <w:rsid w:val="0CB16402"/>
    <w:rsid w:val="0CC07278"/>
    <w:rsid w:val="0CC45254"/>
    <w:rsid w:val="0CC51EAD"/>
    <w:rsid w:val="0CCA19BF"/>
    <w:rsid w:val="0CCC323C"/>
    <w:rsid w:val="0CCC6D98"/>
    <w:rsid w:val="0CD21ED4"/>
    <w:rsid w:val="0CD30126"/>
    <w:rsid w:val="0CD519D8"/>
    <w:rsid w:val="0CDD2D53"/>
    <w:rsid w:val="0CE91A4F"/>
    <w:rsid w:val="0CE949D7"/>
    <w:rsid w:val="0CEA5470"/>
    <w:rsid w:val="0CEC2F96"/>
    <w:rsid w:val="0CF57AB6"/>
    <w:rsid w:val="0CF84031"/>
    <w:rsid w:val="0CFB148C"/>
    <w:rsid w:val="0CFF50CF"/>
    <w:rsid w:val="0D020A0B"/>
    <w:rsid w:val="0D0504FC"/>
    <w:rsid w:val="0D0A78C0"/>
    <w:rsid w:val="0D166265"/>
    <w:rsid w:val="0D1D5845"/>
    <w:rsid w:val="0D2C5A88"/>
    <w:rsid w:val="0D3120EE"/>
    <w:rsid w:val="0D324D1E"/>
    <w:rsid w:val="0D330BC5"/>
    <w:rsid w:val="0D33399D"/>
    <w:rsid w:val="0D336E17"/>
    <w:rsid w:val="0D35783A"/>
    <w:rsid w:val="0D3935BF"/>
    <w:rsid w:val="0D3F57BC"/>
    <w:rsid w:val="0D47567F"/>
    <w:rsid w:val="0D49663A"/>
    <w:rsid w:val="0D4C7ED9"/>
    <w:rsid w:val="0D554FDF"/>
    <w:rsid w:val="0D584ACF"/>
    <w:rsid w:val="0D5C5FEA"/>
    <w:rsid w:val="0D5E339D"/>
    <w:rsid w:val="0D5F19BA"/>
    <w:rsid w:val="0D6214AA"/>
    <w:rsid w:val="0D73125D"/>
    <w:rsid w:val="0D782A7C"/>
    <w:rsid w:val="0D7A1990"/>
    <w:rsid w:val="0D7A67F4"/>
    <w:rsid w:val="0D7C6A10"/>
    <w:rsid w:val="0D7D4536"/>
    <w:rsid w:val="0D841421"/>
    <w:rsid w:val="0D8713A0"/>
    <w:rsid w:val="0D8779DC"/>
    <w:rsid w:val="0D8B2166"/>
    <w:rsid w:val="0D913B3D"/>
    <w:rsid w:val="0D93239D"/>
    <w:rsid w:val="0D961154"/>
    <w:rsid w:val="0D9755F8"/>
    <w:rsid w:val="0D9961D1"/>
    <w:rsid w:val="0D9A6FA7"/>
    <w:rsid w:val="0D9C2C0E"/>
    <w:rsid w:val="0D9C59EA"/>
    <w:rsid w:val="0DA41AC3"/>
    <w:rsid w:val="0DA70515"/>
    <w:rsid w:val="0DAE5F61"/>
    <w:rsid w:val="0DB57ECC"/>
    <w:rsid w:val="0DBD3B65"/>
    <w:rsid w:val="0DBF06AB"/>
    <w:rsid w:val="0DC3019B"/>
    <w:rsid w:val="0DC3473D"/>
    <w:rsid w:val="0DC45C7F"/>
    <w:rsid w:val="0DC47726"/>
    <w:rsid w:val="0DC64C17"/>
    <w:rsid w:val="0DC70935"/>
    <w:rsid w:val="0DC760A7"/>
    <w:rsid w:val="0DC7755F"/>
    <w:rsid w:val="0DC91529"/>
    <w:rsid w:val="0DCE08EE"/>
    <w:rsid w:val="0DCF504A"/>
    <w:rsid w:val="0DD028B8"/>
    <w:rsid w:val="0DD35D8B"/>
    <w:rsid w:val="0DE3413F"/>
    <w:rsid w:val="0DE34399"/>
    <w:rsid w:val="0DE545B5"/>
    <w:rsid w:val="0DE819AF"/>
    <w:rsid w:val="0DF02F5A"/>
    <w:rsid w:val="0DF5231E"/>
    <w:rsid w:val="0DF77E44"/>
    <w:rsid w:val="0DFC6ECD"/>
    <w:rsid w:val="0E012A71"/>
    <w:rsid w:val="0E0F1632"/>
    <w:rsid w:val="0E0F33E0"/>
    <w:rsid w:val="0E100F06"/>
    <w:rsid w:val="0E121122"/>
    <w:rsid w:val="0E130328"/>
    <w:rsid w:val="0E157ECD"/>
    <w:rsid w:val="0E1E0331"/>
    <w:rsid w:val="0E3177FA"/>
    <w:rsid w:val="0E341099"/>
    <w:rsid w:val="0E35096D"/>
    <w:rsid w:val="0E39220B"/>
    <w:rsid w:val="0E3B2427"/>
    <w:rsid w:val="0E3F3599"/>
    <w:rsid w:val="0E440BB0"/>
    <w:rsid w:val="0E46753C"/>
    <w:rsid w:val="0E481E5C"/>
    <w:rsid w:val="0E4868F2"/>
    <w:rsid w:val="0E4932EC"/>
    <w:rsid w:val="0E4C6C96"/>
    <w:rsid w:val="0E4D2AEF"/>
    <w:rsid w:val="0E4F1A2E"/>
    <w:rsid w:val="0E4F5ED2"/>
    <w:rsid w:val="0E5139F9"/>
    <w:rsid w:val="0E5C414B"/>
    <w:rsid w:val="0E614144"/>
    <w:rsid w:val="0E62693A"/>
    <w:rsid w:val="0E741495"/>
    <w:rsid w:val="0E7E0566"/>
    <w:rsid w:val="0E83792A"/>
    <w:rsid w:val="0E8611C8"/>
    <w:rsid w:val="0E87566C"/>
    <w:rsid w:val="0E884F40"/>
    <w:rsid w:val="0E925DBF"/>
    <w:rsid w:val="0E941B37"/>
    <w:rsid w:val="0E983F64"/>
    <w:rsid w:val="0EA24254"/>
    <w:rsid w:val="0EA45387"/>
    <w:rsid w:val="0EAA425E"/>
    <w:rsid w:val="0EAD2BF9"/>
    <w:rsid w:val="0EB14497"/>
    <w:rsid w:val="0EB2020F"/>
    <w:rsid w:val="0EB3626A"/>
    <w:rsid w:val="0EB67D00"/>
    <w:rsid w:val="0EB977F0"/>
    <w:rsid w:val="0EC63E70"/>
    <w:rsid w:val="0EC95C85"/>
    <w:rsid w:val="0ED25C7C"/>
    <w:rsid w:val="0ED306D4"/>
    <w:rsid w:val="0EE52393"/>
    <w:rsid w:val="0EEA1757"/>
    <w:rsid w:val="0EEA5BFB"/>
    <w:rsid w:val="0EEC54CF"/>
    <w:rsid w:val="0EF357FE"/>
    <w:rsid w:val="0EF600FC"/>
    <w:rsid w:val="0EF95E3E"/>
    <w:rsid w:val="0F020616"/>
    <w:rsid w:val="0F041CC7"/>
    <w:rsid w:val="0F041E04"/>
    <w:rsid w:val="0F0D1A26"/>
    <w:rsid w:val="0F0F11BE"/>
    <w:rsid w:val="0F164219"/>
    <w:rsid w:val="0F1A64E0"/>
    <w:rsid w:val="0F1D38DB"/>
    <w:rsid w:val="0F28662E"/>
    <w:rsid w:val="0F3020DD"/>
    <w:rsid w:val="0F3B0205"/>
    <w:rsid w:val="0F3E6BDD"/>
    <w:rsid w:val="0F403A6D"/>
    <w:rsid w:val="0F437CE3"/>
    <w:rsid w:val="0F497356"/>
    <w:rsid w:val="0F4F5A5E"/>
    <w:rsid w:val="0F515C7A"/>
    <w:rsid w:val="0F532D2B"/>
    <w:rsid w:val="0F543075"/>
    <w:rsid w:val="0F587009"/>
    <w:rsid w:val="0F5B2655"/>
    <w:rsid w:val="0F683166"/>
    <w:rsid w:val="0F697787"/>
    <w:rsid w:val="0F717D94"/>
    <w:rsid w:val="0F753717"/>
    <w:rsid w:val="0F7816D8"/>
    <w:rsid w:val="0F7C190B"/>
    <w:rsid w:val="0F7D25CB"/>
    <w:rsid w:val="0F825E34"/>
    <w:rsid w:val="0F8676D2"/>
    <w:rsid w:val="0F8C0A60"/>
    <w:rsid w:val="0F900551"/>
    <w:rsid w:val="0F9242C9"/>
    <w:rsid w:val="0F985657"/>
    <w:rsid w:val="0FA83AEC"/>
    <w:rsid w:val="0FAD5F50"/>
    <w:rsid w:val="0FAE09D7"/>
    <w:rsid w:val="0FB029A1"/>
    <w:rsid w:val="0FB04F4B"/>
    <w:rsid w:val="0FB75ADD"/>
    <w:rsid w:val="0FBA381F"/>
    <w:rsid w:val="0FC14BAE"/>
    <w:rsid w:val="0FC35B5B"/>
    <w:rsid w:val="0FC93A62"/>
    <w:rsid w:val="0FCE2E27"/>
    <w:rsid w:val="0FCE72CB"/>
    <w:rsid w:val="0FD0094D"/>
    <w:rsid w:val="0FD07183"/>
    <w:rsid w:val="0FD20B69"/>
    <w:rsid w:val="0FD85A54"/>
    <w:rsid w:val="0FD861D8"/>
    <w:rsid w:val="0FD91EF8"/>
    <w:rsid w:val="0FE10DAC"/>
    <w:rsid w:val="0FEB3DA7"/>
    <w:rsid w:val="0FEC310E"/>
    <w:rsid w:val="0FEC42F3"/>
    <w:rsid w:val="0FFD54BA"/>
    <w:rsid w:val="10060813"/>
    <w:rsid w:val="10067CF4"/>
    <w:rsid w:val="101051ED"/>
    <w:rsid w:val="10156CA8"/>
    <w:rsid w:val="101E5B5C"/>
    <w:rsid w:val="101F3001"/>
    <w:rsid w:val="10234FF5"/>
    <w:rsid w:val="10246EEB"/>
    <w:rsid w:val="102B29FC"/>
    <w:rsid w:val="102C333C"/>
    <w:rsid w:val="102E6D1C"/>
    <w:rsid w:val="102F1E22"/>
    <w:rsid w:val="1030763E"/>
    <w:rsid w:val="10330CA8"/>
    <w:rsid w:val="10355E7D"/>
    <w:rsid w:val="103F6F2F"/>
    <w:rsid w:val="104E5D16"/>
    <w:rsid w:val="104F3F68"/>
    <w:rsid w:val="10501A8E"/>
    <w:rsid w:val="105517FE"/>
    <w:rsid w:val="105A46BB"/>
    <w:rsid w:val="105B33D4"/>
    <w:rsid w:val="105D1600"/>
    <w:rsid w:val="105E064F"/>
    <w:rsid w:val="106B768D"/>
    <w:rsid w:val="106E4B7E"/>
    <w:rsid w:val="1072324E"/>
    <w:rsid w:val="107640FF"/>
    <w:rsid w:val="107E65FB"/>
    <w:rsid w:val="108005C5"/>
    <w:rsid w:val="10857483"/>
    <w:rsid w:val="108D2A4C"/>
    <w:rsid w:val="1090632E"/>
    <w:rsid w:val="10966CF0"/>
    <w:rsid w:val="109951E3"/>
    <w:rsid w:val="109C599C"/>
    <w:rsid w:val="10A5627E"/>
    <w:rsid w:val="10A6525C"/>
    <w:rsid w:val="10A92C1E"/>
    <w:rsid w:val="10AD0C8E"/>
    <w:rsid w:val="10AD5132"/>
    <w:rsid w:val="10AF0EAA"/>
    <w:rsid w:val="10AF2C58"/>
    <w:rsid w:val="10B951F6"/>
    <w:rsid w:val="10C04E65"/>
    <w:rsid w:val="10C264DA"/>
    <w:rsid w:val="10C61D50"/>
    <w:rsid w:val="10C84048"/>
    <w:rsid w:val="10CA1840"/>
    <w:rsid w:val="10CB7366"/>
    <w:rsid w:val="10CC380A"/>
    <w:rsid w:val="10D254AD"/>
    <w:rsid w:val="10D601E5"/>
    <w:rsid w:val="10E723F2"/>
    <w:rsid w:val="10EC5C5A"/>
    <w:rsid w:val="10ED3781"/>
    <w:rsid w:val="10FB6ED7"/>
    <w:rsid w:val="110E3E23"/>
    <w:rsid w:val="11103304"/>
    <w:rsid w:val="1111121D"/>
    <w:rsid w:val="111C4215"/>
    <w:rsid w:val="11264E6A"/>
    <w:rsid w:val="11276C93"/>
    <w:rsid w:val="112B6A46"/>
    <w:rsid w:val="112F3D99"/>
    <w:rsid w:val="11321394"/>
    <w:rsid w:val="113849FC"/>
    <w:rsid w:val="113A2EF5"/>
    <w:rsid w:val="11421D1E"/>
    <w:rsid w:val="114A0BD3"/>
    <w:rsid w:val="11511F61"/>
    <w:rsid w:val="115630D4"/>
    <w:rsid w:val="115D76FC"/>
    <w:rsid w:val="115E39F7"/>
    <w:rsid w:val="116465A8"/>
    <w:rsid w:val="11651BDC"/>
    <w:rsid w:val="11691059"/>
    <w:rsid w:val="116F4196"/>
    <w:rsid w:val="1170063A"/>
    <w:rsid w:val="11764336"/>
    <w:rsid w:val="1178129C"/>
    <w:rsid w:val="11843FEF"/>
    <w:rsid w:val="11867E5D"/>
    <w:rsid w:val="118B5BFE"/>
    <w:rsid w:val="118C4CA8"/>
    <w:rsid w:val="119157E6"/>
    <w:rsid w:val="1193257A"/>
    <w:rsid w:val="11991213"/>
    <w:rsid w:val="119C142F"/>
    <w:rsid w:val="11A007F3"/>
    <w:rsid w:val="11A025A1"/>
    <w:rsid w:val="11A71B81"/>
    <w:rsid w:val="11B00A36"/>
    <w:rsid w:val="11B5604C"/>
    <w:rsid w:val="11B56CA5"/>
    <w:rsid w:val="11BD3153"/>
    <w:rsid w:val="11BD75F7"/>
    <w:rsid w:val="11C20769"/>
    <w:rsid w:val="11C73A67"/>
    <w:rsid w:val="11C97D4A"/>
    <w:rsid w:val="11CC3396"/>
    <w:rsid w:val="11D54941"/>
    <w:rsid w:val="11D74D27"/>
    <w:rsid w:val="11E132E5"/>
    <w:rsid w:val="11E44B84"/>
    <w:rsid w:val="11EA5152"/>
    <w:rsid w:val="11F50B3F"/>
    <w:rsid w:val="11FC1ECD"/>
    <w:rsid w:val="11FC3E71"/>
    <w:rsid w:val="1202325C"/>
    <w:rsid w:val="12090776"/>
    <w:rsid w:val="120E7E53"/>
    <w:rsid w:val="121511E1"/>
    <w:rsid w:val="121F2ECD"/>
    <w:rsid w:val="121F3E0E"/>
    <w:rsid w:val="12214445"/>
    <w:rsid w:val="1222745A"/>
    <w:rsid w:val="122464D0"/>
    <w:rsid w:val="122B27B2"/>
    <w:rsid w:val="122E5870"/>
    <w:rsid w:val="122E5DFF"/>
    <w:rsid w:val="123569BF"/>
    <w:rsid w:val="12380A2C"/>
    <w:rsid w:val="12394ECF"/>
    <w:rsid w:val="124043EC"/>
    <w:rsid w:val="124473D0"/>
    <w:rsid w:val="12456514"/>
    <w:rsid w:val="12482B82"/>
    <w:rsid w:val="12551DD1"/>
    <w:rsid w:val="12692EF2"/>
    <w:rsid w:val="126A32DB"/>
    <w:rsid w:val="126B3B83"/>
    <w:rsid w:val="126B7053"/>
    <w:rsid w:val="126D4B79"/>
    <w:rsid w:val="127759F8"/>
    <w:rsid w:val="128D0D77"/>
    <w:rsid w:val="12942106"/>
    <w:rsid w:val="129465AA"/>
    <w:rsid w:val="129739A4"/>
    <w:rsid w:val="129E3271"/>
    <w:rsid w:val="12A12A75"/>
    <w:rsid w:val="12A165D1"/>
    <w:rsid w:val="12A32349"/>
    <w:rsid w:val="12A54313"/>
    <w:rsid w:val="12A6008B"/>
    <w:rsid w:val="12A77D1A"/>
    <w:rsid w:val="12AB744F"/>
    <w:rsid w:val="12AD766B"/>
    <w:rsid w:val="12B24C82"/>
    <w:rsid w:val="12C16C73"/>
    <w:rsid w:val="12C57018"/>
    <w:rsid w:val="12CD5618"/>
    <w:rsid w:val="12CF1390"/>
    <w:rsid w:val="12CF5437"/>
    <w:rsid w:val="12D0209F"/>
    <w:rsid w:val="12D270D2"/>
    <w:rsid w:val="12D76496"/>
    <w:rsid w:val="12DA1AE3"/>
    <w:rsid w:val="12DC3979"/>
    <w:rsid w:val="12DE15D3"/>
    <w:rsid w:val="12E2404E"/>
    <w:rsid w:val="12E56E05"/>
    <w:rsid w:val="12E80675"/>
    <w:rsid w:val="12F72695"/>
    <w:rsid w:val="12FC7CAB"/>
    <w:rsid w:val="12FE3A23"/>
    <w:rsid w:val="13023513"/>
    <w:rsid w:val="13054DB2"/>
    <w:rsid w:val="130628D8"/>
    <w:rsid w:val="13082AF4"/>
    <w:rsid w:val="130A2B10"/>
    <w:rsid w:val="130D3C66"/>
    <w:rsid w:val="13174AE5"/>
    <w:rsid w:val="13177405"/>
    <w:rsid w:val="131F4456"/>
    <w:rsid w:val="13203999"/>
    <w:rsid w:val="13253BB0"/>
    <w:rsid w:val="13345697"/>
    <w:rsid w:val="13367EB4"/>
    <w:rsid w:val="13370A53"/>
    <w:rsid w:val="133833D9"/>
    <w:rsid w:val="134655A4"/>
    <w:rsid w:val="13484B32"/>
    <w:rsid w:val="134850E0"/>
    <w:rsid w:val="134A0A16"/>
    <w:rsid w:val="134B0317"/>
    <w:rsid w:val="134C3473"/>
    <w:rsid w:val="134E49AB"/>
    <w:rsid w:val="13525B1D"/>
    <w:rsid w:val="13573157"/>
    <w:rsid w:val="135915A9"/>
    <w:rsid w:val="1362048E"/>
    <w:rsid w:val="13675A6C"/>
    <w:rsid w:val="136917E4"/>
    <w:rsid w:val="136A67D5"/>
    <w:rsid w:val="136F66CF"/>
    <w:rsid w:val="13732930"/>
    <w:rsid w:val="13734411"/>
    <w:rsid w:val="13737F6D"/>
    <w:rsid w:val="13826402"/>
    <w:rsid w:val="138403CC"/>
    <w:rsid w:val="13870451"/>
    <w:rsid w:val="13884297"/>
    <w:rsid w:val="138C54D3"/>
    <w:rsid w:val="138D071E"/>
    <w:rsid w:val="138E198A"/>
    <w:rsid w:val="139127F7"/>
    <w:rsid w:val="13954387"/>
    <w:rsid w:val="13963C5C"/>
    <w:rsid w:val="139F4D6C"/>
    <w:rsid w:val="13A22600"/>
    <w:rsid w:val="13AB6CAF"/>
    <w:rsid w:val="13AC5F03"/>
    <w:rsid w:val="13AD7D4C"/>
    <w:rsid w:val="13AF4D1D"/>
    <w:rsid w:val="13B30CB1"/>
    <w:rsid w:val="13BF31B2"/>
    <w:rsid w:val="13C10DBE"/>
    <w:rsid w:val="13C24A51"/>
    <w:rsid w:val="13CA1788"/>
    <w:rsid w:val="13DD188A"/>
    <w:rsid w:val="13E42C19"/>
    <w:rsid w:val="13E76BAD"/>
    <w:rsid w:val="13ED660A"/>
    <w:rsid w:val="13F17AA5"/>
    <w:rsid w:val="13F217DA"/>
    <w:rsid w:val="13F54E26"/>
    <w:rsid w:val="13F866C4"/>
    <w:rsid w:val="13FE38DE"/>
    <w:rsid w:val="14067033"/>
    <w:rsid w:val="140B38B4"/>
    <w:rsid w:val="141334FE"/>
    <w:rsid w:val="141379A2"/>
    <w:rsid w:val="141A2ADF"/>
    <w:rsid w:val="141A7924"/>
    <w:rsid w:val="141B597C"/>
    <w:rsid w:val="141D25CF"/>
    <w:rsid w:val="1424395D"/>
    <w:rsid w:val="14246D62"/>
    <w:rsid w:val="142A0877"/>
    <w:rsid w:val="142B0848"/>
    <w:rsid w:val="142E3D3C"/>
    <w:rsid w:val="143376FC"/>
    <w:rsid w:val="14353475"/>
    <w:rsid w:val="143811B7"/>
    <w:rsid w:val="143E4A1F"/>
    <w:rsid w:val="144933C4"/>
    <w:rsid w:val="144A2F48"/>
    <w:rsid w:val="14512DC2"/>
    <w:rsid w:val="14537D9F"/>
    <w:rsid w:val="14553B17"/>
    <w:rsid w:val="14585577"/>
    <w:rsid w:val="1463591C"/>
    <w:rsid w:val="146B50E8"/>
    <w:rsid w:val="147440F0"/>
    <w:rsid w:val="148C6A0C"/>
    <w:rsid w:val="148D5E55"/>
    <w:rsid w:val="149208C7"/>
    <w:rsid w:val="14983A03"/>
    <w:rsid w:val="14A405FA"/>
    <w:rsid w:val="14A54663"/>
    <w:rsid w:val="14A81E98"/>
    <w:rsid w:val="14A96AE1"/>
    <w:rsid w:val="14B24AC5"/>
    <w:rsid w:val="14BA7E1E"/>
    <w:rsid w:val="14C03300"/>
    <w:rsid w:val="14C91E0F"/>
    <w:rsid w:val="14CB5B87"/>
    <w:rsid w:val="14CF5677"/>
    <w:rsid w:val="14D25167"/>
    <w:rsid w:val="14D56A06"/>
    <w:rsid w:val="14D709D0"/>
    <w:rsid w:val="14EA0703"/>
    <w:rsid w:val="14EB154F"/>
    <w:rsid w:val="14EB7761"/>
    <w:rsid w:val="14ED3D4F"/>
    <w:rsid w:val="14ED657B"/>
    <w:rsid w:val="14F055ED"/>
    <w:rsid w:val="14F37035"/>
    <w:rsid w:val="14F670A8"/>
    <w:rsid w:val="15011746"/>
    <w:rsid w:val="15016BF9"/>
    <w:rsid w:val="15030898"/>
    <w:rsid w:val="150B2427"/>
    <w:rsid w:val="15127C5A"/>
    <w:rsid w:val="151614F8"/>
    <w:rsid w:val="15175270"/>
    <w:rsid w:val="15190FE8"/>
    <w:rsid w:val="151921BA"/>
    <w:rsid w:val="151B4D60"/>
    <w:rsid w:val="15211C4B"/>
    <w:rsid w:val="15264D8E"/>
    <w:rsid w:val="15273705"/>
    <w:rsid w:val="152A4FA3"/>
    <w:rsid w:val="152D239E"/>
    <w:rsid w:val="15357EA3"/>
    <w:rsid w:val="15392B59"/>
    <w:rsid w:val="153B0F5F"/>
    <w:rsid w:val="1546345F"/>
    <w:rsid w:val="154D1B14"/>
    <w:rsid w:val="154E3304"/>
    <w:rsid w:val="154F67B8"/>
    <w:rsid w:val="15520056"/>
    <w:rsid w:val="155838BF"/>
    <w:rsid w:val="156009C5"/>
    <w:rsid w:val="15602773"/>
    <w:rsid w:val="156C55BC"/>
    <w:rsid w:val="156E6792"/>
    <w:rsid w:val="157533D5"/>
    <w:rsid w:val="15853F88"/>
    <w:rsid w:val="15864176"/>
    <w:rsid w:val="158A3C94"/>
    <w:rsid w:val="158B374C"/>
    <w:rsid w:val="158F3058"/>
    <w:rsid w:val="159266A5"/>
    <w:rsid w:val="159D0BDB"/>
    <w:rsid w:val="15A20FDE"/>
    <w:rsid w:val="15A9236C"/>
    <w:rsid w:val="15A9411A"/>
    <w:rsid w:val="15AF052D"/>
    <w:rsid w:val="15B12FCF"/>
    <w:rsid w:val="15B36D47"/>
    <w:rsid w:val="15B64A89"/>
    <w:rsid w:val="15CB0E82"/>
    <w:rsid w:val="15CC520E"/>
    <w:rsid w:val="15CF3FDF"/>
    <w:rsid w:val="15D32F45"/>
    <w:rsid w:val="15D46CBD"/>
    <w:rsid w:val="15DA2525"/>
    <w:rsid w:val="15E163F4"/>
    <w:rsid w:val="15E307B6"/>
    <w:rsid w:val="15E769F0"/>
    <w:rsid w:val="15EE2199"/>
    <w:rsid w:val="15EF0A40"/>
    <w:rsid w:val="15F01D49"/>
    <w:rsid w:val="15F5735F"/>
    <w:rsid w:val="15F66C34"/>
    <w:rsid w:val="15F815D5"/>
    <w:rsid w:val="15FD4181"/>
    <w:rsid w:val="16013F56"/>
    <w:rsid w:val="160550C9"/>
    <w:rsid w:val="1609105D"/>
    <w:rsid w:val="161812A0"/>
    <w:rsid w:val="16210154"/>
    <w:rsid w:val="16273291"/>
    <w:rsid w:val="162D1072"/>
    <w:rsid w:val="162D4D4B"/>
    <w:rsid w:val="163B0AEA"/>
    <w:rsid w:val="163F682C"/>
    <w:rsid w:val="164107F7"/>
    <w:rsid w:val="16421E79"/>
    <w:rsid w:val="16426A1B"/>
    <w:rsid w:val="16461969"/>
    <w:rsid w:val="164F37A5"/>
    <w:rsid w:val="165247B2"/>
    <w:rsid w:val="16526560"/>
    <w:rsid w:val="16565924"/>
    <w:rsid w:val="165D4F05"/>
    <w:rsid w:val="16677B31"/>
    <w:rsid w:val="16695657"/>
    <w:rsid w:val="166D15EC"/>
    <w:rsid w:val="166D339A"/>
    <w:rsid w:val="166E0EC0"/>
    <w:rsid w:val="167069E6"/>
    <w:rsid w:val="1676667C"/>
    <w:rsid w:val="16785E3E"/>
    <w:rsid w:val="167B24D5"/>
    <w:rsid w:val="167D6DB2"/>
    <w:rsid w:val="167F30CD"/>
    <w:rsid w:val="1683189B"/>
    <w:rsid w:val="16846935"/>
    <w:rsid w:val="168B3820"/>
    <w:rsid w:val="169054FB"/>
    <w:rsid w:val="16915190"/>
    <w:rsid w:val="16967DB1"/>
    <w:rsid w:val="1699418F"/>
    <w:rsid w:val="169C5A2D"/>
    <w:rsid w:val="169E17A5"/>
    <w:rsid w:val="16A33FF5"/>
    <w:rsid w:val="16A80D46"/>
    <w:rsid w:val="16B25250"/>
    <w:rsid w:val="16B27132"/>
    <w:rsid w:val="16B32D77"/>
    <w:rsid w:val="16B72867"/>
    <w:rsid w:val="16BF34C9"/>
    <w:rsid w:val="16CA259A"/>
    <w:rsid w:val="16CB50C6"/>
    <w:rsid w:val="16CD4B69"/>
    <w:rsid w:val="16D43419"/>
    <w:rsid w:val="16D72F09"/>
    <w:rsid w:val="16D74CB7"/>
    <w:rsid w:val="16D9050D"/>
    <w:rsid w:val="16DB090A"/>
    <w:rsid w:val="16DB47A7"/>
    <w:rsid w:val="16E0571E"/>
    <w:rsid w:val="16E66CA8"/>
    <w:rsid w:val="16E70A59"/>
    <w:rsid w:val="16EA5E33"/>
    <w:rsid w:val="16EF2001"/>
    <w:rsid w:val="170437F8"/>
    <w:rsid w:val="1705386D"/>
    <w:rsid w:val="1706559C"/>
    <w:rsid w:val="1706734A"/>
    <w:rsid w:val="1707535A"/>
    <w:rsid w:val="170A6E3A"/>
    <w:rsid w:val="171001C9"/>
    <w:rsid w:val="17101F77"/>
    <w:rsid w:val="17173305"/>
    <w:rsid w:val="171B1048"/>
    <w:rsid w:val="171B2DF6"/>
    <w:rsid w:val="171E28E6"/>
    <w:rsid w:val="172338E2"/>
    <w:rsid w:val="17247453"/>
    <w:rsid w:val="17276132"/>
    <w:rsid w:val="172D0D7B"/>
    <w:rsid w:val="17343EB7"/>
    <w:rsid w:val="17361868"/>
    <w:rsid w:val="173A1679"/>
    <w:rsid w:val="173E4D36"/>
    <w:rsid w:val="173E7FFA"/>
    <w:rsid w:val="1743234C"/>
    <w:rsid w:val="174560C4"/>
    <w:rsid w:val="17495D6E"/>
    <w:rsid w:val="17573B63"/>
    <w:rsid w:val="175828CF"/>
    <w:rsid w:val="175C56A1"/>
    <w:rsid w:val="175C5BC1"/>
    <w:rsid w:val="175C6F6A"/>
    <w:rsid w:val="175E7186"/>
    <w:rsid w:val="17614581"/>
    <w:rsid w:val="176447B4"/>
    <w:rsid w:val="176D1ABA"/>
    <w:rsid w:val="17714319"/>
    <w:rsid w:val="17760616"/>
    <w:rsid w:val="1777018B"/>
    <w:rsid w:val="177C760C"/>
    <w:rsid w:val="1782733C"/>
    <w:rsid w:val="17874176"/>
    <w:rsid w:val="17976A1E"/>
    <w:rsid w:val="17996410"/>
    <w:rsid w:val="17A271CD"/>
    <w:rsid w:val="17A54DB5"/>
    <w:rsid w:val="17AF79E2"/>
    <w:rsid w:val="17B1375A"/>
    <w:rsid w:val="17B9260F"/>
    <w:rsid w:val="17BD4979"/>
    <w:rsid w:val="17C27715"/>
    <w:rsid w:val="17C36FE9"/>
    <w:rsid w:val="17C84600"/>
    <w:rsid w:val="17CA0378"/>
    <w:rsid w:val="17CE7E68"/>
    <w:rsid w:val="17CF1E32"/>
    <w:rsid w:val="17CF3BE0"/>
    <w:rsid w:val="17CF6476"/>
    <w:rsid w:val="17D336D0"/>
    <w:rsid w:val="17D47448"/>
    <w:rsid w:val="17D82A95"/>
    <w:rsid w:val="17D905BB"/>
    <w:rsid w:val="17E01949"/>
    <w:rsid w:val="17E0430D"/>
    <w:rsid w:val="17E51656"/>
    <w:rsid w:val="17E55ACB"/>
    <w:rsid w:val="17E944F2"/>
    <w:rsid w:val="17E94CA2"/>
    <w:rsid w:val="17F02CDB"/>
    <w:rsid w:val="17F453F5"/>
    <w:rsid w:val="17F94C98"/>
    <w:rsid w:val="17FF4C2C"/>
    <w:rsid w:val="18003D99"/>
    <w:rsid w:val="18023FB5"/>
    <w:rsid w:val="18041ADC"/>
    <w:rsid w:val="18043949"/>
    <w:rsid w:val="180A2E6A"/>
    <w:rsid w:val="180A6356"/>
    <w:rsid w:val="180B0D0A"/>
    <w:rsid w:val="180B10BC"/>
    <w:rsid w:val="18194E5B"/>
    <w:rsid w:val="182C16F0"/>
    <w:rsid w:val="18333A1E"/>
    <w:rsid w:val="183D0B4A"/>
    <w:rsid w:val="183F0D66"/>
    <w:rsid w:val="18457F78"/>
    <w:rsid w:val="184A0904"/>
    <w:rsid w:val="184C3483"/>
    <w:rsid w:val="184D6F90"/>
    <w:rsid w:val="184E2D57"/>
    <w:rsid w:val="18512847"/>
    <w:rsid w:val="18522052"/>
    <w:rsid w:val="185365BF"/>
    <w:rsid w:val="185760AF"/>
    <w:rsid w:val="185A6600"/>
    <w:rsid w:val="18660C01"/>
    <w:rsid w:val="18661881"/>
    <w:rsid w:val="186E6EC7"/>
    <w:rsid w:val="18710E9B"/>
    <w:rsid w:val="187111EB"/>
    <w:rsid w:val="18763F46"/>
    <w:rsid w:val="18787DD4"/>
    <w:rsid w:val="187C3D68"/>
    <w:rsid w:val="187F5606"/>
    <w:rsid w:val="18802DD1"/>
    <w:rsid w:val="18814EDA"/>
    <w:rsid w:val="1888270D"/>
    <w:rsid w:val="188B3FAB"/>
    <w:rsid w:val="188B5D59"/>
    <w:rsid w:val="188D7D23"/>
    <w:rsid w:val="188F715A"/>
    <w:rsid w:val="18932754"/>
    <w:rsid w:val="18934C0E"/>
    <w:rsid w:val="189664AC"/>
    <w:rsid w:val="18982224"/>
    <w:rsid w:val="189A41EE"/>
    <w:rsid w:val="189F1804"/>
    <w:rsid w:val="18A03C0E"/>
    <w:rsid w:val="18A312F5"/>
    <w:rsid w:val="18A62B93"/>
    <w:rsid w:val="18A94431"/>
    <w:rsid w:val="18AA2E23"/>
    <w:rsid w:val="18B21538"/>
    <w:rsid w:val="18B563E2"/>
    <w:rsid w:val="18B76B4E"/>
    <w:rsid w:val="18B97EC3"/>
    <w:rsid w:val="18BA03EC"/>
    <w:rsid w:val="18BA663E"/>
    <w:rsid w:val="18C748B7"/>
    <w:rsid w:val="18C816C6"/>
    <w:rsid w:val="18CB43A7"/>
    <w:rsid w:val="18CE3E98"/>
    <w:rsid w:val="18CF62D0"/>
    <w:rsid w:val="18D13844"/>
    <w:rsid w:val="18D314AE"/>
    <w:rsid w:val="18DD3A8C"/>
    <w:rsid w:val="18E831AB"/>
    <w:rsid w:val="18ED431E"/>
    <w:rsid w:val="18EE62E8"/>
    <w:rsid w:val="18F11B7B"/>
    <w:rsid w:val="18F2402A"/>
    <w:rsid w:val="18F764CF"/>
    <w:rsid w:val="18F837A1"/>
    <w:rsid w:val="18F90F15"/>
    <w:rsid w:val="18F97167"/>
    <w:rsid w:val="19066B43"/>
    <w:rsid w:val="190C5EC1"/>
    <w:rsid w:val="1912647A"/>
    <w:rsid w:val="19137AFC"/>
    <w:rsid w:val="19257F5C"/>
    <w:rsid w:val="192835A8"/>
    <w:rsid w:val="19371A3D"/>
    <w:rsid w:val="19372EE4"/>
    <w:rsid w:val="193A1C8F"/>
    <w:rsid w:val="193E726F"/>
    <w:rsid w:val="19483C4A"/>
    <w:rsid w:val="194B54E8"/>
    <w:rsid w:val="194F322A"/>
    <w:rsid w:val="19524AC9"/>
    <w:rsid w:val="19573E8D"/>
    <w:rsid w:val="19575C3B"/>
    <w:rsid w:val="19632DB3"/>
    <w:rsid w:val="196565AA"/>
    <w:rsid w:val="19677F5C"/>
    <w:rsid w:val="196F7429"/>
    <w:rsid w:val="19704F4F"/>
    <w:rsid w:val="1971594C"/>
    <w:rsid w:val="197607B7"/>
    <w:rsid w:val="197611A4"/>
    <w:rsid w:val="19766A09"/>
    <w:rsid w:val="198442EB"/>
    <w:rsid w:val="198561B8"/>
    <w:rsid w:val="198649CA"/>
    <w:rsid w:val="198729C4"/>
    <w:rsid w:val="19882298"/>
    <w:rsid w:val="19906B90"/>
    <w:rsid w:val="1991739F"/>
    <w:rsid w:val="19977291"/>
    <w:rsid w:val="199B23CE"/>
    <w:rsid w:val="19A5109C"/>
    <w:rsid w:val="19A66B42"/>
    <w:rsid w:val="19A9644C"/>
    <w:rsid w:val="19A97261"/>
    <w:rsid w:val="19B1359D"/>
    <w:rsid w:val="19B50E83"/>
    <w:rsid w:val="19B7492C"/>
    <w:rsid w:val="19B80DD0"/>
    <w:rsid w:val="19B81AED"/>
    <w:rsid w:val="19BD63E6"/>
    <w:rsid w:val="19C05ED6"/>
    <w:rsid w:val="19C07C84"/>
    <w:rsid w:val="19E51499"/>
    <w:rsid w:val="19EA2F53"/>
    <w:rsid w:val="19EA4D01"/>
    <w:rsid w:val="19F67F50"/>
    <w:rsid w:val="19F811CC"/>
    <w:rsid w:val="19F8741E"/>
    <w:rsid w:val="19FD48D6"/>
    <w:rsid w:val="1A0062D3"/>
    <w:rsid w:val="1A02029D"/>
    <w:rsid w:val="1A02204B"/>
    <w:rsid w:val="1A055E0A"/>
    <w:rsid w:val="1A073B05"/>
    <w:rsid w:val="1A073FD1"/>
    <w:rsid w:val="1A0A53A3"/>
    <w:rsid w:val="1A0A7151"/>
    <w:rsid w:val="1A0C111B"/>
    <w:rsid w:val="1A0C35CC"/>
    <w:rsid w:val="1A0F6516"/>
    <w:rsid w:val="1A1324AA"/>
    <w:rsid w:val="1A206975"/>
    <w:rsid w:val="1A2226ED"/>
    <w:rsid w:val="1A3366A8"/>
    <w:rsid w:val="1A367F46"/>
    <w:rsid w:val="1A381F10"/>
    <w:rsid w:val="1A497C7A"/>
    <w:rsid w:val="1A4B1C44"/>
    <w:rsid w:val="1A512FD2"/>
    <w:rsid w:val="1A580283"/>
    <w:rsid w:val="1A5F2FF9"/>
    <w:rsid w:val="1A5F749D"/>
    <w:rsid w:val="1A6000FA"/>
    <w:rsid w:val="1A6518DB"/>
    <w:rsid w:val="1A654388"/>
    <w:rsid w:val="1A661FA5"/>
    <w:rsid w:val="1A6745A4"/>
    <w:rsid w:val="1A6751A7"/>
    <w:rsid w:val="1A6836E2"/>
    <w:rsid w:val="1A69031C"/>
    <w:rsid w:val="1A693E78"/>
    <w:rsid w:val="1A6B5635"/>
    <w:rsid w:val="1A6C1067"/>
    <w:rsid w:val="1A6E1403"/>
    <w:rsid w:val="1A6F38EB"/>
    <w:rsid w:val="1A700F33"/>
    <w:rsid w:val="1A7016AA"/>
    <w:rsid w:val="1A82318C"/>
    <w:rsid w:val="1A8C7B66"/>
    <w:rsid w:val="1A976C37"/>
    <w:rsid w:val="1AAC1FB7"/>
    <w:rsid w:val="1AB07CF9"/>
    <w:rsid w:val="1AB377E9"/>
    <w:rsid w:val="1AB66952"/>
    <w:rsid w:val="1ABA0B77"/>
    <w:rsid w:val="1ABA46D4"/>
    <w:rsid w:val="1ABD41C4"/>
    <w:rsid w:val="1AC81973"/>
    <w:rsid w:val="1ACB063E"/>
    <w:rsid w:val="1ACE63D1"/>
    <w:rsid w:val="1AD02149"/>
    <w:rsid w:val="1ADC0AEE"/>
    <w:rsid w:val="1AE654C9"/>
    <w:rsid w:val="1AE71241"/>
    <w:rsid w:val="1AEC6857"/>
    <w:rsid w:val="1AF35A9F"/>
    <w:rsid w:val="1AF93869"/>
    <w:rsid w:val="1AFF2A2E"/>
    <w:rsid w:val="1AFF658A"/>
    <w:rsid w:val="1B012302"/>
    <w:rsid w:val="1B0C42DA"/>
    <w:rsid w:val="1B132349"/>
    <w:rsid w:val="1B222279"/>
    <w:rsid w:val="1B2304CB"/>
    <w:rsid w:val="1B256925"/>
    <w:rsid w:val="1B267FBB"/>
    <w:rsid w:val="1B2B1202"/>
    <w:rsid w:val="1B2B3823"/>
    <w:rsid w:val="1B2B6E86"/>
    <w:rsid w:val="1B326960"/>
    <w:rsid w:val="1B357564"/>
    <w:rsid w:val="1B397932"/>
    <w:rsid w:val="1B3C333B"/>
    <w:rsid w:val="1B4072CF"/>
    <w:rsid w:val="1B410951"/>
    <w:rsid w:val="1B4262FD"/>
    <w:rsid w:val="1B492499"/>
    <w:rsid w:val="1B515E62"/>
    <w:rsid w:val="1B530684"/>
    <w:rsid w:val="1B56146E"/>
    <w:rsid w:val="1B574618"/>
    <w:rsid w:val="1B5946A7"/>
    <w:rsid w:val="1B5C39DD"/>
    <w:rsid w:val="1B5C7199"/>
    <w:rsid w:val="1B5E0712"/>
    <w:rsid w:val="1B5F3F43"/>
    <w:rsid w:val="1B610FF3"/>
    <w:rsid w:val="1B630EA1"/>
    <w:rsid w:val="1B670870"/>
    <w:rsid w:val="1B6805D3"/>
    <w:rsid w:val="1B682BD7"/>
    <w:rsid w:val="1B6A7668"/>
    <w:rsid w:val="1B724A8D"/>
    <w:rsid w:val="1B7C5E2D"/>
    <w:rsid w:val="1B7E1BA5"/>
    <w:rsid w:val="1B7F1479"/>
    <w:rsid w:val="1B8B1502"/>
    <w:rsid w:val="1B8D003A"/>
    <w:rsid w:val="1B960C80"/>
    <w:rsid w:val="1B997728"/>
    <w:rsid w:val="1BA57ECF"/>
    <w:rsid w:val="1BA809D0"/>
    <w:rsid w:val="1BAA4748"/>
    <w:rsid w:val="1BAF6202"/>
    <w:rsid w:val="1BB630ED"/>
    <w:rsid w:val="1BB90E2F"/>
    <w:rsid w:val="1BC54051"/>
    <w:rsid w:val="1BC752FA"/>
    <w:rsid w:val="1BCD1D08"/>
    <w:rsid w:val="1BD417C5"/>
    <w:rsid w:val="1BD45C69"/>
    <w:rsid w:val="1BD75276"/>
    <w:rsid w:val="1BDB37F6"/>
    <w:rsid w:val="1BDF353D"/>
    <w:rsid w:val="1BE0460E"/>
    <w:rsid w:val="1BE35EAC"/>
    <w:rsid w:val="1BE872A1"/>
    <w:rsid w:val="1BFB1448"/>
    <w:rsid w:val="1BFD6F6E"/>
    <w:rsid w:val="1C007D91"/>
    <w:rsid w:val="1C16002F"/>
    <w:rsid w:val="1C161DDD"/>
    <w:rsid w:val="1C164F14"/>
    <w:rsid w:val="1C18570C"/>
    <w:rsid w:val="1C1A7A3A"/>
    <w:rsid w:val="1C1D1215"/>
    <w:rsid w:val="1C1E0C92"/>
    <w:rsid w:val="1C1E6277"/>
    <w:rsid w:val="1C26041A"/>
    <w:rsid w:val="1C2D3246"/>
    <w:rsid w:val="1C2E1720"/>
    <w:rsid w:val="1C2E5D6C"/>
    <w:rsid w:val="1C3861F8"/>
    <w:rsid w:val="1C4701E9"/>
    <w:rsid w:val="1C4B0644"/>
    <w:rsid w:val="1C4B6A21"/>
    <w:rsid w:val="1C4D4B36"/>
    <w:rsid w:val="1C4F6411"/>
    <w:rsid w:val="1C5046FF"/>
    <w:rsid w:val="1C5172BA"/>
    <w:rsid w:val="1C5237EF"/>
    <w:rsid w:val="1C5F19D6"/>
    <w:rsid w:val="1C672126"/>
    <w:rsid w:val="1C6C5EA1"/>
    <w:rsid w:val="1C706320"/>
    <w:rsid w:val="1C750501"/>
    <w:rsid w:val="1C752FA8"/>
    <w:rsid w:val="1C76645C"/>
    <w:rsid w:val="1C7879D5"/>
    <w:rsid w:val="1C821221"/>
    <w:rsid w:val="1C830E2A"/>
    <w:rsid w:val="1C895236"/>
    <w:rsid w:val="1C896A53"/>
    <w:rsid w:val="1C8A7B40"/>
    <w:rsid w:val="1C8B27CB"/>
    <w:rsid w:val="1C8F65DD"/>
    <w:rsid w:val="1C963AC5"/>
    <w:rsid w:val="1C986C96"/>
    <w:rsid w:val="1CA07649"/>
    <w:rsid w:val="1CA552DF"/>
    <w:rsid w:val="1CA67605"/>
    <w:rsid w:val="1CA70C88"/>
    <w:rsid w:val="1CAB4C1C"/>
    <w:rsid w:val="1CB82E95"/>
    <w:rsid w:val="1CBA09BB"/>
    <w:rsid w:val="1CBD494F"/>
    <w:rsid w:val="1CC31A6E"/>
    <w:rsid w:val="1CC61A56"/>
    <w:rsid w:val="1CC651D8"/>
    <w:rsid w:val="1CCE26B8"/>
    <w:rsid w:val="1CD37CCF"/>
    <w:rsid w:val="1CD40220"/>
    <w:rsid w:val="1CD5442F"/>
    <w:rsid w:val="1CE819CC"/>
    <w:rsid w:val="1CF87735"/>
    <w:rsid w:val="1CFF3FD0"/>
    <w:rsid w:val="1D04432C"/>
    <w:rsid w:val="1D0460DA"/>
    <w:rsid w:val="1D081E29"/>
    <w:rsid w:val="1D083E1C"/>
    <w:rsid w:val="1D091942"/>
    <w:rsid w:val="1D097B94"/>
    <w:rsid w:val="1D0B7468"/>
    <w:rsid w:val="1D134F1F"/>
    <w:rsid w:val="1D1618E9"/>
    <w:rsid w:val="1D1B4B41"/>
    <w:rsid w:val="1D1C3424"/>
    <w:rsid w:val="1D1E53EE"/>
    <w:rsid w:val="1D2912B5"/>
    <w:rsid w:val="1D3249F5"/>
    <w:rsid w:val="1D34223E"/>
    <w:rsid w:val="1D3A155A"/>
    <w:rsid w:val="1D3A5FA0"/>
    <w:rsid w:val="1D434E54"/>
    <w:rsid w:val="1D4B1F5B"/>
    <w:rsid w:val="1D4D5CD3"/>
    <w:rsid w:val="1D4E673D"/>
    <w:rsid w:val="1D525097"/>
    <w:rsid w:val="1D6F55A4"/>
    <w:rsid w:val="1D792624"/>
    <w:rsid w:val="1D7C2114"/>
    <w:rsid w:val="1D7C3EC2"/>
    <w:rsid w:val="1D7E40DE"/>
    <w:rsid w:val="1D7F1871"/>
    <w:rsid w:val="1D8075EC"/>
    <w:rsid w:val="1D83787A"/>
    <w:rsid w:val="1D864D41"/>
    <w:rsid w:val="1D884F5D"/>
    <w:rsid w:val="1D94745E"/>
    <w:rsid w:val="1D947594"/>
    <w:rsid w:val="1D9531D6"/>
    <w:rsid w:val="1D96470A"/>
    <w:rsid w:val="1D9B5B7E"/>
    <w:rsid w:val="1D9E02DC"/>
    <w:rsid w:val="1DA23326"/>
    <w:rsid w:val="1DA376A1"/>
    <w:rsid w:val="1DA52E33"/>
    <w:rsid w:val="1DAA6C81"/>
    <w:rsid w:val="1DAB29F9"/>
    <w:rsid w:val="1DAC0C4B"/>
    <w:rsid w:val="1DB16262"/>
    <w:rsid w:val="1DBC650F"/>
    <w:rsid w:val="1DC00253"/>
    <w:rsid w:val="1DC835AB"/>
    <w:rsid w:val="1DD102DC"/>
    <w:rsid w:val="1DD15853"/>
    <w:rsid w:val="1DD7559C"/>
    <w:rsid w:val="1DDB48FA"/>
    <w:rsid w:val="1DDC2BB3"/>
    <w:rsid w:val="1DEA058B"/>
    <w:rsid w:val="1DF20628"/>
    <w:rsid w:val="1DF4614E"/>
    <w:rsid w:val="1DF779ED"/>
    <w:rsid w:val="1DF83E91"/>
    <w:rsid w:val="1DFD6E7B"/>
    <w:rsid w:val="1E0028BC"/>
    <w:rsid w:val="1E0740D4"/>
    <w:rsid w:val="1E0A3BC4"/>
    <w:rsid w:val="1E0B0E08"/>
    <w:rsid w:val="1E0D0FBE"/>
    <w:rsid w:val="1E0D4BB8"/>
    <w:rsid w:val="1E0F34E6"/>
    <w:rsid w:val="1E1E141D"/>
    <w:rsid w:val="1E2766A0"/>
    <w:rsid w:val="1E2834BA"/>
    <w:rsid w:val="1E295ACF"/>
    <w:rsid w:val="1E2C078D"/>
    <w:rsid w:val="1E3173A3"/>
    <w:rsid w:val="1E37428D"/>
    <w:rsid w:val="1E452429"/>
    <w:rsid w:val="1E470974"/>
    <w:rsid w:val="1E4744D0"/>
    <w:rsid w:val="1E4B0C15"/>
    <w:rsid w:val="1E4B1135"/>
    <w:rsid w:val="1E546BED"/>
    <w:rsid w:val="1E59323C"/>
    <w:rsid w:val="1E635082"/>
    <w:rsid w:val="1E6741BB"/>
    <w:rsid w:val="1E675D84"/>
    <w:rsid w:val="1E6F3A27"/>
    <w:rsid w:val="1E731769"/>
    <w:rsid w:val="1E734D0E"/>
    <w:rsid w:val="1E74728F"/>
    <w:rsid w:val="1E766B63"/>
    <w:rsid w:val="1E766C61"/>
    <w:rsid w:val="1E804ED9"/>
    <w:rsid w:val="1E82375A"/>
    <w:rsid w:val="1E8279E7"/>
    <w:rsid w:val="1E85324A"/>
    <w:rsid w:val="1E894AE9"/>
    <w:rsid w:val="1E8A6AB3"/>
    <w:rsid w:val="1E90231B"/>
    <w:rsid w:val="1E93077E"/>
    <w:rsid w:val="1E9E60BA"/>
    <w:rsid w:val="1E9F255E"/>
    <w:rsid w:val="1EA25BAA"/>
    <w:rsid w:val="1EA96F39"/>
    <w:rsid w:val="1EAB6ADD"/>
    <w:rsid w:val="1EB109E6"/>
    <w:rsid w:val="1EB1403F"/>
    <w:rsid w:val="1ECC4093"/>
    <w:rsid w:val="1ECE2E43"/>
    <w:rsid w:val="1EEA133D"/>
    <w:rsid w:val="1EEB57A3"/>
    <w:rsid w:val="1EEC7EF9"/>
    <w:rsid w:val="1EFA20E0"/>
    <w:rsid w:val="1EFD54D7"/>
    <w:rsid w:val="1F0223E5"/>
    <w:rsid w:val="1F095C2A"/>
    <w:rsid w:val="1F0B19A2"/>
    <w:rsid w:val="1F100D66"/>
    <w:rsid w:val="1F2667DB"/>
    <w:rsid w:val="1F29007A"/>
    <w:rsid w:val="1F291E28"/>
    <w:rsid w:val="1F310CB4"/>
    <w:rsid w:val="1F356A1F"/>
    <w:rsid w:val="1F374545"/>
    <w:rsid w:val="1F38206B"/>
    <w:rsid w:val="1F3A2287"/>
    <w:rsid w:val="1F3D58D3"/>
    <w:rsid w:val="1F3F579E"/>
    <w:rsid w:val="1F4419EA"/>
    <w:rsid w:val="1F443106"/>
    <w:rsid w:val="1F4711E8"/>
    <w:rsid w:val="1F4849A4"/>
    <w:rsid w:val="1F4D1FBA"/>
    <w:rsid w:val="1F4D3D68"/>
    <w:rsid w:val="1F520AA7"/>
    <w:rsid w:val="1F536EA5"/>
    <w:rsid w:val="1F572E39"/>
    <w:rsid w:val="1F6E1F30"/>
    <w:rsid w:val="1F732439"/>
    <w:rsid w:val="1F78690B"/>
    <w:rsid w:val="1F7D3F22"/>
    <w:rsid w:val="1F847365"/>
    <w:rsid w:val="1F86727A"/>
    <w:rsid w:val="1F903C55"/>
    <w:rsid w:val="1F941997"/>
    <w:rsid w:val="1F974FE3"/>
    <w:rsid w:val="1FA47700"/>
    <w:rsid w:val="1FAD2A59"/>
    <w:rsid w:val="1FB01F8D"/>
    <w:rsid w:val="1FB2006F"/>
    <w:rsid w:val="1FB62CA9"/>
    <w:rsid w:val="1FBB735E"/>
    <w:rsid w:val="1FBC219E"/>
    <w:rsid w:val="1FBE3F62"/>
    <w:rsid w:val="1FC14756"/>
    <w:rsid w:val="1FC87893"/>
    <w:rsid w:val="1FCA53B9"/>
    <w:rsid w:val="1FCB2EDF"/>
    <w:rsid w:val="1FCF29CF"/>
    <w:rsid w:val="1FCF567D"/>
    <w:rsid w:val="1FD55B0C"/>
    <w:rsid w:val="1FE346CD"/>
    <w:rsid w:val="1FEA15B7"/>
    <w:rsid w:val="1FEB532F"/>
    <w:rsid w:val="1FED3359"/>
    <w:rsid w:val="1FFC12EA"/>
    <w:rsid w:val="1FFFC3A2"/>
    <w:rsid w:val="20052711"/>
    <w:rsid w:val="200A7EAB"/>
    <w:rsid w:val="200F794B"/>
    <w:rsid w:val="20124FB2"/>
    <w:rsid w:val="20192A20"/>
    <w:rsid w:val="201B3E66"/>
    <w:rsid w:val="201C3240"/>
    <w:rsid w:val="201C373B"/>
    <w:rsid w:val="201E5705"/>
    <w:rsid w:val="2023494E"/>
    <w:rsid w:val="20254CE5"/>
    <w:rsid w:val="202F7912"/>
    <w:rsid w:val="20346CD6"/>
    <w:rsid w:val="203926EA"/>
    <w:rsid w:val="203D1E1B"/>
    <w:rsid w:val="203E7B55"/>
    <w:rsid w:val="20472821"/>
    <w:rsid w:val="20484530"/>
    <w:rsid w:val="20485E60"/>
    <w:rsid w:val="204D01CF"/>
    <w:rsid w:val="205166AD"/>
    <w:rsid w:val="20547378"/>
    <w:rsid w:val="20580C17"/>
    <w:rsid w:val="20586E69"/>
    <w:rsid w:val="205D622D"/>
    <w:rsid w:val="205E1FA5"/>
    <w:rsid w:val="206979A8"/>
    <w:rsid w:val="206C46C2"/>
    <w:rsid w:val="206C6470"/>
    <w:rsid w:val="206E043A"/>
    <w:rsid w:val="206E2046"/>
    <w:rsid w:val="206F5F60"/>
    <w:rsid w:val="20717F2A"/>
    <w:rsid w:val="20740EA1"/>
    <w:rsid w:val="207601C9"/>
    <w:rsid w:val="207812B9"/>
    <w:rsid w:val="207B4905"/>
    <w:rsid w:val="207D067D"/>
    <w:rsid w:val="20865253"/>
    <w:rsid w:val="20887022"/>
    <w:rsid w:val="208A4B48"/>
    <w:rsid w:val="209334BC"/>
    <w:rsid w:val="20964B96"/>
    <w:rsid w:val="209812E5"/>
    <w:rsid w:val="209D4F4E"/>
    <w:rsid w:val="209F6845"/>
    <w:rsid w:val="20A31A23"/>
    <w:rsid w:val="20A7794A"/>
    <w:rsid w:val="20AA3067"/>
    <w:rsid w:val="20AC528D"/>
    <w:rsid w:val="20B15F2E"/>
    <w:rsid w:val="20BC5287"/>
    <w:rsid w:val="20BD3C4E"/>
    <w:rsid w:val="20BE47F2"/>
    <w:rsid w:val="20C36FA1"/>
    <w:rsid w:val="20C91B14"/>
    <w:rsid w:val="20C95670"/>
    <w:rsid w:val="20CA763A"/>
    <w:rsid w:val="20CB6718"/>
    <w:rsid w:val="20CC5914"/>
    <w:rsid w:val="20D42EA6"/>
    <w:rsid w:val="20E12061"/>
    <w:rsid w:val="20E44203"/>
    <w:rsid w:val="20E83750"/>
    <w:rsid w:val="20E83C71"/>
    <w:rsid w:val="20E97AC1"/>
    <w:rsid w:val="20EB6D9B"/>
    <w:rsid w:val="20EE3329"/>
    <w:rsid w:val="20F3093F"/>
    <w:rsid w:val="20FA7F20"/>
    <w:rsid w:val="20FC3C98"/>
    <w:rsid w:val="20FD356C"/>
    <w:rsid w:val="21022930"/>
    <w:rsid w:val="210C7C53"/>
    <w:rsid w:val="21130FE1"/>
    <w:rsid w:val="21141A65"/>
    <w:rsid w:val="211865F8"/>
    <w:rsid w:val="21263A30"/>
    <w:rsid w:val="21274A8D"/>
    <w:rsid w:val="212925B3"/>
    <w:rsid w:val="212B00D9"/>
    <w:rsid w:val="21325751"/>
    <w:rsid w:val="21394E12"/>
    <w:rsid w:val="213B6C52"/>
    <w:rsid w:val="213C22E6"/>
    <w:rsid w:val="215238B8"/>
    <w:rsid w:val="21562C7C"/>
    <w:rsid w:val="215D04AF"/>
    <w:rsid w:val="215D18CA"/>
    <w:rsid w:val="215D400B"/>
    <w:rsid w:val="215D5774"/>
    <w:rsid w:val="21611D4D"/>
    <w:rsid w:val="21617F9F"/>
    <w:rsid w:val="21667363"/>
    <w:rsid w:val="21691B92"/>
    <w:rsid w:val="216D6944"/>
    <w:rsid w:val="216E1E94"/>
    <w:rsid w:val="21731A80"/>
    <w:rsid w:val="217607C6"/>
    <w:rsid w:val="217A2E0F"/>
    <w:rsid w:val="217B23A3"/>
    <w:rsid w:val="217C6B87"/>
    <w:rsid w:val="217D46AD"/>
    <w:rsid w:val="218E5F13"/>
    <w:rsid w:val="218E68BA"/>
    <w:rsid w:val="21964D05"/>
    <w:rsid w:val="21993CAD"/>
    <w:rsid w:val="219A2490"/>
    <w:rsid w:val="219D0E63"/>
    <w:rsid w:val="219E4D4F"/>
    <w:rsid w:val="219E6788"/>
    <w:rsid w:val="219F0AC7"/>
    <w:rsid w:val="219F2E9B"/>
    <w:rsid w:val="21A32365"/>
    <w:rsid w:val="21A954A2"/>
    <w:rsid w:val="21AB2FC8"/>
    <w:rsid w:val="21B437E0"/>
    <w:rsid w:val="21B634AE"/>
    <w:rsid w:val="21B856E5"/>
    <w:rsid w:val="21BA145D"/>
    <w:rsid w:val="21BC51D5"/>
    <w:rsid w:val="21C127EB"/>
    <w:rsid w:val="21C67E02"/>
    <w:rsid w:val="21C83B7A"/>
    <w:rsid w:val="21CF4F08"/>
    <w:rsid w:val="21D14CAB"/>
    <w:rsid w:val="21D520B1"/>
    <w:rsid w:val="21D544E9"/>
    <w:rsid w:val="21DF0B9E"/>
    <w:rsid w:val="21E169EA"/>
    <w:rsid w:val="21E33B48"/>
    <w:rsid w:val="21E5472C"/>
    <w:rsid w:val="21F11323"/>
    <w:rsid w:val="21F52068"/>
    <w:rsid w:val="21FA5CFD"/>
    <w:rsid w:val="21FC7B27"/>
    <w:rsid w:val="21FE01EB"/>
    <w:rsid w:val="22023A3F"/>
    <w:rsid w:val="2208666C"/>
    <w:rsid w:val="22097CEF"/>
    <w:rsid w:val="220A5F40"/>
    <w:rsid w:val="220B3A67"/>
    <w:rsid w:val="22140B6D"/>
    <w:rsid w:val="221C2118"/>
    <w:rsid w:val="222039B6"/>
    <w:rsid w:val="22252D7A"/>
    <w:rsid w:val="222F70DD"/>
    <w:rsid w:val="2230342E"/>
    <w:rsid w:val="22333947"/>
    <w:rsid w:val="223453FD"/>
    <w:rsid w:val="223905D4"/>
    <w:rsid w:val="223E3E3C"/>
    <w:rsid w:val="2245341D"/>
    <w:rsid w:val="224C6559"/>
    <w:rsid w:val="22590C76"/>
    <w:rsid w:val="225C42C2"/>
    <w:rsid w:val="226118D9"/>
    <w:rsid w:val="226338A3"/>
    <w:rsid w:val="226C09A9"/>
    <w:rsid w:val="226C6BFB"/>
    <w:rsid w:val="226F4570"/>
    <w:rsid w:val="22721A61"/>
    <w:rsid w:val="22744FF7"/>
    <w:rsid w:val="22765384"/>
    <w:rsid w:val="227710FC"/>
    <w:rsid w:val="227855A0"/>
    <w:rsid w:val="22791318"/>
    <w:rsid w:val="227B0BEC"/>
    <w:rsid w:val="227B4222"/>
    <w:rsid w:val="227D2BB6"/>
    <w:rsid w:val="227D6B74"/>
    <w:rsid w:val="228B08AF"/>
    <w:rsid w:val="228C4BA7"/>
    <w:rsid w:val="229121BE"/>
    <w:rsid w:val="229B4DEB"/>
    <w:rsid w:val="229E2B2D"/>
    <w:rsid w:val="229F2122"/>
    <w:rsid w:val="22A31EF1"/>
    <w:rsid w:val="22A719E1"/>
    <w:rsid w:val="22A77C33"/>
    <w:rsid w:val="22AD4B1E"/>
    <w:rsid w:val="22B12860"/>
    <w:rsid w:val="22B45EAC"/>
    <w:rsid w:val="22C205C9"/>
    <w:rsid w:val="22C407E5"/>
    <w:rsid w:val="22C96F20"/>
    <w:rsid w:val="22CF2CE6"/>
    <w:rsid w:val="22D27462"/>
    <w:rsid w:val="22D569A0"/>
    <w:rsid w:val="22D60519"/>
    <w:rsid w:val="22D87DED"/>
    <w:rsid w:val="22E33D47"/>
    <w:rsid w:val="22E449E3"/>
    <w:rsid w:val="22EA5CE4"/>
    <w:rsid w:val="22EF73B1"/>
    <w:rsid w:val="22F466B7"/>
    <w:rsid w:val="22FF7904"/>
    <w:rsid w:val="2309269C"/>
    <w:rsid w:val="230F7587"/>
    <w:rsid w:val="231352C9"/>
    <w:rsid w:val="231921B3"/>
    <w:rsid w:val="231A15C5"/>
    <w:rsid w:val="231B23CF"/>
    <w:rsid w:val="23203542"/>
    <w:rsid w:val="23205AE3"/>
    <w:rsid w:val="232079E6"/>
    <w:rsid w:val="23213F89"/>
    <w:rsid w:val="23240E85"/>
    <w:rsid w:val="2329689A"/>
    <w:rsid w:val="232B0864"/>
    <w:rsid w:val="232B2612"/>
    <w:rsid w:val="2331574F"/>
    <w:rsid w:val="233E1464"/>
    <w:rsid w:val="23404A07"/>
    <w:rsid w:val="235B27CC"/>
    <w:rsid w:val="236475A9"/>
    <w:rsid w:val="2366189C"/>
    <w:rsid w:val="236723EA"/>
    <w:rsid w:val="2369138D"/>
    <w:rsid w:val="236E0751"/>
    <w:rsid w:val="2378512C"/>
    <w:rsid w:val="237D0994"/>
    <w:rsid w:val="23847F75"/>
    <w:rsid w:val="238654DF"/>
    <w:rsid w:val="238C776A"/>
    <w:rsid w:val="238E494F"/>
    <w:rsid w:val="23A233FC"/>
    <w:rsid w:val="23A66992"/>
    <w:rsid w:val="23A72D1A"/>
    <w:rsid w:val="23A83C63"/>
    <w:rsid w:val="23A841AA"/>
    <w:rsid w:val="23BE2382"/>
    <w:rsid w:val="23C16AD3"/>
    <w:rsid w:val="23C245F9"/>
    <w:rsid w:val="23C55EAD"/>
    <w:rsid w:val="23C810E5"/>
    <w:rsid w:val="23C87E61"/>
    <w:rsid w:val="23CB015D"/>
    <w:rsid w:val="23CD2307"/>
    <w:rsid w:val="23D24BDB"/>
    <w:rsid w:val="23D63FF3"/>
    <w:rsid w:val="23D8675A"/>
    <w:rsid w:val="23D902C0"/>
    <w:rsid w:val="23D9206E"/>
    <w:rsid w:val="23DE2DD5"/>
    <w:rsid w:val="23DE2F8B"/>
    <w:rsid w:val="23DF53AF"/>
    <w:rsid w:val="23E308F6"/>
    <w:rsid w:val="23E45806"/>
    <w:rsid w:val="23E629DD"/>
    <w:rsid w:val="23E822B1"/>
    <w:rsid w:val="23E86AE3"/>
    <w:rsid w:val="23F073B8"/>
    <w:rsid w:val="23F6340C"/>
    <w:rsid w:val="23FF584D"/>
    <w:rsid w:val="24092228"/>
    <w:rsid w:val="240A73B4"/>
    <w:rsid w:val="24150BCD"/>
    <w:rsid w:val="24172B97"/>
    <w:rsid w:val="241D0191"/>
    <w:rsid w:val="24207C9D"/>
    <w:rsid w:val="242157C3"/>
    <w:rsid w:val="24253506"/>
    <w:rsid w:val="24260A61"/>
    <w:rsid w:val="24266C9B"/>
    <w:rsid w:val="2438765C"/>
    <w:rsid w:val="243908E8"/>
    <w:rsid w:val="243A0EE4"/>
    <w:rsid w:val="243D4481"/>
    <w:rsid w:val="243E0123"/>
    <w:rsid w:val="2443573A"/>
    <w:rsid w:val="24480FA2"/>
    <w:rsid w:val="244F252C"/>
    <w:rsid w:val="244F40DF"/>
    <w:rsid w:val="245142FB"/>
    <w:rsid w:val="245941AB"/>
    <w:rsid w:val="245B2DEE"/>
    <w:rsid w:val="245B6F27"/>
    <w:rsid w:val="24613E12"/>
    <w:rsid w:val="24651B54"/>
    <w:rsid w:val="2466767A"/>
    <w:rsid w:val="2467660B"/>
    <w:rsid w:val="246B4C91"/>
    <w:rsid w:val="246D3A9C"/>
    <w:rsid w:val="2478506B"/>
    <w:rsid w:val="247C7268"/>
    <w:rsid w:val="247E2C16"/>
    <w:rsid w:val="249146F7"/>
    <w:rsid w:val="2492221D"/>
    <w:rsid w:val="24973CD7"/>
    <w:rsid w:val="24975A86"/>
    <w:rsid w:val="249D355D"/>
    <w:rsid w:val="24A00092"/>
    <w:rsid w:val="24A106B2"/>
    <w:rsid w:val="24A66AD5"/>
    <w:rsid w:val="24A96F54"/>
    <w:rsid w:val="24AC09BE"/>
    <w:rsid w:val="24AF7273"/>
    <w:rsid w:val="24B07B87"/>
    <w:rsid w:val="24B14D99"/>
    <w:rsid w:val="24BD373E"/>
    <w:rsid w:val="24BE3012"/>
    <w:rsid w:val="24BE74B6"/>
    <w:rsid w:val="24C24B6D"/>
    <w:rsid w:val="24C6060B"/>
    <w:rsid w:val="24CA19B7"/>
    <w:rsid w:val="24D40A88"/>
    <w:rsid w:val="24D42836"/>
    <w:rsid w:val="24E07603"/>
    <w:rsid w:val="24E231A5"/>
    <w:rsid w:val="24E24157"/>
    <w:rsid w:val="24E46F1D"/>
    <w:rsid w:val="24EB7C26"/>
    <w:rsid w:val="24EC7DDA"/>
    <w:rsid w:val="24ED38F7"/>
    <w:rsid w:val="24F363FF"/>
    <w:rsid w:val="24F6231C"/>
    <w:rsid w:val="24FC618E"/>
    <w:rsid w:val="24FF3D57"/>
    <w:rsid w:val="250023CA"/>
    <w:rsid w:val="25050C41"/>
    <w:rsid w:val="250824DF"/>
    <w:rsid w:val="25095BC1"/>
    <w:rsid w:val="25096983"/>
    <w:rsid w:val="250D59BB"/>
    <w:rsid w:val="251A2FF7"/>
    <w:rsid w:val="251E4B43"/>
    <w:rsid w:val="251F61A7"/>
    <w:rsid w:val="252717F0"/>
    <w:rsid w:val="252A35C3"/>
    <w:rsid w:val="25333A00"/>
    <w:rsid w:val="253357AE"/>
    <w:rsid w:val="2535374E"/>
    <w:rsid w:val="25382DC5"/>
    <w:rsid w:val="25404894"/>
    <w:rsid w:val="25406175"/>
    <w:rsid w:val="254774AC"/>
    <w:rsid w:val="254E083A"/>
    <w:rsid w:val="25515515"/>
    <w:rsid w:val="255319AC"/>
    <w:rsid w:val="25545BB7"/>
    <w:rsid w:val="2558779F"/>
    <w:rsid w:val="256C0CC0"/>
    <w:rsid w:val="258318D8"/>
    <w:rsid w:val="25856DB8"/>
    <w:rsid w:val="258636AA"/>
    <w:rsid w:val="25875AFA"/>
    <w:rsid w:val="2589388C"/>
    <w:rsid w:val="258C4EBE"/>
    <w:rsid w:val="25902C01"/>
    <w:rsid w:val="25911A7F"/>
    <w:rsid w:val="25951FC5"/>
    <w:rsid w:val="259B3353"/>
    <w:rsid w:val="259D77A2"/>
    <w:rsid w:val="25A367BA"/>
    <w:rsid w:val="25A62A7B"/>
    <w:rsid w:val="25A7113C"/>
    <w:rsid w:val="25A77F4A"/>
    <w:rsid w:val="25AB0E64"/>
    <w:rsid w:val="25AE12D9"/>
    <w:rsid w:val="25BC1C48"/>
    <w:rsid w:val="25BE6E30"/>
    <w:rsid w:val="25BE7872"/>
    <w:rsid w:val="25BF5294"/>
    <w:rsid w:val="25C32FD6"/>
    <w:rsid w:val="25CA6E09"/>
    <w:rsid w:val="25CC1B65"/>
    <w:rsid w:val="25D1078D"/>
    <w:rsid w:val="25D21167"/>
    <w:rsid w:val="25D30D3F"/>
    <w:rsid w:val="25D75396"/>
    <w:rsid w:val="25DE4C6C"/>
    <w:rsid w:val="25E46F80"/>
    <w:rsid w:val="25E60A73"/>
    <w:rsid w:val="25E76599"/>
    <w:rsid w:val="25EA5D3C"/>
    <w:rsid w:val="25EC3BAF"/>
    <w:rsid w:val="25F120E5"/>
    <w:rsid w:val="25FA6A8B"/>
    <w:rsid w:val="25FE400E"/>
    <w:rsid w:val="260158AC"/>
    <w:rsid w:val="26086C3B"/>
    <w:rsid w:val="260D5FFF"/>
    <w:rsid w:val="26121868"/>
    <w:rsid w:val="261255FF"/>
    <w:rsid w:val="2613738E"/>
    <w:rsid w:val="261849A4"/>
    <w:rsid w:val="26192BF6"/>
    <w:rsid w:val="26195EA4"/>
    <w:rsid w:val="261A071C"/>
    <w:rsid w:val="261A4BC0"/>
    <w:rsid w:val="261E020C"/>
    <w:rsid w:val="262A4917"/>
    <w:rsid w:val="262E41C8"/>
    <w:rsid w:val="262F241A"/>
    <w:rsid w:val="2630419C"/>
    <w:rsid w:val="263316E0"/>
    <w:rsid w:val="26350999"/>
    <w:rsid w:val="26437C73"/>
    <w:rsid w:val="26487037"/>
    <w:rsid w:val="2649655F"/>
    <w:rsid w:val="264D6D44"/>
    <w:rsid w:val="264E5144"/>
    <w:rsid w:val="2650632F"/>
    <w:rsid w:val="26541209"/>
    <w:rsid w:val="265579A6"/>
    <w:rsid w:val="26575875"/>
    <w:rsid w:val="265E07A1"/>
    <w:rsid w:val="265E7BA5"/>
    <w:rsid w:val="265F25D3"/>
    <w:rsid w:val="2661459D"/>
    <w:rsid w:val="26622587"/>
    <w:rsid w:val="2675144D"/>
    <w:rsid w:val="26793695"/>
    <w:rsid w:val="26795443"/>
    <w:rsid w:val="267C3185"/>
    <w:rsid w:val="267E0CAB"/>
    <w:rsid w:val="26802C75"/>
    <w:rsid w:val="2683772A"/>
    <w:rsid w:val="26865AF9"/>
    <w:rsid w:val="268C062B"/>
    <w:rsid w:val="26907D87"/>
    <w:rsid w:val="26914E82"/>
    <w:rsid w:val="26924756"/>
    <w:rsid w:val="26955359"/>
    <w:rsid w:val="269B185D"/>
    <w:rsid w:val="269B7AAF"/>
    <w:rsid w:val="26AA5F44"/>
    <w:rsid w:val="26B11081"/>
    <w:rsid w:val="26B97F35"/>
    <w:rsid w:val="26C22739"/>
    <w:rsid w:val="26C412B6"/>
    <w:rsid w:val="26C60F0E"/>
    <w:rsid w:val="26CC5EBA"/>
    <w:rsid w:val="26D22DA5"/>
    <w:rsid w:val="26D27249"/>
    <w:rsid w:val="26D61C29"/>
    <w:rsid w:val="26D905D7"/>
    <w:rsid w:val="26DB434F"/>
    <w:rsid w:val="26DB7EAB"/>
    <w:rsid w:val="26E256DE"/>
    <w:rsid w:val="26E50D2A"/>
    <w:rsid w:val="26E52183"/>
    <w:rsid w:val="26EF01C1"/>
    <w:rsid w:val="26F35BD2"/>
    <w:rsid w:val="26F717B3"/>
    <w:rsid w:val="26F947D6"/>
    <w:rsid w:val="270A6E8A"/>
    <w:rsid w:val="270D763E"/>
    <w:rsid w:val="27160EE4"/>
    <w:rsid w:val="27165388"/>
    <w:rsid w:val="271D6716"/>
    <w:rsid w:val="271E423C"/>
    <w:rsid w:val="27257379"/>
    <w:rsid w:val="272924A0"/>
    <w:rsid w:val="27297035"/>
    <w:rsid w:val="272E5539"/>
    <w:rsid w:val="27335F39"/>
    <w:rsid w:val="273911D2"/>
    <w:rsid w:val="273A72C8"/>
    <w:rsid w:val="273B3040"/>
    <w:rsid w:val="273B6970"/>
    <w:rsid w:val="273B6E85"/>
    <w:rsid w:val="273F5F9F"/>
    <w:rsid w:val="27441EF5"/>
    <w:rsid w:val="274E53E9"/>
    <w:rsid w:val="275814FC"/>
    <w:rsid w:val="27606603"/>
    <w:rsid w:val="27653C19"/>
    <w:rsid w:val="276D792E"/>
    <w:rsid w:val="27702CEA"/>
    <w:rsid w:val="277135E0"/>
    <w:rsid w:val="277B51EB"/>
    <w:rsid w:val="277F5534"/>
    <w:rsid w:val="27803CBC"/>
    <w:rsid w:val="27814EF7"/>
    <w:rsid w:val="278E4F1E"/>
    <w:rsid w:val="278F1B32"/>
    <w:rsid w:val="27906EE8"/>
    <w:rsid w:val="27957A90"/>
    <w:rsid w:val="27977369"/>
    <w:rsid w:val="279B3ADF"/>
    <w:rsid w:val="27A110F5"/>
    <w:rsid w:val="27A374F0"/>
    <w:rsid w:val="27AA5AD0"/>
    <w:rsid w:val="27AB1F74"/>
    <w:rsid w:val="27AE3812"/>
    <w:rsid w:val="27AE7A61"/>
    <w:rsid w:val="27B106F9"/>
    <w:rsid w:val="27B92902"/>
    <w:rsid w:val="27BB0BF2"/>
    <w:rsid w:val="27BF77CD"/>
    <w:rsid w:val="27C941A8"/>
    <w:rsid w:val="27D17500"/>
    <w:rsid w:val="27D52B4D"/>
    <w:rsid w:val="27D75B9B"/>
    <w:rsid w:val="27DC212D"/>
    <w:rsid w:val="27E261BD"/>
    <w:rsid w:val="27E67AFE"/>
    <w:rsid w:val="27E72880"/>
    <w:rsid w:val="27EB4340"/>
    <w:rsid w:val="27F136FF"/>
    <w:rsid w:val="27F21951"/>
    <w:rsid w:val="27F31225"/>
    <w:rsid w:val="27F531EF"/>
    <w:rsid w:val="27F84A8D"/>
    <w:rsid w:val="27F8683B"/>
    <w:rsid w:val="27FC632B"/>
    <w:rsid w:val="27FD412F"/>
    <w:rsid w:val="27FF5E1C"/>
    <w:rsid w:val="280D1C94"/>
    <w:rsid w:val="281713B7"/>
    <w:rsid w:val="28221B0A"/>
    <w:rsid w:val="28235FAE"/>
    <w:rsid w:val="2826784C"/>
    <w:rsid w:val="28285372"/>
    <w:rsid w:val="28292E99"/>
    <w:rsid w:val="282B71AD"/>
    <w:rsid w:val="283304B4"/>
    <w:rsid w:val="284303FE"/>
    <w:rsid w:val="28485A15"/>
    <w:rsid w:val="284F6DA3"/>
    <w:rsid w:val="285C326E"/>
    <w:rsid w:val="285C6DCA"/>
    <w:rsid w:val="285E0D94"/>
    <w:rsid w:val="28616AD6"/>
    <w:rsid w:val="28681C13"/>
    <w:rsid w:val="286D547B"/>
    <w:rsid w:val="286F11F3"/>
    <w:rsid w:val="286F3285"/>
    <w:rsid w:val="28722A91"/>
    <w:rsid w:val="28724840"/>
    <w:rsid w:val="288051AE"/>
    <w:rsid w:val="28887BBF"/>
    <w:rsid w:val="288B3B53"/>
    <w:rsid w:val="28902F18"/>
    <w:rsid w:val="28924EE2"/>
    <w:rsid w:val="289742A6"/>
    <w:rsid w:val="28976054"/>
    <w:rsid w:val="289C7B0E"/>
    <w:rsid w:val="28AF339E"/>
    <w:rsid w:val="28B93C10"/>
    <w:rsid w:val="28BA3E25"/>
    <w:rsid w:val="28BA7F95"/>
    <w:rsid w:val="28BC3D0D"/>
    <w:rsid w:val="28C54C0D"/>
    <w:rsid w:val="28DB0637"/>
    <w:rsid w:val="28E079FB"/>
    <w:rsid w:val="28E219C5"/>
    <w:rsid w:val="28E374EB"/>
    <w:rsid w:val="28EB0CF8"/>
    <w:rsid w:val="28EF7C3E"/>
    <w:rsid w:val="28F04484"/>
    <w:rsid w:val="28F11C08"/>
    <w:rsid w:val="28F25980"/>
    <w:rsid w:val="28F45255"/>
    <w:rsid w:val="28F65471"/>
    <w:rsid w:val="28F9286B"/>
    <w:rsid w:val="28FB65E3"/>
    <w:rsid w:val="28FF65BE"/>
    <w:rsid w:val="2905079D"/>
    <w:rsid w:val="29053FDD"/>
    <w:rsid w:val="290862B9"/>
    <w:rsid w:val="29096A1C"/>
    <w:rsid w:val="291678C1"/>
    <w:rsid w:val="29195CAD"/>
    <w:rsid w:val="2920604A"/>
    <w:rsid w:val="29232042"/>
    <w:rsid w:val="29254262"/>
    <w:rsid w:val="293935AF"/>
    <w:rsid w:val="2940049A"/>
    <w:rsid w:val="294A756A"/>
    <w:rsid w:val="29512E02"/>
    <w:rsid w:val="29534671"/>
    <w:rsid w:val="295403E9"/>
    <w:rsid w:val="295961A1"/>
    <w:rsid w:val="296028EA"/>
    <w:rsid w:val="296139FD"/>
    <w:rsid w:val="29613A86"/>
    <w:rsid w:val="296543A4"/>
    <w:rsid w:val="296636EE"/>
    <w:rsid w:val="2967011C"/>
    <w:rsid w:val="29671ECA"/>
    <w:rsid w:val="296A3769"/>
    <w:rsid w:val="296C5733"/>
    <w:rsid w:val="296F5223"/>
    <w:rsid w:val="29724526"/>
    <w:rsid w:val="297445E7"/>
    <w:rsid w:val="29785E86"/>
    <w:rsid w:val="29787C34"/>
    <w:rsid w:val="297B4032"/>
    <w:rsid w:val="297E06D5"/>
    <w:rsid w:val="298011DE"/>
    <w:rsid w:val="29883BEF"/>
    <w:rsid w:val="298962E5"/>
    <w:rsid w:val="298E38FB"/>
    <w:rsid w:val="29946A38"/>
    <w:rsid w:val="2999739E"/>
    <w:rsid w:val="299B6018"/>
    <w:rsid w:val="29A24CB1"/>
    <w:rsid w:val="29A70519"/>
    <w:rsid w:val="29A84037"/>
    <w:rsid w:val="29AA6040"/>
    <w:rsid w:val="29BA760A"/>
    <w:rsid w:val="29BB3FC4"/>
    <w:rsid w:val="29BD5F8E"/>
    <w:rsid w:val="29BF1089"/>
    <w:rsid w:val="29C14FD0"/>
    <w:rsid w:val="29D532D8"/>
    <w:rsid w:val="29D55086"/>
    <w:rsid w:val="29E1168E"/>
    <w:rsid w:val="29E21551"/>
    <w:rsid w:val="29E51041"/>
    <w:rsid w:val="29EC0622"/>
    <w:rsid w:val="29EE439A"/>
    <w:rsid w:val="29EE7EF6"/>
    <w:rsid w:val="29F02AF8"/>
    <w:rsid w:val="29FF0355"/>
    <w:rsid w:val="2A015401"/>
    <w:rsid w:val="2A092F82"/>
    <w:rsid w:val="2A094D30"/>
    <w:rsid w:val="2A0B4CC0"/>
    <w:rsid w:val="2A1D6A2D"/>
    <w:rsid w:val="2A1E2702"/>
    <w:rsid w:val="2A331DAD"/>
    <w:rsid w:val="2A3A313B"/>
    <w:rsid w:val="2A3C6EB3"/>
    <w:rsid w:val="2A4346E5"/>
    <w:rsid w:val="2A465F84"/>
    <w:rsid w:val="2A497822"/>
    <w:rsid w:val="2A4B446B"/>
    <w:rsid w:val="2A4B491B"/>
    <w:rsid w:val="2A4C0703"/>
    <w:rsid w:val="2A4D6EDB"/>
    <w:rsid w:val="2A500BB0"/>
    <w:rsid w:val="2A5102BF"/>
    <w:rsid w:val="2A524929"/>
    <w:rsid w:val="2A5561C7"/>
    <w:rsid w:val="2A5A558B"/>
    <w:rsid w:val="2A5F29FA"/>
    <w:rsid w:val="2A614B6C"/>
    <w:rsid w:val="2A62663B"/>
    <w:rsid w:val="2A64640A"/>
    <w:rsid w:val="2A683AA1"/>
    <w:rsid w:val="2A68414C"/>
    <w:rsid w:val="2A7D74CC"/>
    <w:rsid w:val="2A7F1496"/>
    <w:rsid w:val="2A81520E"/>
    <w:rsid w:val="2A8B3997"/>
    <w:rsid w:val="2A915BA2"/>
    <w:rsid w:val="2A9A5842"/>
    <w:rsid w:val="2A9B6575"/>
    <w:rsid w:val="2AA131BA"/>
    <w:rsid w:val="2AA61AE2"/>
    <w:rsid w:val="2AAD1B5F"/>
    <w:rsid w:val="2AB23619"/>
    <w:rsid w:val="2ABC7FF4"/>
    <w:rsid w:val="2ABE030F"/>
    <w:rsid w:val="2AC670C5"/>
    <w:rsid w:val="2ACA60DA"/>
    <w:rsid w:val="2ACB0237"/>
    <w:rsid w:val="2ACB46DB"/>
    <w:rsid w:val="2AD104E2"/>
    <w:rsid w:val="2AD25A69"/>
    <w:rsid w:val="2AD27987"/>
    <w:rsid w:val="2AD4533E"/>
    <w:rsid w:val="2AD57308"/>
    <w:rsid w:val="2AD96DF8"/>
    <w:rsid w:val="2ADA18D3"/>
    <w:rsid w:val="2ADA66CC"/>
    <w:rsid w:val="2ADB5B0A"/>
    <w:rsid w:val="2ADF135E"/>
    <w:rsid w:val="2AE00186"/>
    <w:rsid w:val="2AE80DE9"/>
    <w:rsid w:val="2AF86FFB"/>
    <w:rsid w:val="2AFE685E"/>
    <w:rsid w:val="2B057442"/>
    <w:rsid w:val="2B08148B"/>
    <w:rsid w:val="2B0A5203"/>
    <w:rsid w:val="2B0D4423"/>
    <w:rsid w:val="2B0F281A"/>
    <w:rsid w:val="2B110340"/>
    <w:rsid w:val="2B116592"/>
    <w:rsid w:val="2B133692"/>
    <w:rsid w:val="2B1339FD"/>
    <w:rsid w:val="2B1B2F6C"/>
    <w:rsid w:val="2B243C3F"/>
    <w:rsid w:val="2B2C33CC"/>
    <w:rsid w:val="2B3631F4"/>
    <w:rsid w:val="2B382564"/>
    <w:rsid w:val="2B3B716B"/>
    <w:rsid w:val="2B4104F9"/>
    <w:rsid w:val="2B520958"/>
    <w:rsid w:val="2B593A95"/>
    <w:rsid w:val="2B5B5A5F"/>
    <w:rsid w:val="2B5D3585"/>
    <w:rsid w:val="2B69017C"/>
    <w:rsid w:val="2B6D12EE"/>
    <w:rsid w:val="2B6E4F01"/>
    <w:rsid w:val="2B980A61"/>
    <w:rsid w:val="2B980F11"/>
    <w:rsid w:val="2B9952EB"/>
    <w:rsid w:val="2B9B22FF"/>
    <w:rsid w:val="2BA2543C"/>
    <w:rsid w:val="2BA95238"/>
    <w:rsid w:val="2BAB5457"/>
    <w:rsid w:val="2BAD0DF3"/>
    <w:rsid w:val="2BB67139"/>
    <w:rsid w:val="2BC177E0"/>
    <w:rsid w:val="2BC25ADE"/>
    <w:rsid w:val="2BC5737C"/>
    <w:rsid w:val="2BC76C50"/>
    <w:rsid w:val="2BCD6DAC"/>
    <w:rsid w:val="2BCE0DAB"/>
    <w:rsid w:val="2BCE6231"/>
    <w:rsid w:val="2BD5553E"/>
    <w:rsid w:val="2BD63337"/>
    <w:rsid w:val="2BD65BF0"/>
    <w:rsid w:val="2BD669CE"/>
    <w:rsid w:val="2BDD0222"/>
    <w:rsid w:val="2BDF51F3"/>
    <w:rsid w:val="2BE617CC"/>
    <w:rsid w:val="2BEA293F"/>
    <w:rsid w:val="2BEE0681"/>
    <w:rsid w:val="2BF533E7"/>
    <w:rsid w:val="2BF65788"/>
    <w:rsid w:val="2BFA62B3"/>
    <w:rsid w:val="2BFC0B5D"/>
    <w:rsid w:val="2BFE6C98"/>
    <w:rsid w:val="2C016606"/>
    <w:rsid w:val="2C0F23A5"/>
    <w:rsid w:val="2C1B6F9C"/>
    <w:rsid w:val="2C1D1163"/>
    <w:rsid w:val="2C251BC9"/>
    <w:rsid w:val="2C271DE5"/>
    <w:rsid w:val="2C286E71"/>
    <w:rsid w:val="2C2916B9"/>
    <w:rsid w:val="2C2D4686"/>
    <w:rsid w:val="2C33078A"/>
    <w:rsid w:val="2C340C6F"/>
    <w:rsid w:val="2C365B84"/>
    <w:rsid w:val="2C370A57"/>
    <w:rsid w:val="2C372028"/>
    <w:rsid w:val="2C385DA0"/>
    <w:rsid w:val="2C3979F2"/>
    <w:rsid w:val="2C3C1CCE"/>
    <w:rsid w:val="2C3E3082"/>
    <w:rsid w:val="2C3F3DE5"/>
    <w:rsid w:val="2C46226B"/>
    <w:rsid w:val="2C5A3F68"/>
    <w:rsid w:val="2C5A7927"/>
    <w:rsid w:val="2C5D75B5"/>
    <w:rsid w:val="2C620C30"/>
    <w:rsid w:val="2C624BCB"/>
    <w:rsid w:val="2C63688F"/>
    <w:rsid w:val="2C647269"/>
    <w:rsid w:val="2C6739A6"/>
    <w:rsid w:val="2C6F76C7"/>
    <w:rsid w:val="2C7103D8"/>
    <w:rsid w:val="2C770676"/>
    <w:rsid w:val="2C772424"/>
    <w:rsid w:val="2C842D93"/>
    <w:rsid w:val="2C844B41"/>
    <w:rsid w:val="2C8763E0"/>
    <w:rsid w:val="2C882884"/>
    <w:rsid w:val="2C8B4122"/>
    <w:rsid w:val="2C8D1C48"/>
    <w:rsid w:val="2C8D5567"/>
    <w:rsid w:val="2C9859C5"/>
    <w:rsid w:val="2C9A6113"/>
    <w:rsid w:val="2C9F7BCD"/>
    <w:rsid w:val="2CA451E4"/>
    <w:rsid w:val="2CA50E4D"/>
    <w:rsid w:val="2CAB40B4"/>
    <w:rsid w:val="2CB371D5"/>
    <w:rsid w:val="2CB74404"/>
    <w:rsid w:val="2CB74F17"/>
    <w:rsid w:val="2CCA2E9C"/>
    <w:rsid w:val="2CCD64E8"/>
    <w:rsid w:val="2CD6332A"/>
    <w:rsid w:val="2CE101E6"/>
    <w:rsid w:val="2CE33F5E"/>
    <w:rsid w:val="2CE576AE"/>
    <w:rsid w:val="2CED0939"/>
    <w:rsid w:val="2CF56AF6"/>
    <w:rsid w:val="2CF57952"/>
    <w:rsid w:val="2CF96FB4"/>
    <w:rsid w:val="2CFC6DCE"/>
    <w:rsid w:val="2CFE2B46"/>
    <w:rsid w:val="2CFE48F4"/>
    <w:rsid w:val="2D001B1A"/>
    <w:rsid w:val="2D084A03"/>
    <w:rsid w:val="2D095368"/>
    <w:rsid w:val="2D0D0FDB"/>
    <w:rsid w:val="2D0D61FC"/>
    <w:rsid w:val="2D11017C"/>
    <w:rsid w:val="2D113C66"/>
    <w:rsid w:val="2D1C7470"/>
    <w:rsid w:val="2D2910A6"/>
    <w:rsid w:val="2D2A56E9"/>
    <w:rsid w:val="2D2D611B"/>
    <w:rsid w:val="2D311100"/>
    <w:rsid w:val="2D335FEA"/>
    <w:rsid w:val="2D35408E"/>
    <w:rsid w:val="2D3571CF"/>
    <w:rsid w:val="2D4542D1"/>
    <w:rsid w:val="2D4C490C"/>
    <w:rsid w:val="2D4D2A86"/>
    <w:rsid w:val="2D4D587B"/>
    <w:rsid w:val="2D4E224A"/>
    <w:rsid w:val="2D59056D"/>
    <w:rsid w:val="2D60110A"/>
    <w:rsid w:val="2D654973"/>
    <w:rsid w:val="2D67693D"/>
    <w:rsid w:val="2D6C3F53"/>
    <w:rsid w:val="2D6D7CCB"/>
    <w:rsid w:val="2D6F35DC"/>
    <w:rsid w:val="2D740A97"/>
    <w:rsid w:val="2D74105A"/>
    <w:rsid w:val="2D74697F"/>
    <w:rsid w:val="2D7626DC"/>
    <w:rsid w:val="2D776454"/>
    <w:rsid w:val="2D79041E"/>
    <w:rsid w:val="2D7C1CBC"/>
    <w:rsid w:val="2D7E5FB8"/>
    <w:rsid w:val="2D7F4033"/>
    <w:rsid w:val="2D865AD4"/>
    <w:rsid w:val="2D8D5C78"/>
    <w:rsid w:val="2D95786F"/>
    <w:rsid w:val="2D9D30DE"/>
    <w:rsid w:val="2D9F2D04"/>
    <w:rsid w:val="2DA15F14"/>
    <w:rsid w:val="2DA66471"/>
    <w:rsid w:val="2DA74F8B"/>
    <w:rsid w:val="2DA76738"/>
    <w:rsid w:val="2DA84860"/>
    <w:rsid w:val="2DAE0349"/>
    <w:rsid w:val="2DAF2092"/>
    <w:rsid w:val="2DAF5BEE"/>
    <w:rsid w:val="2DB65067"/>
    <w:rsid w:val="2DBA372D"/>
    <w:rsid w:val="2DC21DC5"/>
    <w:rsid w:val="2DC378EB"/>
    <w:rsid w:val="2DD37B2E"/>
    <w:rsid w:val="2DD517F4"/>
    <w:rsid w:val="2DD9710F"/>
    <w:rsid w:val="2DE27D71"/>
    <w:rsid w:val="2DE312CD"/>
    <w:rsid w:val="2DE47175"/>
    <w:rsid w:val="2DEA30CA"/>
    <w:rsid w:val="2DEC299E"/>
    <w:rsid w:val="2DEF06E0"/>
    <w:rsid w:val="2DF33D2D"/>
    <w:rsid w:val="2DF83A39"/>
    <w:rsid w:val="2DFB389A"/>
    <w:rsid w:val="2DFE54A0"/>
    <w:rsid w:val="2E0777D8"/>
    <w:rsid w:val="2E092246"/>
    <w:rsid w:val="2E0A72C8"/>
    <w:rsid w:val="2E0F2B31"/>
    <w:rsid w:val="2E0F48DF"/>
    <w:rsid w:val="2E1343CF"/>
    <w:rsid w:val="2E156399"/>
    <w:rsid w:val="2E190967"/>
    <w:rsid w:val="2E241309"/>
    <w:rsid w:val="2E291E44"/>
    <w:rsid w:val="2E2A302D"/>
    <w:rsid w:val="2E3305CD"/>
    <w:rsid w:val="2E3511E0"/>
    <w:rsid w:val="2E352597"/>
    <w:rsid w:val="2E377ABF"/>
    <w:rsid w:val="2E420498"/>
    <w:rsid w:val="2E497DF1"/>
    <w:rsid w:val="2E4D2545"/>
    <w:rsid w:val="2E516CA5"/>
    <w:rsid w:val="2E56075F"/>
    <w:rsid w:val="2E59753B"/>
    <w:rsid w:val="2E5A1FFE"/>
    <w:rsid w:val="2E6B1D4E"/>
    <w:rsid w:val="2E6C3ADF"/>
    <w:rsid w:val="2E6C6D4E"/>
    <w:rsid w:val="2E725599"/>
    <w:rsid w:val="2E786DB1"/>
    <w:rsid w:val="2E81758A"/>
    <w:rsid w:val="2E8452CD"/>
    <w:rsid w:val="2E884DBD"/>
    <w:rsid w:val="2E894ED8"/>
    <w:rsid w:val="2E8B0409"/>
    <w:rsid w:val="2E8D23D3"/>
    <w:rsid w:val="2E8D60F4"/>
    <w:rsid w:val="2E930B5B"/>
    <w:rsid w:val="2E960B5C"/>
    <w:rsid w:val="2E980D78"/>
    <w:rsid w:val="2E9A5E5D"/>
    <w:rsid w:val="2EA25753"/>
    <w:rsid w:val="2EA339A5"/>
    <w:rsid w:val="2EA70449"/>
    <w:rsid w:val="2EA72D69"/>
    <w:rsid w:val="2EAC037F"/>
    <w:rsid w:val="2EAE40F8"/>
    <w:rsid w:val="2EBA1456"/>
    <w:rsid w:val="2EBC7D67"/>
    <w:rsid w:val="2EC03CB2"/>
    <w:rsid w:val="2EC35DF5"/>
    <w:rsid w:val="2ECA280E"/>
    <w:rsid w:val="2ECB4CA9"/>
    <w:rsid w:val="2ECD27D0"/>
    <w:rsid w:val="2ED35B60"/>
    <w:rsid w:val="2EDD110F"/>
    <w:rsid w:val="2EDE1B52"/>
    <w:rsid w:val="2EDE2C2F"/>
    <w:rsid w:val="2EE26290"/>
    <w:rsid w:val="2EF57F78"/>
    <w:rsid w:val="2EF73CF0"/>
    <w:rsid w:val="2EFE507F"/>
    <w:rsid w:val="2F032695"/>
    <w:rsid w:val="2F091204"/>
    <w:rsid w:val="2F20249B"/>
    <w:rsid w:val="2F2B1E9E"/>
    <w:rsid w:val="2F2B5748"/>
    <w:rsid w:val="2F2B74F6"/>
    <w:rsid w:val="2F364819"/>
    <w:rsid w:val="2F38663A"/>
    <w:rsid w:val="2F394E54"/>
    <w:rsid w:val="2F407445"/>
    <w:rsid w:val="2F4405B8"/>
    <w:rsid w:val="2F4E18BD"/>
    <w:rsid w:val="2F546A4D"/>
    <w:rsid w:val="2F565261"/>
    <w:rsid w:val="2F5702EB"/>
    <w:rsid w:val="2F5D613D"/>
    <w:rsid w:val="2F61560E"/>
    <w:rsid w:val="2F656EAC"/>
    <w:rsid w:val="2F735E66"/>
    <w:rsid w:val="2F76433B"/>
    <w:rsid w:val="2F782CC6"/>
    <w:rsid w:val="2F7B222C"/>
    <w:rsid w:val="2F7D6357"/>
    <w:rsid w:val="2F8512FC"/>
    <w:rsid w:val="2F8530AA"/>
    <w:rsid w:val="2F854E58"/>
    <w:rsid w:val="2F8921CE"/>
    <w:rsid w:val="2F8A06C1"/>
    <w:rsid w:val="2F8A6913"/>
    <w:rsid w:val="2F8F3F29"/>
    <w:rsid w:val="2F90750B"/>
    <w:rsid w:val="2F927575"/>
    <w:rsid w:val="2FB66570"/>
    <w:rsid w:val="2FC75471"/>
    <w:rsid w:val="2FD45DE0"/>
    <w:rsid w:val="2FD61B58"/>
    <w:rsid w:val="2FD8767E"/>
    <w:rsid w:val="2FD9F64F"/>
    <w:rsid w:val="2FE34275"/>
    <w:rsid w:val="2FE53B49"/>
    <w:rsid w:val="2FE55858"/>
    <w:rsid w:val="2FE907EA"/>
    <w:rsid w:val="2FEA5603"/>
    <w:rsid w:val="2FEE6EA1"/>
    <w:rsid w:val="2FF818BA"/>
    <w:rsid w:val="300038F0"/>
    <w:rsid w:val="30055F99"/>
    <w:rsid w:val="300F506A"/>
    <w:rsid w:val="301461DC"/>
    <w:rsid w:val="30147100"/>
    <w:rsid w:val="301D1535"/>
    <w:rsid w:val="30202DD3"/>
    <w:rsid w:val="302169BE"/>
    <w:rsid w:val="3025663B"/>
    <w:rsid w:val="30297EDA"/>
    <w:rsid w:val="303643A5"/>
    <w:rsid w:val="30391775"/>
    <w:rsid w:val="303D3985"/>
    <w:rsid w:val="304545E8"/>
    <w:rsid w:val="304E7940"/>
    <w:rsid w:val="3051435C"/>
    <w:rsid w:val="30560824"/>
    <w:rsid w:val="305B3E0B"/>
    <w:rsid w:val="305F7D9F"/>
    <w:rsid w:val="306233EC"/>
    <w:rsid w:val="3069477A"/>
    <w:rsid w:val="306B57A3"/>
    <w:rsid w:val="306B6744"/>
    <w:rsid w:val="306C6018"/>
    <w:rsid w:val="3071362F"/>
    <w:rsid w:val="30760C45"/>
    <w:rsid w:val="3082650F"/>
    <w:rsid w:val="30847806"/>
    <w:rsid w:val="30881B66"/>
    <w:rsid w:val="308B5380"/>
    <w:rsid w:val="30937A49"/>
    <w:rsid w:val="309537C1"/>
    <w:rsid w:val="30980BBB"/>
    <w:rsid w:val="30986E0D"/>
    <w:rsid w:val="309B540B"/>
    <w:rsid w:val="309D2676"/>
    <w:rsid w:val="30A07E54"/>
    <w:rsid w:val="30A457B2"/>
    <w:rsid w:val="30A77050"/>
    <w:rsid w:val="30AA3DBF"/>
    <w:rsid w:val="30AF4D78"/>
    <w:rsid w:val="30B55C11"/>
    <w:rsid w:val="30B579BF"/>
    <w:rsid w:val="30C044B7"/>
    <w:rsid w:val="30C0540A"/>
    <w:rsid w:val="30C220DC"/>
    <w:rsid w:val="30C61BCC"/>
    <w:rsid w:val="30C82639"/>
    <w:rsid w:val="30CB78A0"/>
    <w:rsid w:val="30D23ED2"/>
    <w:rsid w:val="30E20088"/>
    <w:rsid w:val="30F33128"/>
    <w:rsid w:val="30F524B2"/>
    <w:rsid w:val="30F83508"/>
    <w:rsid w:val="30F878AC"/>
    <w:rsid w:val="31061FC9"/>
    <w:rsid w:val="310A6EFF"/>
    <w:rsid w:val="310E5321"/>
    <w:rsid w:val="311566B0"/>
    <w:rsid w:val="31314B11"/>
    <w:rsid w:val="31326BD9"/>
    <w:rsid w:val="313750BC"/>
    <w:rsid w:val="313A6116"/>
    <w:rsid w:val="313E5C07"/>
    <w:rsid w:val="31476261"/>
    <w:rsid w:val="31490108"/>
    <w:rsid w:val="314D19A6"/>
    <w:rsid w:val="31576CC8"/>
    <w:rsid w:val="315A57EF"/>
    <w:rsid w:val="3160503C"/>
    <w:rsid w:val="316A3DCE"/>
    <w:rsid w:val="316E4AD3"/>
    <w:rsid w:val="31716A86"/>
    <w:rsid w:val="31741628"/>
    <w:rsid w:val="31745184"/>
    <w:rsid w:val="317B29B7"/>
    <w:rsid w:val="317D538F"/>
    <w:rsid w:val="318178A1"/>
    <w:rsid w:val="31837ABD"/>
    <w:rsid w:val="318B6972"/>
    <w:rsid w:val="318D4498"/>
    <w:rsid w:val="319770C5"/>
    <w:rsid w:val="319C46DB"/>
    <w:rsid w:val="319E48F7"/>
    <w:rsid w:val="319E66A5"/>
    <w:rsid w:val="31A25BB8"/>
    <w:rsid w:val="31B07A61"/>
    <w:rsid w:val="31B3766D"/>
    <w:rsid w:val="31B71515"/>
    <w:rsid w:val="31B9528D"/>
    <w:rsid w:val="31B9703B"/>
    <w:rsid w:val="31C00F6A"/>
    <w:rsid w:val="31C0486E"/>
    <w:rsid w:val="31C14142"/>
    <w:rsid w:val="31C8654E"/>
    <w:rsid w:val="31C93B7A"/>
    <w:rsid w:val="31CF2D03"/>
    <w:rsid w:val="31D200FD"/>
    <w:rsid w:val="31D2040B"/>
    <w:rsid w:val="31D40319"/>
    <w:rsid w:val="31D66567"/>
    <w:rsid w:val="31D73965"/>
    <w:rsid w:val="31DB3455"/>
    <w:rsid w:val="31DD04C4"/>
    <w:rsid w:val="31DD5810"/>
    <w:rsid w:val="31DD6430"/>
    <w:rsid w:val="31E00A6C"/>
    <w:rsid w:val="31E542D4"/>
    <w:rsid w:val="31E749CB"/>
    <w:rsid w:val="31E75CF0"/>
    <w:rsid w:val="31E83DC4"/>
    <w:rsid w:val="31FE374C"/>
    <w:rsid w:val="32081D71"/>
    <w:rsid w:val="32103750"/>
    <w:rsid w:val="32116E77"/>
    <w:rsid w:val="3212274D"/>
    <w:rsid w:val="32140715"/>
    <w:rsid w:val="32146967"/>
    <w:rsid w:val="32186458"/>
    <w:rsid w:val="3220530C"/>
    <w:rsid w:val="3227669B"/>
    <w:rsid w:val="322A7F39"/>
    <w:rsid w:val="322B54CA"/>
    <w:rsid w:val="322C3CB1"/>
    <w:rsid w:val="322E5C7B"/>
    <w:rsid w:val="323B0398"/>
    <w:rsid w:val="323E39E4"/>
    <w:rsid w:val="324234D5"/>
    <w:rsid w:val="32432ACC"/>
    <w:rsid w:val="32467054"/>
    <w:rsid w:val="32470AEB"/>
    <w:rsid w:val="32476D3D"/>
    <w:rsid w:val="324C6101"/>
    <w:rsid w:val="324F79A0"/>
    <w:rsid w:val="325154C6"/>
    <w:rsid w:val="325B6344"/>
    <w:rsid w:val="32633C7F"/>
    <w:rsid w:val="32645ABA"/>
    <w:rsid w:val="326A47D9"/>
    <w:rsid w:val="326A4AA9"/>
    <w:rsid w:val="32775ED7"/>
    <w:rsid w:val="327A0EC0"/>
    <w:rsid w:val="3281023E"/>
    <w:rsid w:val="32827D75"/>
    <w:rsid w:val="32836AB1"/>
    <w:rsid w:val="32911D66"/>
    <w:rsid w:val="329B4993"/>
    <w:rsid w:val="32A01FA9"/>
    <w:rsid w:val="32A1502D"/>
    <w:rsid w:val="32A61E4B"/>
    <w:rsid w:val="32A7158A"/>
    <w:rsid w:val="32A945C3"/>
    <w:rsid w:val="32AA2E28"/>
    <w:rsid w:val="32B1065A"/>
    <w:rsid w:val="32B12408"/>
    <w:rsid w:val="32B31CDC"/>
    <w:rsid w:val="32B75C71"/>
    <w:rsid w:val="32BA12BD"/>
    <w:rsid w:val="32BA306B"/>
    <w:rsid w:val="32BA750F"/>
    <w:rsid w:val="32BD6C42"/>
    <w:rsid w:val="32BF0681"/>
    <w:rsid w:val="32C4038E"/>
    <w:rsid w:val="32C91062"/>
    <w:rsid w:val="32CA1246"/>
    <w:rsid w:val="32CB26D6"/>
    <w:rsid w:val="32CE1184"/>
    <w:rsid w:val="32CE2FBA"/>
    <w:rsid w:val="32D06D32"/>
    <w:rsid w:val="32D16665"/>
    <w:rsid w:val="32D22AAA"/>
    <w:rsid w:val="32D54349"/>
    <w:rsid w:val="32EC23C2"/>
    <w:rsid w:val="32EC50D1"/>
    <w:rsid w:val="32EE71B8"/>
    <w:rsid w:val="32F56799"/>
    <w:rsid w:val="32FA3DAF"/>
    <w:rsid w:val="32FF7EB7"/>
    <w:rsid w:val="330662B0"/>
    <w:rsid w:val="331309CD"/>
    <w:rsid w:val="33152997"/>
    <w:rsid w:val="331C5AD4"/>
    <w:rsid w:val="332350B4"/>
    <w:rsid w:val="3327321E"/>
    <w:rsid w:val="33283D8C"/>
    <w:rsid w:val="332A4F71"/>
    <w:rsid w:val="332B21BB"/>
    <w:rsid w:val="333C6176"/>
    <w:rsid w:val="33435756"/>
    <w:rsid w:val="3344327C"/>
    <w:rsid w:val="33471AFC"/>
    <w:rsid w:val="33484B1B"/>
    <w:rsid w:val="334868C9"/>
    <w:rsid w:val="334E5EA9"/>
    <w:rsid w:val="33522800"/>
    <w:rsid w:val="335A65FC"/>
    <w:rsid w:val="335C2374"/>
    <w:rsid w:val="335D2A64"/>
    <w:rsid w:val="336254B1"/>
    <w:rsid w:val="33680D19"/>
    <w:rsid w:val="33686F6B"/>
    <w:rsid w:val="33707BCD"/>
    <w:rsid w:val="33784CD4"/>
    <w:rsid w:val="337A1509"/>
    <w:rsid w:val="337C585D"/>
    <w:rsid w:val="337E2A5B"/>
    <w:rsid w:val="337F42B4"/>
    <w:rsid w:val="33805DA5"/>
    <w:rsid w:val="338213DC"/>
    <w:rsid w:val="33945FB2"/>
    <w:rsid w:val="33947D60"/>
    <w:rsid w:val="339E298D"/>
    <w:rsid w:val="339F425C"/>
    <w:rsid w:val="33AA1331"/>
    <w:rsid w:val="33BC1065"/>
    <w:rsid w:val="33C323F3"/>
    <w:rsid w:val="33C4118F"/>
    <w:rsid w:val="33C70135"/>
    <w:rsid w:val="33CD0744"/>
    <w:rsid w:val="33D04B10"/>
    <w:rsid w:val="33D12D62"/>
    <w:rsid w:val="33D22636"/>
    <w:rsid w:val="33D44600"/>
    <w:rsid w:val="33D60378"/>
    <w:rsid w:val="33DC34B5"/>
    <w:rsid w:val="33DF0372"/>
    <w:rsid w:val="33E13858"/>
    <w:rsid w:val="33E34843"/>
    <w:rsid w:val="33E5680D"/>
    <w:rsid w:val="33EA5BD2"/>
    <w:rsid w:val="33EB0FE6"/>
    <w:rsid w:val="33EF4F96"/>
    <w:rsid w:val="33F00D0E"/>
    <w:rsid w:val="33F20F2A"/>
    <w:rsid w:val="33F461AE"/>
    <w:rsid w:val="33F46B2D"/>
    <w:rsid w:val="33FF7A66"/>
    <w:rsid w:val="340116DE"/>
    <w:rsid w:val="340E7FF8"/>
    <w:rsid w:val="340F0C0A"/>
    <w:rsid w:val="340F388A"/>
    <w:rsid w:val="341176B8"/>
    <w:rsid w:val="341744ED"/>
    <w:rsid w:val="34180991"/>
    <w:rsid w:val="341B3117"/>
    <w:rsid w:val="34272982"/>
    <w:rsid w:val="342A4220"/>
    <w:rsid w:val="342B6606"/>
    <w:rsid w:val="342D3D10"/>
    <w:rsid w:val="342E2692"/>
    <w:rsid w:val="34313801"/>
    <w:rsid w:val="343A7CCB"/>
    <w:rsid w:val="34443F98"/>
    <w:rsid w:val="34485A40"/>
    <w:rsid w:val="34491F87"/>
    <w:rsid w:val="344A48C2"/>
    <w:rsid w:val="344D1295"/>
    <w:rsid w:val="344E7738"/>
    <w:rsid w:val="34535CDA"/>
    <w:rsid w:val="345B2B40"/>
    <w:rsid w:val="345B6AD0"/>
    <w:rsid w:val="345C0152"/>
    <w:rsid w:val="345C41E5"/>
    <w:rsid w:val="345C5122"/>
    <w:rsid w:val="34634107"/>
    <w:rsid w:val="3474193F"/>
    <w:rsid w:val="34750B27"/>
    <w:rsid w:val="34790D04"/>
    <w:rsid w:val="347C2842"/>
    <w:rsid w:val="347D6A46"/>
    <w:rsid w:val="348002E4"/>
    <w:rsid w:val="3482405C"/>
    <w:rsid w:val="34890906"/>
    <w:rsid w:val="348F0527"/>
    <w:rsid w:val="348F22D5"/>
    <w:rsid w:val="34930017"/>
    <w:rsid w:val="34951FE2"/>
    <w:rsid w:val="34967B08"/>
    <w:rsid w:val="349D0E96"/>
    <w:rsid w:val="34A43FD3"/>
    <w:rsid w:val="34A51AF9"/>
    <w:rsid w:val="34A57D4B"/>
    <w:rsid w:val="34A915E9"/>
    <w:rsid w:val="34AA710F"/>
    <w:rsid w:val="34B14942"/>
    <w:rsid w:val="34B66963"/>
    <w:rsid w:val="34BB6546"/>
    <w:rsid w:val="34BF2BBB"/>
    <w:rsid w:val="34C226AB"/>
    <w:rsid w:val="34C74165"/>
    <w:rsid w:val="34C82881"/>
    <w:rsid w:val="34CC52D7"/>
    <w:rsid w:val="34CC6E5F"/>
    <w:rsid w:val="34D32B0A"/>
    <w:rsid w:val="34D66156"/>
    <w:rsid w:val="34D7310F"/>
    <w:rsid w:val="34DA0A32"/>
    <w:rsid w:val="34DB0A44"/>
    <w:rsid w:val="34DD1293"/>
    <w:rsid w:val="34E03A85"/>
    <w:rsid w:val="34E40873"/>
    <w:rsid w:val="34E82FA8"/>
    <w:rsid w:val="34E97C37"/>
    <w:rsid w:val="34EB1C02"/>
    <w:rsid w:val="34EF1396"/>
    <w:rsid w:val="34FA1E45"/>
    <w:rsid w:val="35020CF9"/>
    <w:rsid w:val="350C7DCA"/>
    <w:rsid w:val="350E58F0"/>
    <w:rsid w:val="35133C86"/>
    <w:rsid w:val="35186A4E"/>
    <w:rsid w:val="351A4295"/>
    <w:rsid w:val="351B1DBB"/>
    <w:rsid w:val="351B6F23"/>
    <w:rsid w:val="351C03B3"/>
    <w:rsid w:val="351F3659"/>
    <w:rsid w:val="351F5D4F"/>
    <w:rsid w:val="35246EC1"/>
    <w:rsid w:val="35252B14"/>
    <w:rsid w:val="35292F17"/>
    <w:rsid w:val="352A38F1"/>
    <w:rsid w:val="352E4D50"/>
    <w:rsid w:val="352E7D40"/>
    <w:rsid w:val="35317973"/>
    <w:rsid w:val="353D5FAC"/>
    <w:rsid w:val="3540620C"/>
    <w:rsid w:val="3542559A"/>
    <w:rsid w:val="35431A3E"/>
    <w:rsid w:val="3546508A"/>
    <w:rsid w:val="354B26A0"/>
    <w:rsid w:val="354B7492"/>
    <w:rsid w:val="354D466A"/>
    <w:rsid w:val="35527845"/>
    <w:rsid w:val="355E2212"/>
    <w:rsid w:val="35626D39"/>
    <w:rsid w:val="356279A7"/>
    <w:rsid w:val="3569521C"/>
    <w:rsid w:val="356B689E"/>
    <w:rsid w:val="356E2833"/>
    <w:rsid w:val="3575596F"/>
    <w:rsid w:val="35776C06"/>
    <w:rsid w:val="3579545F"/>
    <w:rsid w:val="357A2F85"/>
    <w:rsid w:val="357D65D2"/>
    <w:rsid w:val="358856A2"/>
    <w:rsid w:val="358A0DB6"/>
    <w:rsid w:val="358A50B1"/>
    <w:rsid w:val="358D4A67"/>
    <w:rsid w:val="35951B6D"/>
    <w:rsid w:val="359871BA"/>
    <w:rsid w:val="35A52744"/>
    <w:rsid w:val="35AD3C5E"/>
    <w:rsid w:val="35AE1D1F"/>
    <w:rsid w:val="35B35CCE"/>
    <w:rsid w:val="35C3627B"/>
    <w:rsid w:val="35C67B84"/>
    <w:rsid w:val="35CB1A33"/>
    <w:rsid w:val="35D42696"/>
    <w:rsid w:val="35D97CAC"/>
    <w:rsid w:val="35DE3514"/>
    <w:rsid w:val="35DE4D8E"/>
    <w:rsid w:val="35E36D7D"/>
    <w:rsid w:val="35E623C9"/>
    <w:rsid w:val="35E70C9B"/>
    <w:rsid w:val="35ED756B"/>
    <w:rsid w:val="35EF5721"/>
    <w:rsid w:val="35F1149A"/>
    <w:rsid w:val="35F66AB0"/>
    <w:rsid w:val="35F72828"/>
    <w:rsid w:val="35F80DD4"/>
    <w:rsid w:val="36086F35"/>
    <w:rsid w:val="360A60B7"/>
    <w:rsid w:val="360D412F"/>
    <w:rsid w:val="360F7B72"/>
    <w:rsid w:val="361707D4"/>
    <w:rsid w:val="362464E4"/>
    <w:rsid w:val="36264AC5"/>
    <w:rsid w:val="36286E2C"/>
    <w:rsid w:val="36296275"/>
    <w:rsid w:val="362C0724"/>
    <w:rsid w:val="362D2AFE"/>
    <w:rsid w:val="362D7FF8"/>
    <w:rsid w:val="36361FAE"/>
    <w:rsid w:val="364221DA"/>
    <w:rsid w:val="364315C9"/>
    <w:rsid w:val="36464CCC"/>
    <w:rsid w:val="36527A5E"/>
    <w:rsid w:val="36545AE5"/>
    <w:rsid w:val="365B6913"/>
    <w:rsid w:val="365E28A7"/>
    <w:rsid w:val="366559E4"/>
    <w:rsid w:val="36687924"/>
    <w:rsid w:val="367148C1"/>
    <w:rsid w:val="36723C5D"/>
    <w:rsid w:val="36767BF1"/>
    <w:rsid w:val="367B3E03"/>
    <w:rsid w:val="367E6AA5"/>
    <w:rsid w:val="368220F2"/>
    <w:rsid w:val="36826596"/>
    <w:rsid w:val="36857E34"/>
    <w:rsid w:val="368A369C"/>
    <w:rsid w:val="368C5E8A"/>
    <w:rsid w:val="36935C38"/>
    <w:rsid w:val="36941108"/>
    <w:rsid w:val="36985DB9"/>
    <w:rsid w:val="36987B67"/>
    <w:rsid w:val="369B31B3"/>
    <w:rsid w:val="369E4A52"/>
    <w:rsid w:val="36A209E6"/>
    <w:rsid w:val="36A71B58"/>
    <w:rsid w:val="36B060E9"/>
    <w:rsid w:val="36B44275"/>
    <w:rsid w:val="36B64491"/>
    <w:rsid w:val="36BA34AD"/>
    <w:rsid w:val="36BE071B"/>
    <w:rsid w:val="36C26992"/>
    <w:rsid w:val="36C30D04"/>
    <w:rsid w:val="36CE17DB"/>
    <w:rsid w:val="36CE5337"/>
    <w:rsid w:val="36CF7301"/>
    <w:rsid w:val="36D861B6"/>
    <w:rsid w:val="36DD557A"/>
    <w:rsid w:val="36E5040C"/>
    <w:rsid w:val="36E7289C"/>
    <w:rsid w:val="36E737AD"/>
    <w:rsid w:val="36E763F9"/>
    <w:rsid w:val="36E83F1F"/>
    <w:rsid w:val="36F01751"/>
    <w:rsid w:val="36F11025"/>
    <w:rsid w:val="3701395E"/>
    <w:rsid w:val="37023232"/>
    <w:rsid w:val="370451FC"/>
    <w:rsid w:val="37052D23"/>
    <w:rsid w:val="37083764"/>
    <w:rsid w:val="370945C1"/>
    <w:rsid w:val="370C2303"/>
    <w:rsid w:val="370E7E29"/>
    <w:rsid w:val="370F6282"/>
    <w:rsid w:val="3710594F"/>
    <w:rsid w:val="371116C7"/>
    <w:rsid w:val="37123AB5"/>
    <w:rsid w:val="37123D39"/>
    <w:rsid w:val="37160A8C"/>
    <w:rsid w:val="3717227E"/>
    <w:rsid w:val="372907BF"/>
    <w:rsid w:val="372B32A4"/>
    <w:rsid w:val="372E105F"/>
    <w:rsid w:val="372E2279"/>
    <w:rsid w:val="37307DA0"/>
    <w:rsid w:val="373331A0"/>
    <w:rsid w:val="37361CB0"/>
    <w:rsid w:val="373A0948"/>
    <w:rsid w:val="373B6744"/>
    <w:rsid w:val="37403D5B"/>
    <w:rsid w:val="37415715"/>
    <w:rsid w:val="374675C3"/>
    <w:rsid w:val="374E0226"/>
    <w:rsid w:val="375872F6"/>
    <w:rsid w:val="375B2943"/>
    <w:rsid w:val="375D2B5F"/>
    <w:rsid w:val="37645C9B"/>
    <w:rsid w:val="37674DEF"/>
    <w:rsid w:val="3769225F"/>
    <w:rsid w:val="376E6549"/>
    <w:rsid w:val="377240E4"/>
    <w:rsid w:val="37797999"/>
    <w:rsid w:val="377D1455"/>
    <w:rsid w:val="378400EB"/>
    <w:rsid w:val="37921173"/>
    <w:rsid w:val="379522F8"/>
    <w:rsid w:val="37955E55"/>
    <w:rsid w:val="37985945"/>
    <w:rsid w:val="379A282B"/>
    <w:rsid w:val="379A790F"/>
    <w:rsid w:val="379E73FF"/>
    <w:rsid w:val="37A147F9"/>
    <w:rsid w:val="37A20571"/>
    <w:rsid w:val="37A53650"/>
    <w:rsid w:val="37AB38CA"/>
    <w:rsid w:val="37B1030C"/>
    <w:rsid w:val="37B24C58"/>
    <w:rsid w:val="37B564F7"/>
    <w:rsid w:val="37B778CA"/>
    <w:rsid w:val="37C16903"/>
    <w:rsid w:val="37C16EFA"/>
    <w:rsid w:val="37C91FA2"/>
    <w:rsid w:val="37C973F5"/>
    <w:rsid w:val="37CD3932"/>
    <w:rsid w:val="37D72E50"/>
    <w:rsid w:val="37D83F93"/>
    <w:rsid w:val="37DC7428"/>
    <w:rsid w:val="37E312B6"/>
    <w:rsid w:val="37E455AA"/>
    <w:rsid w:val="37EC6A27"/>
    <w:rsid w:val="37ED5C91"/>
    <w:rsid w:val="37F903E9"/>
    <w:rsid w:val="38003C16"/>
    <w:rsid w:val="3801173C"/>
    <w:rsid w:val="380134EA"/>
    <w:rsid w:val="38080D1C"/>
    <w:rsid w:val="3808447D"/>
    <w:rsid w:val="380B4369"/>
    <w:rsid w:val="380F3D50"/>
    <w:rsid w:val="38107BD1"/>
    <w:rsid w:val="38141215"/>
    <w:rsid w:val="381B27FE"/>
    <w:rsid w:val="3821593A"/>
    <w:rsid w:val="382316B2"/>
    <w:rsid w:val="3825367C"/>
    <w:rsid w:val="382673F4"/>
    <w:rsid w:val="382B0567"/>
    <w:rsid w:val="382B67B9"/>
    <w:rsid w:val="382D2531"/>
    <w:rsid w:val="382F4FD4"/>
    <w:rsid w:val="38312021"/>
    <w:rsid w:val="3834566E"/>
    <w:rsid w:val="38390ED6"/>
    <w:rsid w:val="38397128"/>
    <w:rsid w:val="383B4C4E"/>
    <w:rsid w:val="383E473E"/>
    <w:rsid w:val="384004B6"/>
    <w:rsid w:val="38417D8A"/>
    <w:rsid w:val="38433B03"/>
    <w:rsid w:val="38526692"/>
    <w:rsid w:val="3856119D"/>
    <w:rsid w:val="38561A88"/>
    <w:rsid w:val="385876FF"/>
    <w:rsid w:val="385E26EA"/>
    <w:rsid w:val="386077BA"/>
    <w:rsid w:val="3862042D"/>
    <w:rsid w:val="38657F1D"/>
    <w:rsid w:val="386D241A"/>
    <w:rsid w:val="386E46AB"/>
    <w:rsid w:val="386F3594"/>
    <w:rsid w:val="38741F0E"/>
    <w:rsid w:val="387463B2"/>
    <w:rsid w:val="387939C8"/>
    <w:rsid w:val="387A7682"/>
    <w:rsid w:val="38806B05"/>
    <w:rsid w:val="388303A3"/>
    <w:rsid w:val="38871C41"/>
    <w:rsid w:val="38887767"/>
    <w:rsid w:val="38910D12"/>
    <w:rsid w:val="38961E84"/>
    <w:rsid w:val="38966328"/>
    <w:rsid w:val="38984519"/>
    <w:rsid w:val="38991974"/>
    <w:rsid w:val="389A2EE0"/>
    <w:rsid w:val="38A74DA6"/>
    <w:rsid w:val="38C70CD4"/>
    <w:rsid w:val="38C961D9"/>
    <w:rsid w:val="38CA4224"/>
    <w:rsid w:val="38CF548D"/>
    <w:rsid w:val="38D64977"/>
    <w:rsid w:val="38D806EF"/>
    <w:rsid w:val="38DD5D05"/>
    <w:rsid w:val="38E057F5"/>
    <w:rsid w:val="38E10229"/>
    <w:rsid w:val="38E2331B"/>
    <w:rsid w:val="38E250CA"/>
    <w:rsid w:val="38E5105E"/>
    <w:rsid w:val="38E726E0"/>
    <w:rsid w:val="38E76B84"/>
    <w:rsid w:val="38E958B3"/>
    <w:rsid w:val="38F229A1"/>
    <w:rsid w:val="38F27BDF"/>
    <w:rsid w:val="38F35529"/>
    <w:rsid w:val="38F848ED"/>
    <w:rsid w:val="38F9066F"/>
    <w:rsid w:val="38FF39F5"/>
    <w:rsid w:val="39083E3F"/>
    <w:rsid w:val="390E2362"/>
    <w:rsid w:val="390F4678"/>
    <w:rsid w:val="39121C45"/>
    <w:rsid w:val="39132077"/>
    <w:rsid w:val="391536F1"/>
    <w:rsid w:val="391A2AB5"/>
    <w:rsid w:val="392A1E4D"/>
    <w:rsid w:val="392C0A3B"/>
    <w:rsid w:val="39317DFF"/>
    <w:rsid w:val="39333B77"/>
    <w:rsid w:val="39395969"/>
    <w:rsid w:val="394168EE"/>
    <w:rsid w:val="394418E0"/>
    <w:rsid w:val="39461AFC"/>
    <w:rsid w:val="394A20DC"/>
    <w:rsid w:val="394A2C6F"/>
    <w:rsid w:val="394F4BB1"/>
    <w:rsid w:val="3951638D"/>
    <w:rsid w:val="39565AB7"/>
    <w:rsid w:val="39570F7F"/>
    <w:rsid w:val="3958490F"/>
    <w:rsid w:val="39635633"/>
    <w:rsid w:val="396401D4"/>
    <w:rsid w:val="39654509"/>
    <w:rsid w:val="39693A3D"/>
    <w:rsid w:val="39696FD5"/>
    <w:rsid w:val="39697599"/>
    <w:rsid w:val="396A288C"/>
    <w:rsid w:val="396C52DB"/>
    <w:rsid w:val="39736669"/>
    <w:rsid w:val="39745863"/>
    <w:rsid w:val="39785A2E"/>
    <w:rsid w:val="397D5E61"/>
    <w:rsid w:val="39822409"/>
    <w:rsid w:val="398F7A24"/>
    <w:rsid w:val="39904B26"/>
    <w:rsid w:val="39934616"/>
    <w:rsid w:val="39A0476E"/>
    <w:rsid w:val="39A131D7"/>
    <w:rsid w:val="39A14F85"/>
    <w:rsid w:val="39A24209"/>
    <w:rsid w:val="39A55AE7"/>
    <w:rsid w:val="39A84565"/>
    <w:rsid w:val="39A86313"/>
    <w:rsid w:val="39AE1450"/>
    <w:rsid w:val="39B1408A"/>
    <w:rsid w:val="39B42EA8"/>
    <w:rsid w:val="39BA4298"/>
    <w:rsid w:val="39BD1208"/>
    <w:rsid w:val="39C173D5"/>
    <w:rsid w:val="39C2500F"/>
    <w:rsid w:val="39C62C3D"/>
    <w:rsid w:val="39CB2002"/>
    <w:rsid w:val="39D013C6"/>
    <w:rsid w:val="39D215E2"/>
    <w:rsid w:val="39D2513E"/>
    <w:rsid w:val="39D318E6"/>
    <w:rsid w:val="39D37108"/>
    <w:rsid w:val="39DA2245"/>
    <w:rsid w:val="39DF785B"/>
    <w:rsid w:val="39E817C8"/>
    <w:rsid w:val="39EC3D26"/>
    <w:rsid w:val="39F31088"/>
    <w:rsid w:val="39F710DF"/>
    <w:rsid w:val="39F81EAF"/>
    <w:rsid w:val="3A0177D1"/>
    <w:rsid w:val="3A033549"/>
    <w:rsid w:val="3A045864"/>
    <w:rsid w:val="3A092B2A"/>
    <w:rsid w:val="3A0B630F"/>
    <w:rsid w:val="3A103EB8"/>
    <w:rsid w:val="3A137505"/>
    <w:rsid w:val="3A1A4445"/>
    <w:rsid w:val="3A1A6AE5"/>
    <w:rsid w:val="3A1B6213"/>
    <w:rsid w:val="3A2133F1"/>
    <w:rsid w:val="3A245508"/>
    <w:rsid w:val="3A281202"/>
    <w:rsid w:val="3A2D05C6"/>
    <w:rsid w:val="3A304BD0"/>
    <w:rsid w:val="3A394687"/>
    <w:rsid w:val="3A3A0F35"/>
    <w:rsid w:val="3A3B679F"/>
    <w:rsid w:val="3A3C67AB"/>
    <w:rsid w:val="3A3C6A5B"/>
    <w:rsid w:val="3A3E4582"/>
    <w:rsid w:val="3A4122C4"/>
    <w:rsid w:val="3A41517D"/>
    <w:rsid w:val="3A451DB4"/>
    <w:rsid w:val="3A4554C0"/>
    <w:rsid w:val="3A465B2C"/>
    <w:rsid w:val="3A487FB1"/>
    <w:rsid w:val="3A500759"/>
    <w:rsid w:val="3A5A5133"/>
    <w:rsid w:val="3A5C70FE"/>
    <w:rsid w:val="3A5D24A2"/>
    <w:rsid w:val="3A63048C"/>
    <w:rsid w:val="3A633EFE"/>
    <w:rsid w:val="3A647D60"/>
    <w:rsid w:val="3A6B7341"/>
    <w:rsid w:val="3A7158D5"/>
    <w:rsid w:val="3A781C3A"/>
    <w:rsid w:val="3A830B2E"/>
    <w:rsid w:val="3A8601A8"/>
    <w:rsid w:val="3A8A5A19"/>
    <w:rsid w:val="3A8B1791"/>
    <w:rsid w:val="3A8C79E3"/>
    <w:rsid w:val="3A920D71"/>
    <w:rsid w:val="3A960861"/>
    <w:rsid w:val="3A961AFC"/>
    <w:rsid w:val="3A9C574C"/>
    <w:rsid w:val="3A9E7CE0"/>
    <w:rsid w:val="3AB26E80"/>
    <w:rsid w:val="3AB64A60"/>
    <w:rsid w:val="3AC0768C"/>
    <w:rsid w:val="3ACA72AB"/>
    <w:rsid w:val="3ACF78CF"/>
    <w:rsid w:val="3AD2116E"/>
    <w:rsid w:val="3AD604B2"/>
    <w:rsid w:val="3AD849D6"/>
    <w:rsid w:val="3ADB44C6"/>
    <w:rsid w:val="3ADE5C5A"/>
    <w:rsid w:val="3AE0388B"/>
    <w:rsid w:val="3AE1745D"/>
    <w:rsid w:val="3AE315CD"/>
    <w:rsid w:val="3AE96BE3"/>
    <w:rsid w:val="3AEB195C"/>
    <w:rsid w:val="3AEC0481"/>
    <w:rsid w:val="3AF24DD9"/>
    <w:rsid w:val="3AF27BF8"/>
    <w:rsid w:val="3AF31810"/>
    <w:rsid w:val="3AF61300"/>
    <w:rsid w:val="3AF85078"/>
    <w:rsid w:val="3AFB06C4"/>
    <w:rsid w:val="3B007A89"/>
    <w:rsid w:val="3B0A6B5A"/>
    <w:rsid w:val="3B0D0B61"/>
    <w:rsid w:val="3B127910"/>
    <w:rsid w:val="3B15157E"/>
    <w:rsid w:val="3B20012B"/>
    <w:rsid w:val="3B232004"/>
    <w:rsid w:val="3B281354"/>
    <w:rsid w:val="3B292D1E"/>
    <w:rsid w:val="3B2C087E"/>
    <w:rsid w:val="3B2F16B7"/>
    <w:rsid w:val="3B3140E6"/>
    <w:rsid w:val="3B3616FD"/>
    <w:rsid w:val="3B3836C7"/>
    <w:rsid w:val="3B3B6D13"/>
    <w:rsid w:val="3B443E1A"/>
    <w:rsid w:val="3B491430"/>
    <w:rsid w:val="3B4958D4"/>
    <w:rsid w:val="3B497682"/>
    <w:rsid w:val="3B4B5FDE"/>
    <w:rsid w:val="3B4E2EEA"/>
    <w:rsid w:val="3B4F27BE"/>
    <w:rsid w:val="3B5322AF"/>
    <w:rsid w:val="3B555A62"/>
    <w:rsid w:val="3B561D9F"/>
    <w:rsid w:val="3B567FF1"/>
    <w:rsid w:val="3B577D2F"/>
    <w:rsid w:val="3B5878C5"/>
    <w:rsid w:val="3B5F50F7"/>
    <w:rsid w:val="3B677E26"/>
    <w:rsid w:val="3B707990"/>
    <w:rsid w:val="3B716BD9"/>
    <w:rsid w:val="3B732951"/>
    <w:rsid w:val="3B7D37CF"/>
    <w:rsid w:val="3B7F4E52"/>
    <w:rsid w:val="3B844B5E"/>
    <w:rsid w:val="3B8526FD"/>
    <w:rsid w:val="3B854432"/>
    <w:rsid w:val="3B862684"/>
    <w:rsid w:val="3B893F22"/>
    <w:rsid w:val="3B912DD7"/>
    <w:rsid w:val="3B9B5A04"/>
    <w:rsid w:val="3B9D5CA4"/>
    <w:rsid w:val="3BA1126C"/>
    <w:rsid w:val="3BA7084C"/>
    <w:rsid w:val="3BB2342A"/>
    <w:rsid w:val="3BB43871"/>
    <w:rsid w:val="3BB43A35"/>
    <w:rsid w:val="3BB80364"/>
    <w:rsid w:val="3BBC60A6"/>
    <w:rsid w:val="3BC4519D"/>
    <w:rsid w:val="3BC471F4"/>
    <w:rsid w:val="3BC92571"/>
    <w:rsid w:val="3BD333EF"/>
    <w:rsid w:val="3BD3519D"/>
    <w:rsid w:val="3BD46CE9"/>
    <w:rsid w:val="3BD50F16"/>
    <w:rsid w:val="3BDE449F"/>
    <w:rsid w:val="3BE21884"/>
    <w:rsid w:val="3BED44B1"/>
    <w:rsid w:val="3BEE0229"/>
    <w:rsid w:val="3BEE1FD7"/>
    <w:rsid w:val="3BF10DE2"/>
    <w:rsid w:val="3BF770DE"/>
    <w:rsid w:val="3BFA59E8"/>
    <w:rsid w:val="3C004876"/>
    <w:rsid w:val="3C074E47"/>
    <w:rsid w:val="3C0B78BB"/>
    <w:rsid w:val="3C101F4E"/>
    <w:rsid w:val="3C127CC8"/>
    <w:rsid w:val="3C131A3E"/>
    <w:rsid w:val="3C1934F8"/>
    <w:rsid w:val="3C1B6FEC"/>
    <w:rsid w:val="3C2029C6"/>
    <w:rsid w:val="3C237ED3"/>
    <w:rsid w:val="3C29300F"/>
    <w:rsid w:val="3C2974B3"/>
    <w:rsid w:val="3C2F4ACA"/>
    <w:rsid w:val="3C335C3C"/>
    <w:rsid w:val="3C3B7168"/>
    <w:rsid w:val="3C410359"/>
    <w:rsid w:val="3C4147FD"/>
    <w:rsid w:val="3C415D6A"/>
    <w:rsid w:val="3C4542ED"/>
    <w:rsid w:val="3C467402"/>
    <w:rsid w:val="3C4B1FA8"/>
    <w:rsid w:val="3C4B742A"/>
    <w:rsid w:val="3C4D2BCC"/>
    <w:rsid w:val="3C4D4F50"/>
    <w:rsid w:val="3C4E2A76"/>
    <w:rsid w:val="3C4E76C4"/>
    <w:rsid w:val="3C53008C"/>
    <w:rsid w:val="3C544530"/>
    <w:rsid w:val="3C5938F5"/>
    <w:rsid w:val="3C597D99"/>
    <w:rsid w:val="3C623EED"/>
    <w:rsid w:val="3C670229"/>
    <w:rsid w:val="3C6B7ACC"/>
    <w:rsid w:val="3C6E4EC6"/>
    <w:rsid w:val="3C716C78"/>
    <w:rsid w:val="3C7626F9"/>
    <w:rsid w:val="3C810DD3"/>
    <w:rsid w:val="3C84495E"/>
    <w:rsid w:val="3C8666B4"/>
    <w:rsid w:val="3C8D3860"/>
    <w:rsid w:val="3C8D7A42"/>
    <w:rsid w:val="3C957F32"/>
    <w:rsid w:val="3C9963E7"/>
    <w:rsid w:val="3CA20495"/>
    <w:rsid w:val="3CA31014"/>
    <w:rsid w:val="3CA60B04"/>
    <w:rsid w:val="3CA62409"/>
    <w:rsid w:val="3CB60D47"/>
    <w:rsid w:val="3CB66F99"/>
    <w:rsid w:val="3CB7686D"/>
    <w:rsid w:val="3CB90837"/>
    <w:rsid w:val="3CB97C27"/>
    <w:rsid w:val="3CC2289A"/>
    <w:rsid w:val="3CC33439"/>
    <w:rsid w:val="3CC50F8A"/>
    <w:rsid w:val="3CD218F9"/>
    <w:rsid w:val="3CE32852"/>
    <w:rsid w:val="3CE36516"/>
    <w:rsid w:val="3CE44361"/>
    <w:rsid w:val="3CE8111C"/>
    <w:rsid w:val="3CEF24AB"/>
    <w:rsid w:val="3CEF4259"/>
    <w:rsid w:val="3CF823AB"/>
    <w:rsid w:val="3CFA5193"/>
    <w:rsid w:val="3D033860"/>
    <w:rsid w:val="3D073351"/>
    <w:rsid w:val="3D0870C9"/>
    <w:rsid w:val="3D0A1093"/>
    <w:rsid w:val="3D0A1D91"/>
    <w:rsid w:val="3D0C4E0B"/>
    <w:rsid w:val="3D0D46DF"/>
    <w:rsid w:val="3D171B4B"/>
    <w:rsid w:val="3D1912D6"/>
    <w:rsid w:val="3D207CCF"/>
    <w:rsid w:val="3D211F38"/>
    <w:rsid w:val="3D29776B"/>
    <w:rsid w:val="3D347EBE"/>
    <w:rsid w:val="3D3D4FD0"/>
    <w:rsid w:val="3D4017F0"/>
    <w:rsid w:val="3D406863"/>
    <w:rsid w:val="3D412E66"/>
    <w:rsid w:val="3D424389"/>
    <w:rsid w:val="3D475E43"/>
    <w:rsid w:val="3D477BF1"/>
    <w:rsid w:val="3D510A70"/>
    <w:rsid w:val="3D532A3A"/>
    <w:rsid w:val="3D583BAC"/>
    <w:rsid w:val="3D5B369C"/>
    <w:rsid w:val="3D5E24DD"/>
    <w:rsid w:val="3D600441"/>
    <w:rsid w:val="3D637ABC"/>
    <w:rsid w:val="3D6C58AA"/>
    <w:rsid w:val="3D6C7658"/>
    <w:rsid w:val="3D6E7EA5"/>
    <w:rsid w:val="3D78424E"/>
    <w:rsid w:val="3D785FFC"/>
    <w:rsid w:val="3D7D5858"/>
    <w:rsid w:val="3D7E1B4A"/>
    <w:rsid w:val="3D7E738B"/>
    <w:rsid w:val="3D7F6840"/>
    <w:rsid w:val="3D8175A7"/>
    <w:rsid w:val="3D840E45"/>
    <w:rsid w:val="3D8B21D4"/>
    <w:rsid w:val="3D8B5960"/>
    <w:rsid w:val="3D98669F"/>
    <w:rsid w:val="3D991205"/>
    <w:rsid w:val="3D9F2339"/>
    <w:rsid w:val="3DA74B34"/>
    <w:rsid w:val="3DA9265A"/>
    <w:rsid w:val="3DAD3404"/>
    <w:rsid w:val="3DAE7C70"/>
    <w:rsid w:val="3DB01C3A"/>
    <w:rsid w:val="3DB76EF0"/>
    <w:rsid w:val="3DBA03C3"/>
    <w:rsid w:val="3DBA4867"/>
    <w:rsid w:val="3DBF1E7D"/>
    <w:rsid w:val="3DBF38A8"/>
    <w:rsid w:val="3DC2371B"/>
    <w:rsid w:val="3DC30603"/>
    <w:rsid w:val="3DCB0822"/>
    <w:rsid w:val="3DCC7E1D"/>
    <w:rsid w:val="3DDF42CD"/>
    <w:rsid w:val="3DE23DBE"/>
    <w:rsid w:val="3DE32D35"/>
    <w:rsid w:val="3DE47B36"/>
    <w:rsid w:val="3DE90CA8"/>
    <w:rsid w:val="3DE96EFA"/>
    <w:rsid w:val="3DEB2C72"/>
    <w:rsid w:val="3DF77869"/>
    <w:rsid w:val="3DFB09DB"/>
    <w:rsid w:val="3DFF7B39"/>
    <w:rsid w:val="3E016A5C"/>
    <w:rsid w:val="3E021D6A"/>
    <w:rsid w:val="3E026581"/>
    <w:rsid w:val="3E09134A"/>
    <w:rsid w:val="3E0C2BE9"/>
    <w:rsid w:val="3E0F11FF"/>
    <w:rsid w:val="3E116017"/>
    <w:rsid w:val="3E1201FF"/>
    <w:rsid w:val="3E1C107E"/>
    <w:rsid w:val="3E1F291C"/>
    <w:rsid w:val="3E2241BA"/>
    <w:rsid w:val="3E2B12C1"/>
    <w:rsid w:val="3E2B6DB0"/>
    <w:rsid w:val="3E38578C"/>
    <w:rsid w:val="3E43485C"/>
    <w:rsid w:val="3E4405D4"/>
    <w:rsid w:val="3E44668D"/>
    <w:rsid w:val="3E46434D"/>
    <w:rsid w:val="3E490B2A"/>
    <w:rsid w:val="3E497999"/>
    <w:rsid w:val="3E4E4FAF"/>
    <w:rsid w:val="3E57542F"/>
    <w:rsid w:val="3E587BDC"/>
    <w:rsid w:val="3E66679D"/>
    <w:rsid w:val="3E7802D0"/>
    <w:rsid w:val="3E7A3FF6"/>
    <w:rsid w:val="3E895FE7"/>
    <w:rsid w:val="3EA07EEE"/>
    <w:rsid w:val="3EA14D33"/>
    <w:rsid w:val="3EA370A9"/>
    <w:rsid w:val="3EA42E21"/>
    <w:rsid w:val="3EA8452D"/>
    <w:rsid w:val="3EAF3CA0"/>
    <w:rsid w:val="3EB76FF8"/>
    <w:rsid w:val="3EBB73C7"/>
    <w:rsid w:val="3EBC333B"/>
    <w:rsid w:val="3EC62591"/>
    <w:rsid w:val="3ECB4852"/>
    <w:rsid w:val="3ECB6600"/>
    <w:rsid w:val="3ECF7E9E"/>
    <w:rsid w:val="3EE51A76"/>
    <w:rsid w:val="3EE53B65"/>
    <w:rsid w:val="3EE576C2"/>
    <w:rsid w:val="3EEB27FE"/>
    <w:rsid w:val="3EEE0374"/>
    <w:rsid w:val="3EF06066"/>
    <w:rsid w:val="3EF21DDE"/>
    <w:rsid w:val="3EF5367D"/>
    <w:rsid w:val="3EFB5137"/>
    <w:rsid w:val="3F061212"/>
    <w:rsid w:val="3F075CC4"/>
    <w:rsid w:val="3F0B2EA0"/>
    <w:rsid w:val="3F19380F"/>
    <w:rsid w:val="3F216F60"/>
    <w:rsid w:val="3F2268A2"/>
    <w:rsid w:val="3F240FB7"/>
    <w:rsid w:val="3F2C6B27"/>
    <w:rsid w:val="3F3570C3"/>
    <w:rsid w:val="3F44372E"/>
    <w:rsid w:val="3F454604"/>
    <w:rsid w:val="3F462BAC"/>
    <w:rsid w:val="3F47037C"/>
    <w:rsid w:val="3F516B05"/>
    <w:rsid w:val="3F58265A"/>
    <w:rsid w:val="3F584337"/>
    <w:rsid w:val="3F604F9A"/>
    <w:rsid w:val="3F6C7DE3"/>
    <w:rsid w:val="3F6E5909"/>
    <w:rsid w:val="3F710F55"/>
    <w:rsid w:val="3F770324"/>
    <w:rsid w:val="3F7722E4"/>
    <w:rsid w:val="3F7B6278"/>
    <w:rsid w:val="3F7D3D9E"/>
    <w:rsid w:val="3F8205BE"/>
    <w:rsid w:val="3F823162"/>
    <w:rsid w:val="3F836EDA"/>
    <w:rsid w:val="3F870779"/>
    <w:rsid w:val="3F980BD8"/>
    <w:rsid w:val="3F9A4950"/>
    <w:rsid w:val="3FA0183A"/>
    <w:rsid w:val="3FA26167"/>
    <w:rsid w:val="3FAE03FB"/>
    <w:rsid w:val="3FAE21A9"/>
    <w:rsid w:val="3FB3156E"/>
    <w:rsid w:val="3FB35BEC"/>
    <w:rsid w:val="3FB366D0"/>
    <w:rsid w:val="3FB62E0C"/>
    <w:rsid w:val="3FB672B0"/>
    <w:rsid w:val="3FBE7F13"/>
    <w:rsid w:val="3FCE45FA"/>
    <w:rsid w:val="3FCE63A8"/>
    <w:rsid w:val="3FD61700"/>
    <w:rsid w:val="3FDA2F9E"/>
    <w:rsid w:val="3FE200A5"/>
    <w:rsid w:val="3FED763F"/>
    <w:rsid w:val="3FF102E8"/>
    <w:rsid w:val="3FF322B2"/>
    <w:rsid w:val="3FF83425"/>
    <w:rsid w:val="3FF878C8"/>
    <w:rsid w:val="3FFA53EF"/>
    <w:rsid w:val="3FFC1167"/>
    <w:rsid w:val="3FFE1E84"/>
    <w:rsid w:val="3FFF2A05"/>
    <w:rsid w:val="400242A3"/>
    <w:rsid w:val="400F1DB6"/>
    <w:rsid w:val="4010076E"/>
    <w:rsid w:val="401008FA"/>
    <w:rsid w:val="401272A7"/>
    <w:rsid w:val="40175FA1"/>
    <w:rsid w:val="401F6CDA"/>
    <w:rsid w:val="40295CD4"/>
    <w:rsid w:val="402B37FA"/>
    <w:rsid w:val="402E32EA"/>
    <w:rsid w:val="403326AF"/>
    <w:rsid w:val="40354679"/>
    <w:rsid w:val="403723ED"/>
    <w:rsid w:val="40381A73"/>
    <w:rsid w:val="40387CC5"/>
    <w:rsid w:val="40410273"/>
    <w:rsid w:val="404550EB"/>
    <w:rsid w:val="404A3285"/>
    <w:rsid w:val="40526FD9"/>
    <w:rsid w:val="405378C8"/>
    <w:rsid w:val="405465FA"/>
    <w:rsid w:val="40550877"/>
    <w:rsid w:val="405745EF"/>
    <w:rsid w:val="40585637"/>
    <w:rsid w:val="405C7E57"/>
    <w:rsid w:val="40644F5E"/>
    <w:rsid w:val="40646D0C"/>
    <w:rsid w:val="406522CD"/>
    <w:rsid w:val="40666E18"/>
    <w:rsid w:val="40672358"/>
    <w:rsid w:val="4068438D"/>
    <w:rsid w:val="406960D0"/>
    <w:rsid w:val="406E36E7"/>
    <w:rsid w:val="40721429"/>
    <w:rsid w:val="407233C0"/>
    <w:rsid w:val="40736F4F"/>
    <w:rsid w:val="4077259B"/>
    <w:rsid w:val="40776A3F"/>
    <w:rsid w:val="40844CB8"/>
    <w:rsid w:val="408F0DCC"/>
    <w:rsid w:val="40902A58"/>
    <w:rsid w:val="40953369"/>
    <w:rsid w:val="40994C08"/>
    <w:rsid w:val="40A02A8F"/>
    <w:rsid w:val="40A22666"/>
    <w:rsid w:val="40A84E4B"/>
    <w:rsid w:val="40A9648B"/>
    <w:rsid w:val="40AA056E"/>
    <w:rsid w:val="40AC3F0F"/>
    <w:rsid w:val="40B3559D"/>
    <w:rsid w:val="40B414F2"/>
    <w:rsid w:val="40B67886"/>
    <w:rsid w:val="40B7508E"/>
    <w:rsid w:val="40B97058"/>
    <w:rsid w:val="40BA4B7E"/>
    <w:rsid w:val="40C14999"/>
    <w:rsid w:val="40C15618"/>
    <w:rsid w:val="40C90B3F"/>
    <w:rsid w:val="40C94DC1"/>
    <w:rsid w:val="40C96B6F"/>
    <w:rsid w:val="40CD48B1"/>
    <w:rsid w:val="40D043A1"/>
    <w:rsid w:val="40DE086C"/>
    <w:rsid w:val="40E045E4"/>
    <w:rsid w:val="40E35E83"/>
    <w:rsid w:val="40E7450B"/>
    <w:rsid w:val="40EB11DB"/>
    <w:rsid w:val="40F315A4"/>
    <w:rsid w:val="40F57964"/>
    <w:rsid w:val="40F9092A"/>
    <w:rsid w:val="40FE77A8"/>
    <w:rsid w:val="41006A35"/>
    <w:rsid w:val="41013A16"/>
    <w:rsid w:val="410D4CAE"/>
    <w:rsid w:val="410F655E"/>
    <w:rsid w:val="41195D48"/>
    <w:rsid w:val="411A01DD"/>
    <w:rsid w:val="411C3143"/>
    <w:rsid w:val="41202C33"/>
    <w:rsid w:val="412171EE"/>
    <w:rsid w:val="412A5E63"/>
    <w:rsid w:val="41320BB8"/>
    <w:rsid w:val="41350BBA"/>
    <w:rsid w:val="413E130B"/>
    <w:rsid w:val="413E2D18"/>
    <w:rsid w:val="414508EB"/>
    <w:rsid w:val="41605725"/>
    <w:rsid w:val="4162149D"/>
    <w:rsid w:val="41656898"/>
    <w:rsid w:val="416741BF"/>
    <w:rsid w:val="416845DA"/>
    <w:rsid w:val="416A65A4"/>
    <w:rsid w:val="416A7138"/>
    <w:rsid w:val="416F6C19"/>
    <w:rsid w:val="41717932"/>
    <w:rsid w:val="41732F67"/>
    <w:rsid w:val="417E3DFD"/>
    <w:rsid w:val="418132C2"/>
    <w:rsid w:val="418D4040"/>
    <w:rsid w:val="419502B8"/>
    <w:rsid w:val="419700B9"/>
    <w:rsid w:val="41984EBF"/>
    <w:rsid w:val="419B050B"/>
    <w:rsid w:val="41A151D1"/>
    <w:rsid w:val="41A27AEC"/>
    <w:rsid w:val="41AA69A0"/>
    <w:rsid w:val="41B00465"/>
    <w:rsid w:val="41B15F81"/>
    <w:rsid w:val="41B17D2F"/>
    <w:rsid w:val="41B31CF9"/>
    <w:rsid w:val="41B45A71"/>
    <w:rsid w:val="41B8730F"/>
    <w:rsid w:val="41B94E35"/>
    <w:rsid w:val="41B97E52"/>
    <w:rsid w:val="41C31810"/>
    <w:rsid w:val="41C537DA"/>
    <w:rsid w:val="41C631D2"/>
    <w:rsid w:val="41CC7DDB"/>
    <w:rsid w:val="41CE268F"/>
    <w:rsid w:val="41CF1EAC"/>
    <w:rsid w:val="41CF6407"/>
    <w:rsid w:val="41D44F29"/>
    <w:rsid w:val="41D74882"/>
    <w:rsid w:val="41D80075"/>
    <w:rsid w:val="41D852BC"/>
    <w:rsid w:val="41DD28D2"/>
    <w:rsid w:val="41DD4BAA"/>
    <w:rsid w:val="41EA4FEF"/>
    <w:rsid w:val="41F06AA9"/>
    <w:rsid w:val="41F10240"/>
    <w:rsid w:val="41F45E6E"/>
    <w:rsid w:val="41F97455"/>
    <w:rsid w:val="41FB71FC"/>
    <w:rsid w:val="41FD6251"/>
    <w:rsid w:val="420662CD"/>
    <w:rsid w:val="420C1409"/>
    <w:rsid w:val="421309EA"/>
    <w:rsid w:val="42181B5C"/>
    <w:rsid w:val="421A3B26"/>
    <w:rsid w:val="42240501"/>
    <w:rsid w:val="42274495"/>
    <w:rsid w:val="422B5D33"/>
    <w:rsid w:val="422C5607"/>
    <w:rsid w:val="422E312E"/>
    <w:rsid w:val="422E48CE"/>
    <w:rsid w:val="423A5B72"/>
    <w:rsid w:val="42426BD9"/>
    <w:rsid w:val="42446DF5"/>
    <w:rsid w:val="424B0183"/>
    <w:rsid w:val="424B3CDF"/>
    <w:rsid w:val="424D3EFC"/>
    <w:rsid w:val="425000CC"/>
    <w:rsid w:val="42505C96"/>
    <w:rsid w:val="42550A18"/>
    <w:rsid w:val="42586730"/>
    <w:rsid w:val="425D0E63"/>
    <w:rsid w:val="426024C3"/>
    <w:rsid w:val="42646575"/>
    <w:rsid w:val="426E21BE"/>
    <w:rsid w:val="4279063A"/>
    <w:rsid w:val="427A45C5"/>
    <w:rsid w:val="4289288A"/>
    <w:rsid w:val="428B0580"/>
    <w:rsid w:val="428B4A24"/>
    <w:rsid w:val="428D5E99"/>
    <w:rsid w:val="428D6AB0"/>
    <w:rsid w:val="42975177"/>
    <w:rsid w:val="42984A4B"/>
    <w:rsid w:val="42996CD2"/>
    <w:rsid w:val="429A07C3"/>
    <w:rsid w:val="429E2362"/>
    <w:rsid w:val="42A142B5"/>
    <w:rsid w:val="42A258CA"/>
    <w:rsid w:val="42A653BA"/>
    <w:rsid w:val="42A67168"/>
    <w:rsid w:val="42AB6E74"/>
    <w:rsid w:val="42AE426E"/>
    <w:rsid w:val="42AF5206"/>
    <w:rsid w:val="42B0448A"/>
    <w:rsid w:val="42B20202"/>
    <w:rsid w:val="42B253D9"/>
    <w:rsid w:val="42BC2300"/>
    <w:rsid w:val="42BE6BA7"/>
    <w:rsid w:val="42C43F3A"/>
    <w:rsid w:val="42C5274B"/>
    <w:rsid w:val="42C65A5C"/>
    <w:rsid w:val="42C6780A"/>
    <w:rsid w:val="42C85330"/>
    <w:rsid w:val="42CB4E18"/>
    <w:rsid w:val="42CD6DEA"/>
    <w:rsid w:val="42D261AF"/>
    <w:rsid w:val="42D77C69"/>
    <w:rsid w:val="42D832B0"/>
    <w:rsid w:val="42DA32B5"/>
    <w:rsid w:val="42E163F2"/>
    <w:rsid w:val="42E859D2"/>
    <w:rsid w:val="42EB54C2"/>
    <w:rsid w:val="42ED4D97"/>
    <w:rsid w:val="42F1333E"/>
    <w:rsid w:val="42F205FF"/>
    <w:rsid w:val="42F51E9D"/>
    <w:rsid w:val="42FB3958"/>
    <w:rsid w:val="42FE5538"/>
    <w:rsid w:val="43056584"/>
    <w:rsid w:val="4309548A"/>
    <w:rsid w:val="430F2F5F"/>
    <w:rsid w:val="431840BE"/>
    <w:rsid w:val="432A4378"/>
    <w:rsid w:val="432B36C0"/>
    <w:rsid w:val="433078C8"/>
    <w:rsid w:val="433513BF"/>
    <w:rsid w:val="433724B6"/>
    <w:rsid w:val="433A17D1"/>
    <w:rsid w:val="43467CEE"/>
    <w:rsid w:val="43486471"/>
    <w:rsid w:val="43495316"/>
    <w:rsid w:val="43501DEE"/>
    <w:rsid w:val="43543068"/>
    <w:rsid w:val="435B43F6"/>
    <w:rsid w:val="435B61A4"/>
    <w:rsid w:val="436112E1"/>
    <w:rsid w:val="43686B13"/>
    <w:rsid w:val="43690D26"/>
    <w:rsid w:val="436A06BA"/>
    <w:rsid w:val="436D5ED7"/>
    <w:rsid w:val="43713C1A"/>
    <w:rsid w:val="43736A00"/>
    <w:rsid w:val="4376376F"/>
    <w:rsid w:val="43784FA8"/>
    <w:rsid w:val="437F7839"/>
    <w:rsid w:val="43811FD9"/>
    <w:rsid w:val="43820B56"/>
    <w:rsid w:val="43853221"/>
    <w:rsid w:val="438C112A"/>
    <w:rsid w:val="43912E12"/>
    <w:rsid w:val="43982CD1"/>
    <w:rsid w:val="43993170"/>
    <w:rsid w:val="43994E6F"/>
    <w:rsid w:val="439B2A45"/>
    <w:rsid w:val="439C056B"/>
    <w:rsid w:val="439E725D"/>
    <w:rsid w:val="43A062AD"/>
    <w:rsid w:val="43A15E89"/>
    <w:rsid w:val="43A318F9"/>
    <w:rsid w:val="43A51B15"/>
    <w:rsid w:val="43A63197"/>
    <w:rsid w:val="43A643FA"/>
    <w:rsid w:val="43AB7A8A"/>
    <w:rsid w:val="43B26B9C"/>
    <w:rsid w:val="43BB6D79"/>
    <w:rsid w:val="43CB1C6F"/>
    <w:rsid w:val="43D1290A"/>
    <w:rsid w:val="43D154C8"/>
    <w:rsid w:val="43D441A9"/>
    <w:rsid w:val="43D85A47"/>
    <w:rsid w:val="43DE0B83"/>
    <w:rsid w:val="43DE5648"/>
    <w:rsid w:val="43DF40B4"/>
    <w:rsid w:val="43E73EDC"/>
    <w:rsid w:val="43F14D5A"/>
    <w:rsid w:val="43F247C7"/>
    <w:rsid w:val="43F81C45"/>
    <w:rsid w:val="43FD54AD"/>
    <w:rsid w:val="43FF1225"/>
    <w:rsid w:val="440473D1"/>
    <w:rsid w:val="44091E35"/>
    <w:rsid w:val="440950CF"/>
    <w:rsid w:val="440A4948"/>
    <w:rsid w:val="440C4555"/>
    <w:rsid w:val="44103433"/>
    <w:rsid w:val="44114AB5"/>
    <w:rsid w:val="44122917"/>
    <w:rsid w:val="441445A5"/>
    <w:rsid w:val="44184095"/>
    <w:rsid w:val="441B2AC5"/>
    <w:rsid w:val="441F5424"/>
    <w:rsid w:val="44252DDD"/>
    <w:rsid w:val="44254A04"/>
    <w:rsid w:val="4427077C"/>
    <w:rsid w:val="44315157"/>
    <w:rsid w:val="443609BF"/>
    <w:rsid w:val="44366C11"/>
    <w:rsid w:val="44466E54"/>
    <w:rsid w:val="44511355"/>
    <w:rsid w:val="44516599"/>
    <w:rsid w:val="446107E9"/>
    <w:rsid w:val="44615A3C"/>
    <w:rsid w:val="4462484A"/>
    <w:rsid w:val="44632243"/>
    <w:rsid w:val="4466277E"/>
    <w:rsid w:val="44671910"/>
    <w:rsid w:val="44686F7B"/>
    <w:rsid w:val="446D195D"/>
    <w:rsid w:val="44705C7F"/>
    <w:rsid w:val="44786980"/>
    <w:rsid w:val="447B4624"/>
    <w:rsid w:val="447B737A"/>
    <w:rsid w:val="448160DE"/>
    <w:rsid w:val="44817E8C"/>
    <w:rsid w:val="44836DDE"/>
    <w:rsid w:val="44876B28"/>
    <w:rsid w:val="448C6831"/>
    <w:rsid w:val="449140CC"/>
    <w:rsid w:val="44921D2E"/>
    <w:rsid w:val="44983428"/>
    <w:rsid w:val="449D459A"/>
    <w:rsid w:val="449E2B67"/>
    <w:rsid w:val="44A6643B"/>
    <w:rsid w:val="44A818BD"/>
    <w:rsid w:val="44AB4702"/>
    <w:rsid w:val="44B40F84"/>
    <w:rsid w:val="44B87626"/>
    <w:rsid w:val="44BA339E"/>
    <w:rsid w:val="44BA514C"/>
    <w:rsid w:val="44C361AF"/>
    <w:rsid w:val="44C4421D"/>
    <w:rsid w:val="44D02BC2"/>
    <w:rsid w:val="44D2693A"/>
    <w:rsid w:val="44E001FA"/>
    <w:rsid w:val="44E65F41"/>
    <w:rsid w:val="44E73A68"/>
    <w:rsid w:val="44EB79FC"/>
    <w:rsid w:val="44ED5522"/>
    <w:rsid w:val="44EE2B8D"/>
    <w:rsid w:val="44F05012"/>
    <w:rsid w:val="44FD4C93"/>
    <w:rsid w:val="44FF5255"/>
    <w:rsid w:val="45067A1F"/>
    <w:rsid w:val="45091C30"/>
    <w:rsid w:val="450A2BB8"/>
    <w:rsid w:val="450B59A8"/>
    <w:rsid w:val="45111DC0"/>
    <w:rsid w:val="4517259F"/>
    <w:rsid w:val="451929FA"/>
    <w:rsid w:val="451A208F"/>
    <w:rsid w:val="451A6000"/>
    <w:rsid w:val="451E7EF2"/>
    <w:rsid w:val="451F1453"/>
    <w:rsid w:val="45272CD2"/>
    <w:rsid w:val="4528655A"/>
    <w:rsid w:val="4529605B"/>
    <w:rsid w:val="452A0524"/>
    <w:rsid w:val="452F0AF3"/>
    <w:rsid w:val="45344EFF"/>
    <w:rsid w:val="453855CF"/>
    <w:rsid w:val="45401AF6"/>
    <w:rsid w:val="45430D3F"/>
    <w:rsid w:val="45440EBA"/>
    <w:rsid w:val="45456FB2"/>
    <w:rsid w:val="4545710C"/>
    <w:rsid w:val="454B049A"/>
    <w:rsid w:val="454B2248"/>
    <w:rsid w:val="454C693D"/>
    <w:rsid w:val="45573759"/>
    <w:rsid w:val="455A06DD"/>
    <w:rsid w:val="455C26A8"/>
    <w:rsid w:val="455D245B"/>
    <w:rsid w:val="4565582E"/>
    <w:rsid w:val="45666CD5"/>
    <w:rsid w:val="45682DFA"/>
    <w:rsid w:val="456D0411"/>
    <w:rsid w:val="457479F1"/>
    <w:rsid w:val="45763769"/>
    <w:rsid w:val="45774DEB"/>
    <w:rsid w:val="45790B64"/>
    <w:rsid w:val="45842933"/>
    <w:rsid w:val="45997458"/>
    <w:rsid w:val="459C0CF6"/>
    <w:rsid w:val="459C2AA4"/>
    <w:rsid w:val="45A8769B"/>
    <w:rsid w:val="45B20519"/>
    <w:rsid w:val="45C10B4B"/>
    <w:rsid w:val="45C344D5"/>
    <w:rsid w:val="45C53DA9"/>
    <w:rsid w:val="45C76B48"/>
    <w:rsid w:val="45CA1B7B"/>
    <w:rsid w:val="45CA7611"/>
    <w:rsid w:val="45CF69D6"/>
    <w:rsid w:val="45D24718"/>
    <w:rsid w:val="45D777CC"/>
    <w:rsid w:val="45DB35CC"/>
    <w:rsid w:val="45DD7344"/>
    <w:rsid w:val="45E00BE3"/>
    <w:rsid w:val="45E16709"/>
    <w:rsid w:val="45E306D3"/>
    <w:rsid w:val="45E83F3B"/>
    <w:rsid w:val="45F20916"/>
    <w:rsid w:val="45F67E46"/>
    <w:rsid w:val="45F709E5"/>
    <w:rsid w:val="45FE6141"/>
    <w:rsid w:val="46001285"/>
    <w:rsid w:val="460728F4"/>
    <w:rsid w:val="46110B49"/>
    <w:rsid w:val="46120993"/>
    <w:rsid w:val="46132D66"/>
    <w:rsid w:val="46162856"/>
    <w:rsid w:val="461B1C1B"/>
    <w:rsid w:val="462064F9"/>
    <w:rsid w:val="462211FB"/>
    <w:rsid w:val="462521AF"/>
    <w:rsid w:val="462A65A2"/>
    <w:rsid w:val="462D04F5"/>
    <w:rsid w:val="46366A55"/>
    <w:rsid w:val="463D6035"/>
    <w:rsid w:val="46454EEA"/>
    <w:rsid w:val="46480390"/>
    <w:rsid w:val="464E1FF0"/>
    <w:rsid w:val="46535859"/>
    <w:rsid w:val="46582E6F"/>
    <w:rsid w:val="465F41FD"/>
    <w:rsid w:val="46601D24"/>
    <w:rsid w:val="46696E2A"/>
    <w:rsid w:val="466C06C8"/>
    <w:rsid w:val="46702F0F"/>
    <w:rsid w:val="4670640B"/>
    <w:rsid w:val="4671257C"/>
    <w:rsid w:val="467852BF"/>
    <w:rsid w:val="467E3F53"/>
    <w:rsid w:val="46827EEC"/>
    <w:rsid w:val="468452BE"/>
    <w:rsid w:val="46873754"/>
    <w:rsid w:val="4691012F"/>
    <w:rsid w:val="46963997"/>
    <w:rsid w:val="469A3487"/>
    <w:rsid w:val="469A6FE4"/>
    <w:rsid w:val="469F0A9E"/>
    <w:rsid w:val="469F284C"/>
    <w:rsid w:val="46A47E62"/>
    <w:rsid w:val="46A63BDA"/>
    <w:rsid w:val="46B00F72"/>
    <w:rsid w:val="46B3324E"/>
    <w:rsid w:val="46B75DE7"/>
    <w:rsid w:val="46BD7176"/>
    <w:rsid w:val="46C045C0"/>
    <w:rsid w:val="46C133EA"/>
    <w:rsid w:val="46C40504"/>
    <w:rsid w:val="46C6427C"/>
    <w:rsid w:val="46C71DA3"/>
    <w:rsid w:val="46C93D6D"/>
    <w:rsid w:val="46CB1893"/>
    <w:rsid w:val="46D36999"/>
    <w:rsid w:val="46D87B0C"/>
    <w:rsid w:val="46DD105A"/>
    <w:rsid w:val="46DE2AC4"/>
    <w:rsid w:val="46E110B6"/>
    <w:rsid w:val="46E12E64"/>
    <w:rsid w:val="46E22739"/>
    <w:rsid w:val="46E2761F"/>
    <w:rsid w:val="46E6047B"/>
    <w:rsid w:val="46E75FA1"/>
    <w:rsid w:val="46E841F3"/>
    <w:rsid w:val="46EA4B04"/>
    <w:rsid w:val="46EB6657"/>
    <w:rsid w:val="46F32B98"/>
    <w:rsid w:val="46F96F76"/>
    <w:rsid w:val="46FB74FD"/>
    <w:rsid w:val="47017063"/>
    <w:rsid w:val="470A2D16"/>
    <w:rsid w:val="471274C2"/>
    <w:rsid w:val="47152B0E"/>
    <w:rsid w:val="47172AA3"/>
    <w:rsid w:val="471D5B35"/>
    <w:rsid w:val="471E7EBD"/>
    <w:rsid w:val="471F573B"/>
    <w:rsid w:val="47222197"/>
    <w:rsid w:val="47332F94"/>
    <w:rsid w:val="4734568A"/>
    <w:rsid w:val="47354F5E"/>
    <w:rsid w:val="47373E8E"/>
    <w:rsid w:val="473C62ED"/>
    <w:rsid w:val="47411B55"/>
    <w:rsid w:val="47484C91"/>
    <w:rsid w:val="474B1993"/>
    <w:rsid w:val="47507FEA"/>
    <w:rsid w:val="4752390A"/>
    <w:rsid w:val="47573126"/>
    <w:rsid w:val="475748CB"/>
    <w:rsid w:val="475F1FDB"/>
    <w:rsid w:val="47631ACB"/>
    <w:rsid w:val="47653A95"/>
    <w:rsid w:val="476870E2"/>
    <w:rsid w:val="47724B3E"/>
    <w:rsid w:val="477912EF"/>
    <w:rsid w:val="477C493B"/>
    <w:rsid w:val="4780267D"/>
    <w:rsid w:val="478234F8"/>
    <w:rsid w:val="478C7274"/>
    <w:rsid w:val="478F466E"/>
    <w:rsid w:val="478F5094"/>
    <w:rsid w:val="47937A49"/>
    <w:rsid w:val="47946129"/>
    <w:rsid w:val="479559FD"/>
    <w:rsid w:val="479C68A6"/>
    <w:rsid w:val="479E0D55"/>
    <w:rsid w:val="47A622EC"/>
    <w:rsid w:val="47A85730"/>
    <w:rsid w:val="47A9027D"/>
    <w:rsid w:val="47AA594C"/>
    <w:rsid w:val="47AD0F98"/>
    <w:rsid w:val="47B02837"/>
    <w:rsid w:val="47B2035D"/>
    <w:rsid w:val="47B73BC5"/>
    <w:rsid w:val="47C23E75"/>
    <w:rsid w:val="47CB7671"/>
    <w:rsid w:val="47CC58C3"/>
    <w:rsid w:val="47D227AD"/>
    <w:rsid w:val="47D32328"/>
    <w:rsid w:val="47D429C9"/>
    <w:rsid w:val="47D600F2"/>
    <w:rsid w:val="47E32C0C"/>
    <w:rsid w:val="47E9088B"/>
    <w:rsid w:val="47F46BC7"/>
    <w:rsid w:val="47F646ED"/>
    <w:rsid w:val="47F8086D"/>
    <w:rsid w:val="47FC782A"/>
    <w:rsid w:val="48010AA9"/>
    <w:rsid w:val="48030BB8"/>
    <w:rsid w:val="48114597"/>
    <w:rsid w:val="481B23A6"/>
    <w:rsid w:val="481E1E96"/>
    <w:rsid w:val="481E4CAB"/>
    <w:rsid w:val="48286871"/>
    <w:rsid w:val="482A25E9"/>
    <w:rsid w:val="482B7781"/>
    <w:rsid w:val="482C6B18"/>
    <w:rsid w:val="48343468"/>
    <w:rsid w:val="48362D3C"/>
    <w:rsid w:val="48397FC1"/>
    <w:rsid w:val="483D45DA"/>
    <w:rsid w:val="484740A8"/>
    <w:rsid w:val="48480CC1"/>
    <w:rsid w:val="484B6D5E"/>
    <w:rsid w:val="48547666"/>
    <w:rsid w:val="48561630"/>
    <w:rsid w:val="485812D4"/>
    <w:rsid w:val="48651873"/>
    <w:rsid w:val="48653621"/>
    <w:rsid w:val="486A50DB"/>
    <w:rsid w:val="48703717"/>
    <w:rsid w:val="48736994"/>
    <w:rsid w:val="487675DC"/>
    <w:rsid w:val="487B1097"/>
    <w:rsid w:val="48831CF9"/>
    <w:rsid w:val="48855A71"/>
    <w:rsid w:val="488937B4"/>
    <w:rsid w:val="48923A9B"/>
    <w:rsid w:val="489310B5"/>
    <w:rsid w:val="48945CB4"/>
    <w:rsid w:val="48A30128"/>
    <w:rsid w:val="48A4239B"/>
    <w:rsid w:val="48A44149"/>
    <w:rsid w:val="48AC1341"/>
    <w:rsid w:val="48AD6CFB"/>
    <w:rsid w:val="48B325DE"/>
    <w:rsid w:val="48B90820"/>
    <w:rsid w:val="48BB1493"/>
    <w:rsid w:val="48C06AA9"/>
    <w:rsid w:val="48C42A3E"/>
    <w:rsid w:val="48CA7928"/>
    <w:rsid w:val="48D10CB7"/>
    <w:rsid w:val="48D2515B"/>
    <w:rsid w:val="48D73830"/>
    <w:rsid w:val="48DA23DA"/>
    <w:rsid w:val="48DA7B6B"/>
    <w:rsid w:val="48DB38E3"/>
    <w:rsid w:val="48DD765B"/>
    <w:rsid w:val="48E1539E"/>
    <w:rsid w:val="48E24C72"/>
    <w:rsid w:val="48E44E8E"/>
    <w:rsid w:val="48E6735E"/>
    <w:rsid w:val="48EA3B26"/>
    <w:rsid w:val="48EB1D78"/>
    <w:rsid w:val="48F00331"/>
    <w:rsid w:val="48FD385A"/>
    <w:rsid w:val="49026EB0"/>
    <w:rsid w:val="4904108C"/>
    <w:rsid w:val="490966A2"/>
    <w:rsid w:val="490B1B5F"/>
    <w:rsid w:val="490B241B"/>
    <w:rsid w:val="490B41C9"/>
    <w:rsid w:val="490C1CEF"/>
    <w:rsid w:val="490C7F41"/>
    <w:rsid w:val="491A0CE9"/>
    <w:rsid w:val="491A265E"/>
    <w:rsid w:val="491D3EFC"/>
    <w:rsid w:val="49311755"/>
    <w:rsid w:val="49382AE4"/>
    <w:rsid w:val="493E5BD6"/>
    <w:rsid w:val="493F3E72"/>
    <w:rsid w:val="4941408E"/>
    <w:rsid w:val="494616A5"/>
    <w:rsid w:val="494707C7"/>
    <w:rsid w:val="494B6CBB"/>
    <w:rsid w:val="494E51AB"/>
    <w:rsid w:val="49575660"/>
    <w:rsid w:val="495D70FC"/>
    <w:rsid w:val="495E1FB7"/>
    <w:rsid w:val="496140CE"/>
    <w:rsid w:val="496164DE"/>
    <w:rsid w:val="49656BC0"/>
    <w:rsid w:val="49667651"/>
    <w:rsid w:val="49691876"/>
    <w:rsid w:val="497F0713"/>
    <w:rsid w:val="49830203"/>
    <w:rsid w:val="498875C7"/>
    <w:rsid w:val="498966DE"/>
    <w:rsid w:val="498A77E3"/>
    <w:rsid w:val="498D2E30"/>
    <w:rsid w:val="499121D2"/>
    <w:rsid w:val="49920446"/>
    <w:rsid w:val="49942410"/>
    <w:rsid w:val="49A308A5"/>
    <w:rsid w:val="49AF4E76"/>
    <w:rsid w:val="49B26D3A"/>
    <w:rsid w:val="49B27819"/>
    <w:rsid w:val="49B6261E"/>
    <w:rsid w:val="49B77EAC"/>
    <w:rsid w:val="49C10D2B"/>
    <w:rsid w:val="49C12A7C"/>
    <w:rsid w:val="49C56A6D"/>
    <w:rsid w:val="49C83E68"/>
    <w:rsid w:val="49CB1BAA"/>
    <w:rsid w:val="49CD147E"/>
    <w:rsid w:val="49D46CB0"/>
    <w:rsid w:val="49D56585"/>
    <w:rsid w:val="49DC3DB7"/>
    <w:rsid w:val="49DE368B"/>
    <w:rsid w:val="49E30CA1"/>
    <w:rsid w:val="49E36EF3"/>
    <w:rsid w:val="49EE7713"/>
    <w:rsid w:val="49EF6290"/>
    <w:rsid w:val="49F7474D"/>
    <w:rsid w:val="49FE52CC"/>
    <w:rsid w:val="4A037596"/>
    <w:rsid w:val="4A0C644A"/>
    <w:rsid w:val="4A123335"/>
    <w:rsid w:val="4A1672C9"/>
    <w:rsid w:val="4A1C404E"/>
    <w:rsid w:val="4A1E617D"/>
    <w:rsid w:val="4A235542"/>
    <w:rsid w:val="4A296BD1"/>
    <w:rsid w:val="4A2D4613"/>
    <w:rsid w:val="4A2D7323"/>
    <w:rsid w:val="4A325AB6"/>
    <w:rsid w:val="4A34774F"/>
    <w:rsid w:val="4A370FED"/>
    <w:rsid w:val="4A372D9B"/>
    <w:rsid w:val="4A3B6D2F"/>
    <w:rsid w:val="4A4161CA"/>
    <w:rsid w:val="4A4A0D21"/>
    <w:rsid w:val="4A527BD5"/>
    <w:rsid w:val="4A58168F"/>
    <w:rsid w:val="4A5D5D84"/>
    <w:rsid w:val="4A6137AA"/>
    <w:rsid w:val="4A686E5C"/>
    <w:rsid w:val="4A7A7858"/>
    <w:rsid w:val="4A7D10F6"/>
    <w:rsid w:val="4A7D4C52"/>
    <w:rsid w:val="4A804742"/>
    <w:rsid w:val="4A8204BA"/>
    <w:rsid w:val="4A875AD1"/>
    <w:rsid w:val="4A9106FD"/>
    <w:rsid w:val="4A91694F"/>
    <w:rsid w:val="4A9D52F4"/>
    <w:rsid w:val="4AAE7EC8"/>
    <w:rsid w:val="4AAF5028"/>
    <w:rsid w:val="4AB54D91"/>
    <w:rsid w:val="4AB66F0D"/>
    <w:rsid w:val="4AB670D1"/>
    <w:rsid w:val="4ABA6CC2"/>
    <w:rsid w:val="4ACB00B3"/>
    <w:rsid w:val="4ACD77C9"/>
    <w:rsid w:val="4ACE1952"/>
    <w:rsid w:val="4ACF7478"/>
    <w:rsid w:val="4AD056CA"/>
    <w:rsid w:val="4AD11442"/>
    <w:rsid w:val="4AD131F0"/>
    <w:rsid w:val="4AD93E52"/>
    <w:rsid w:val="4ADF60F1"/>
    <w:rsid w:val="4AE05F6E"/>
    <w:rsid w:val="4AE274E7"/>
    <w:rsid w:val="4AE7656F"/>
    <w:rsid w:val="4AEE78FE"/>
    <w:rsid w:val="4AF33166"/>
    <w:rsid w:val="4AF92706"/>
    <w:rsid w:val="4AFA3691"/>
    <w:rsid w:val="4AFA62A3"/>
    <w:rsid w:val="4AFF5FAF"/>
    <w:rsid w:val="4B0774FD"/>
    <w:rsid w:val="4B0C5FAB"/>
    <w:rsid w:val="4B0D06CC"/>
    <w:rsid w:val="4B0E61F2"/>
    <w:rsid w:val="4B117A90"/>
    <w:rsid w:val="4B124E43"/>
    <w:rsid w:val="4B1F0738"/>
    <w:rsid w:val="4B1F3F5B"/>
    <w:rsid w:val="4B2257F9"/>
    <w:rsid w:val="4B26353C"/>
    <w:rsid w:val="4B2A1534"/>
    <w:rsid w:val="4B2A405F"/>
    <w:rsid w:val="4B2B0B52"/>
    <w:rsid w:val="4B307F16"/>
    <w:rsid w:val="4B3612A5"/>
    <w:rsid w:val="4B375749"/>
    <w:rsid w:val="4B386DCB"/>
    <w:rsid w:val="4B3B5F7E"/>
    <w:rsid w:val="4B413013"/>
    <w:rsid w:val="4B46598C"/>
    <w:rsid w:val="4B46773A"/>
    <w:rsid w:val="4B5005B9"/>
    <w:rsid w:val="4B531212"/>
    <w:rsid w:val="4B533C05"/>
    <w:rsid w:val="4B667DDC"/>
    <w:rsid w:val="4B674448"/>
    <w:rsid w:val="4B69167A"/>
    <w:rsid w:val="4B6B3E21"/>
    <w:rsid w:val="4B721FAC"/>
    <w:rsid w:val="4B7A7462"/>
    <w:rsid w:val="4B7F2C4C"/>
    <w:rsid w:val="4B887D52"/>
    <w:rsid w:val="4B8B7843"/>
    <w:rsid w:val="4B8D7117"/>
    <w:rsid w:val="4B923D95"/>
    <w:rsid w:val="4B9304A5"/>
    <w:rsid w:val="4B943EF6"/>
    <w:rsid w:val="4B9743E4"/>
    <w:rsid w:val="4B977F95"/>
    <w:rsid w:val="4B9A1F15"/>
    <w:rsid w:val="4B9C1A50"/>
    <w:rsid w:val="4BA13E68"/>
    <w:rsid w:val="4BA24A06"/>
    <w:rsid w:val="4BA426B2"/>
    <w:rsid w:val="4BA86AE5"/>
    <w:rsid w:val="4BA95F1B"/>
    <w:rsid w:val="4BAD5A0B"/>
    <w:rsid w:val="4BB351BD"/>
    <w:rsid w:val="4BB5666E"/>
    <w:rsid w:val="4BB73B85"/>
    <w:rsid w:val="4BB74194"/>
    <w:rsid w:val="4BB87F0C"/>
    <w:rsid w:val="4BB9615E"/>
    <w:rsid w:val="4BBE31C1"/>
    <w:rsid w:val="4BBF1D3E"/>
    <w:rsid w:val="4BC0573E"/>
    <w:rsid w:val="4BC0643B"/>
    <w:rsid w:val="4BC114B6"/>
    <w:rsid w:val="4BC125AC"/>
    <w:rsid w:val="4BC44B03"/>
    <w:rsid w:val="4BC70D12"/>
    <w:rsid w:val="4BC80BED"/>
    <w:rsid w:val="4BCC36DF"/>
    <w:rsid w:val="4BCD4623"/>
    <w:rsid w:val="4BCF3BD3"/>
    <w:rsid w:val="4BCF57F6"/>
    <w:rsid w:val="4BDA424C"/>
    <w:rsid w:val="4BDE3E16"/>
    <w:rsid w:val="4BE40D01"/>
    <w:rsid w:val="4BF41002"/>
    <w:rsid w:val="4BF90C50"/>
    <w:rsid w:val="4BF947AC"/>
    <w:rsid w:val="4BFC24EE"/>
    <w:rsid w:val="4BFC65E6"/>
    <w:rsid w:val="4C0118B3"/>
    <w:rsid w:val="4C0416DB"/>
    <w:rsid w:val="4C0B44E0"/>
    <w:rsid w:val="4C103A4E"/>
    <w:rsid w:val="4C115F9A"/>
    <w:rsid w:val="4C28128E"/>
    <w:rsid w:val="4C285091"/>
    <w:rsid w:val="4C286E40"/>
    <w:rsid w:val="4C2B503E"/>
    <w:rsid w:val="4C2C4EB9"/>
    <w:rsid w:val="4C2D26A8"/>
    <w:rsid w:val="4C325706"/>
    <w:rsid w:val="4C327CBE"/>
    <w:rsid w:val="4C35155C"/>
    <w:rsid w:val="4C365A00"/>
    <w:rsid w:val="4C373527"/>
    <w:rsid w:val="4C3B3017"/>
    <w:rsid w:val="4C40062D"/>
    <w:rsid w:val="4C4733DF"/>
    <w:rsid w:val="4C4F261E"/>
    <w:rsid w:val="4C51049A"/>
    <w:rsid w:val="4C5145E8"/>
    <w:rsid w:val="4C5639AD"/>
    <w:rsid w:val="4C583BC9"/>
    <w:rsid w:val="4C5C2F8D"/>
    <w:rsid w:val="4C5C4D3B"/>
    <w:rsid w:val="4C5E0AB3"/>
    <w:rsid w:val="4C650094"/>
    <w:rsid w:val="4C6C7744"/>
    <w:rsid w:val="4C6D519A"/>
    <w:rsid w:val="4C6E50DF"/>
    <w:rsid w:val="4C6F0F12"/>
    <w:rsid w:val="4C7107E7"/>
    <w:rsid w:val="4C7311D9"/>
    <w:rsid w:val="4C735FF7"/>
    <w:rsid w:val="4C7370F0"/>
    <w:rsid w:val="4C7E4CB1"/>
    <w:rsid w:val="4C83051A"/>
    <w:rsid w:val="4C871DB8"/>
    <w:rsid w:val="4C8D3147"/>
    <w:rsid w:val="4C96024D"/>
    <w:rsid w:val="4C995F8F"/>
    <w:rsid w:val="4C9A3AC9"/>
    <w:rsid w:val="4C9D3ED0"/>
    <w:rsid w:val="4C9D62C0"/>
    <w:rsid w:val="4CA30BBC"/>
    <w:rsid w:val="4CA51888"/>
    <w:rsid w:val="4CB614C5"/>
    <w:rsid w:val="4CB86415"/>
    <w:rsid w:val="4CC34DBA"/>
    <w:rsid w:val="4CCF19B1"/>
    <w:rsid w:val="4CD11285"/>
    <w:rsid w:val="4CD6689C"/>
    <w:rsid w:val="4CD754F1"/>
    <w:rsid w:val="4CE216E4"/>
    <w:rsid w:val="4CE95494"/>
    <w:rsid w:val="4CEC60BF"/>
    <w:rsid w:val="4CEC7770"/>
    <w:rsid w:val="4CF17B79"/>
    <w:rsid w:val="4CF66F3E"/>
    <w:rsid w:val="4CFA6A2E"/>
    <w:rsid w:val="4CFE5DF2"/>
    <w:rsid w:val="4D01600E"/>
    <w:rsid w:val="4D027691"/>
    <w:rsid w:val="4D090A1F"/>
    <w:rsid w:val="4D0B0C3B"/>
    <w:rsid w:val="4D0C050F"/>
    <w:rsid w:val="4D0C6761"/>
    <w:rsid w:val="4D150064"/>
    <w:rsid w:val="4D151ABA"/>
    <w:rsid w:val="4D1675E0"/>
    <w:rsid w:val="4D1D44CA"/>
    <w:rsid w:val="4D227D33"/>
    <w:rsid w:val="4D245859"/>
    <w:rsid w:val="4D275349"/>
    <w:rsid w:val="4D2E0486"/>
    <w:rsid w:val="4D381304"/>
    <w:rsid w:val="4D3F4582"/>
    <w:rsid w:val="4D41465D"/>
    <w:rsid w:val="4D4203D5"/>
    <w:rsid w:val="4D422183"/>
    <w:rsid w:val="4D44414D"/>
    <w:rsid w:val="4D4B54DB"/>
    <w:rsid w:val="4D4C7209"/>
    <w:rsid w:val="4D4E28D6"/>
    <w:rsid w:val="4D5048A0"/>
    <w:rsid w:val="4D537EEC"/>
    <w:rsid w:val="4D5910FF"/>
    <w:rsid w:val="4D5A74CD"/>
    <w:rsid w:val="4D5D0D6B"/>
    <w:rsid w:val="4D626381"/>
    <w:rsid w:val="4D6306C2"/>
    <w:rsid w:val="4D6B792C"/>
    <w:rsid w:val="4D6D36A4"/>
    <w:rsid w:val="4D6F452E"/>
    <w:rsid w:val="4D752558"/>
    <w:rsid w:val="4D75797B"/>
    <w:rsid w:val="4D7F0CE1"/>
    <w:rsid w:val="4D814A59"/>
    <w:rsid w:val="4D844BCE"/>
    <w:rsid w:val="4D994499"/>
    <w:rsid w:val="4D9D385D"/>
    <w:rsid w:val="4DA06E58"/>
    <w:rsid w:val="4DA9608F"/>
    <w:rsid w:val="4DAC20D0"/>
    <w:rsid w:val="4DB7491F"/>
    <w:rsid w:val="4DBE3EFF"/>
    <w:rsid w:val="4DC4703C"/>
    <w:rsid w:val="4DCC40A8"/>
    <w:rsid w:val="4DCE2BFF"/>
    <w:rsid w:val="4DD23507"/>
    <w:rsid w:val="4DD31850"/>
    <w:rsid w:val="4DD3727F"/>
    <w:rsid w:val="4DD454D1"/>
    <w:rsid w:val="4DD53018"/>
    <w:rsid w:val="4DDE0F4B"/>
    <w:rsid w:val="4DDF3E76"/>
    <w:rsid w:val="4DE1199C"/>
    <w:rsid w:val="4DE72F2C"/>
    <w:rsid w:val="4DF67155"/>
    <w:rsid w:val="4E0833CC"/>
    <w:rsid w:val="4E0B4C6B"/>
    <w:rsid w:val="4E0F6509"/>
    <w:rsid w:val="4E165AE9"/>
    <w:rsid w:val="4E197388"/>
    <w:rsid w:val="4E200716"/>
    <w:rsid w:val="4E21448E"/>
    <w:rsid w:val="4E231FB4"/>
    <w:rsid w:val="4E28581D"/>
    <w:rsid w:val="4E30022D"/>
    <w:rsid w:val="4E323FA5"/>
    <w:rsid w:val="4E353A96"/>
    <w:rsid w:val="4E37780E"/>
    <w:rsid w:val="4E453CD9"/>
    <w:rsid w:val="4E5141A5"/>
    <w:rsid w:val="4E53036B"/>
    <w:rsid w:val="4E574397"/>
    <w:rsid w:val="4E5B79A0"/>
    <w:rsid w:val="4E5D35AC"/>
    <w:rsid w:val="4E600B13"/>
    <w:rsid w:val="4E612ADD"/>
    <w:rsid w:val="4E65437B"/>
    <w:rsid w:val="4E66521C"/>
    <w:rsid w:val="4E676345"/>
    <w:rsid w:val="4E78439B"/>
    <w:rsid w:val="4E797E26"/>
    <w:rsid w:val="4E824F2D"/>
    <w:rsid w:val="4E875D72"/>
    <w:rsid w:val="4E8B1908"/>
    <w:rsid w:val="4E8D38D2"/>
    <w:rsid w:val="4E916F1E"/>
    <w:rsid w:val="4E946A0E"/>
    <w:rsid w:val="4E9B7D9D"/>
    <w:rsid w:val="4E9D1D67"/>
    <w:rsid w:val="4EA330F5"/>
    <w:rsid w:val="4EA65F89"/>
    <w:rsid w:val="4EAF1A9A"/>
    <w:rsid w:val="4EB23038"/>
    <w:rsid w:val="4EB42C0C"/>
    <w:rsid w:val="4EB61552"/>
    <w:rsid w:val="4EC07803"/>
    <w:rsid w:val="4EC41A69"/>
    <w:rsid w:val="4EC866B8"/>
    <w:rsid w:val="4EC943E7"/>
    <w:rsid w:val="4ECC264C"/>
    <w:rsid w:val="4ED77988"/>
    <w:rsid w:val="4EDB63EB"/>
    <w:rsid w:val="4EEE25C2"/>
    <w:rsid w:val="4EF32E4E"/>
    <w:rsid w:val="4EF83441"/>
    <w:rsid w:val="4EF86F9D"/>
    <w:rsid w:val="4EFB6A76"/>
    <w:rsid w:val="4EFD0A57"/>
    <w:rsid w:val="4F12591C"/>
    <w:rsid w:val="4F147B4F"/>
    <w:rsid w:val="4F247196"/>
    <w:rsid w:val="4F2953A8"/>
    <w:rsid w:val="4F2A2ECF"/>
    <w:rsid w:val="4F2B261B"/>
    <w:rsid w:val="4F2C4E99"/>
    <w:rsid w:val="4F2E58FF"/>
    <w:rsid w:val="4F2F6737"/>
    <w:rsid w:val="4F304989"/>
    <w:rsid w:val="4F336227"/>
    <w:rsid w:val="4F372CC3"/>
    <w:rsid w:val="4F3E4570"/>
    <w:rsid w:val="4F4B17C3"/>
    <w:rsid w:val="4F5023DA"/>
    <w:rsid w:val="4F5166AD"/>
    <w:rsid w:val="4F530677"/>
    <w:rsid w:val="4F532425"/>
    <w:rsid w:val="4F5A37B4"/>
    <w:rsid w:val="4F5D14F6"/>
    <w:rsid w:val="4F5F701C"/>
    <w:rsid w:val="4F625F52"/>
    <w:rsid w:val="4F652159"/>
    <w:rsid w:val="4F6E54B1"/>
    <w:rsid w:val="4F7F2BA1"/>
    <w:rsid w:val="4F8151E4"/>
    <w:rsid w:val="4F840831"/>
    <w:rsid w:val="4F847B70"/>
    <w:rsid w:val="4F895E47"/>
    <w:rsid w:val="4F8E4E5D"/>
    <w:rsid w:val="4FA709C3"/>
    <w:rsid w:val="4FAC4ED0"/>
    <w:rsid w:val="4FAC6626"/>
    <w:rsid w:val="4FBA1399"/>
    <w:rsid w:val="4FC1784C"/>
    <w:rsid w:val="4FC20464"/>
    <w:rsid w:val="4FC46BD9"/>
    <w:rsid w:val="4FC7765E"/>
    <w:rsid w:val="4FC82E13"/>
    <w:rsid w:val="4FD64330"/>
    <w:rsid w:val="4FD863CB"/>
    <w:rsid w:val="4FD95B8A"/>
    <w:rsid w:val="4FDC0F3A"/>
    <w:rsid w:val="4FE145CA"/>
    <w:rsid w:val="4FE62232"/>
    <w:rsid w:val="4FE65048"/>
    <w:rsid w:val="4FF04118"/>
    <w:rsid w:val="4FFE6835"/>
    <w:rsid w:val="4FFF25AD"/>
    <w:rsid w:val="50034A70"/>
    <w:rsid w:val="500656EA"/>
    <w:rsid w:val="500D6A78"/>
    <w:rsid w:val="50102193"/>
    <w:rsid w:val="5010292C"/>
    <w:rsid w:val="50175B49"/>
    <w:rsid w:val="501778F7"/>
    <w:rsid w:val="501C4F0D"/>
    <w:rsid w:val="50265D8C"/>
    <w:rsid w:val="502B287F"/>
    <w:rsid w:val="502B5150"/>
    <w:rsid w:val="502D2C76"/>
    <w:rsid w:val="502F3FDB"/>
    <w:rsid w:val="503474FD"/>
    <w:rsid w:val="50447942"/>
    <w:rsid w:val="50487AB0"/>
    <w:rsid w:val="50493828"/>
    <w:rsid w:val="505459FF"/>
    <w:rsid w:val="50574197"/>
    <w:rsid w:val="505867F1"/>
    <w:rsid w:val="506019B6"/>
    <w:rsid w:val="50616DC4"/>
    <w:rsid w:val="50630D8E"/>
    <w:rsid w:val="50632B3C"/>
    <w:rsid w:val="506A5C79"/>
    <w:rsid w:val="5075461D"/>
    <w:rsid w:val="50811214"/>
    <w:rsid w:val="50855EE1"/>
    <w:rsid w:val="50884351"/>
    <w:rsid w:val="508872DA"/>
    <w:rsid w:val="508A4035"/>
    <w:rsid w:val="508A7D3A"/>
    <w:rsid w:val="50937803"/>
    <w:rsid w:val="509C048A"/>
    <w:rsid w:val="50A32F39"/>
    <w:rsid w:val="50AE3672"/>
    <w:rsid w:val="50AF4CDE"/>
    <w:rsid w:val="50B47BA1"/>
    <w:rsid w:val="50B67110"/>
    <w:rsid w:val="50B74101"/>
    <w:rsid w:val="50B74C36"/>
    <w:rsid w:val="50BC224C"/>
    <w:rsid w:val="50BE5FC4"/>
    <w:rsid w:val="50C01D3C"/>
    <w:rsid w:val="50C03AEB"/>
    <w:rsid w:val="50C10D15"/>
    <w:rsid w:val="50C17863"/>
    <w:rsid w:val="50C51101"/>
    <w:rsid w:val="50C7131D"/>
    <w:rsid w:val="50E1178F"/>
    <w:rsid w:val="50E772C9"/>
    <w:rsid w:val="50EE68AA"/>
    <w:rsid w:val="50F166B3"/>
    <w:rsid w:val="50F32112"/>
    <w:rsid w:val="50F639B0"/>
    <w:rsid w:val="50FD6AED"/>
    <w:rsid w:val="510078F8"/>
    <w:rsid w:val="510559A1"/>
    <w:rsid w:val="510A120A"/>
    <w:rsid w:val="510C6D30"/>
    <w:rsid w:val="510D4856"/>
    <w:rsid w:val="51143E36"/>
    <w:rsid w:val="5117392E"/>
    <w:rsid w:val="51183927"/>
    <w:rsid w:val="511A58F1"/>
    <w:rsid w:val="511C421F"/>
    <w:rsid w:val="511D2CEB"/>
    <w:rsid w:val="51204302"/>
    <w:rsid w:val="51281690"/>
    <w:rsid w:val="512C2F2E"/>
    <w:rsid w:val="512D063D"/>
    <w:rsid w:val="512E314A"/>
    <w:rsid w:val="513149E8"/>
    <w:rsid w:val="51330760"/>
    <w:rsid w:val="51363853"/>
    <w:rsid w:val="51363DAD"/>
    <w:rsid w:val="5139389D"/>
    <w:rsid w:val="51501CA0"/>
    <w:rsid w:val="5156506C"/>
    <w:rsid w:val="51586419"/>
    <w:rsid w:val="51597A9B"/>
    <w:rsid w:val="515E0235"/>
    <w:rsid w:val="51600E2A"/>
    <w:rsid w:val="51646B6C"/>
    <w:rsid w:val="51673073"/>
    <w:rsid w:val="516923D4"/>
    <w:rsid w:val="516C4E28"/>
    <w:rsid w:val="516E1798"/>
    <w:rsid w:val="51701D94"/>
    <w:rsid w:val="517174DB"/>
    <w:rsid w:val="51764AF1"/>
    <w:rsid w:val="51782617"/>
    <w:rsid w:val="517D5E7F"/>
    <w:rsid w:val="518014CC"/>
    <w:rsid w:val="519531C9"/>
    <w:rsid w:val="51965F7A"/>
    <w:rsid w:val="51976F41"/>
    <w:rsid w:val="51993D5D"/>
    <w:rsid w:val="51A229D8"/>
    <w:rsid w:val="51A46F68"/>
    <w:rsid w:val="51AF240B"/>
    <w:rsid w:val="51B65454"/>
    <w:rsid w:val="51BF0246"/>
    <w:rsid w:val="51C25640"/>
    <w:rsid w:val="51C4585C"/>
    <w:rsid w:val="51C4760A"/>
    <w:rsid w:val="51CD421C"/>
    <w:rsid w:val="51D81308"/>
    <w:rsid w:val="51D82771"/>
    <w:rsid w:val="51DD06CC"/>
    <w:rsid w:val="51E63A25"/>
    <w:rsid w:val="51E67581"/>
    <w:rsid w:val="51EB4853"/>
    <w:rsid w:val="51F1590B"/>
    <w:rsid w:val="51F223CA"/>
    <w:rsid w:val="51F231A6"/>
    <w:rsid w:val="51F36142"/>
    <w:rsid w:val="51F37EF0"/>
    <w:rsid w:val="51FB0B52"/>
    <w:rsid w:val="52001EDD"/>
    <w:rsid w:val="52043EAB"/>
    <w:rsid w:val="52045C59"/>
    <w:rsid w:val="520774F7"/>
    <w:rsid w:val="520B6FE7"/>
    <w:rsid w:val="520C5643"/>
    <w:rsid w:val="520D41CD"/>
    <w:rsid w:val="520E6AD8"/>
    <w:rsid w:val="5212481A"/>
    <w:rsid w:val="52171E30"/>
    <w:rsid w:val="52181704"/>
    <w:rsid w:val="52187956"/>
    <w:rsid w:val="521A1920"/>
    <w:rsid w:val="521A36CE"/>
    <w:rsid w:val="522105B9"/>
    <w:rsid w:val="522C6454"/>
    <w:rsid w:val="522E2CD6"/>
    <w:rsid w:val="5234700E"/>
    <w:rsid w:val="52350508"/>
    <w:rsid w:val="523920F4"/>
    <w:rsid w:val="523A78CD"/>
    <w:rsid w:val="523C1897"/>
    <w:rsid w:val="523E560F"/>
    <w:rsid w:val="52432C25"/>
    <w:rsid w:val="524349D3"/>
    <w:rsid w:val="52435D77"/>
    <w:rsid w:val="524565F7"/>
    <w:rsid w:val="524D13AE"/>
    <w:rsid w:val="52522E68"/>
    <w:rsid w:val="52591150"/>
    <w:rsid w:val="52595FA5"/>
    <w:rsid w:val="52642B9B"/>
    <w:rsid w:val="5265579F"/>
    <w:rsid w:val="526B31C7"/>
    <w:rsid w:val="526F0D33"/>
    <w:rsid w:val="527949B6"/>
    <w:rsid w:val="527E3C5D"/>
    <w:rsid w:val="528154FB"/>
    <w:rsid w:val="528A593B"/>
    <w:rsid w:val="528C45CC"/>
    <w:rsid w:val="528F7C18"/>
    <w:rsid w:val="52946FDD"/>
    <w:rsid w:val="52A116FA"/>
    <w:rsid w:val="52AF2069"/>
    <w:rsid w:val="52B3751A"/>
    <w:rsid w:val="52B4767F"/>
    <w:rsid w:val="52B753C1"/>
    <w:rsid w:val="52BB3073"/>
    <w:rsid w:val="52C13B4A"/>
    <w:rsid w:val="52C75604"/>
    <w:rsid w:val="52C84ED8"/>
    <w:rsid w:val="52CB130A"/>
    <w:rsid w:val="52CD2703"/>
    <w:rsid w:val="52CD39D2"/>
    <w:rsid w:val="52D27B05"/>
    <w:rsid w:val="52D84BFF"/>
    <w:rsid w:val="52D95337"/>
    <w:rsid w:val="52DC2732"/>
    <w:rsid w:val="52E33AC0"/>
    <w:rsid w:val="52E44E05"/>
    <w:rsid w:val="52E54539"/>
    <w:rsid w:val="52E5733C"/>
    <w:rsid w:val="52EA5A01"/>
    <w:rsid w:val="52ED0DE3"/>
    <w:rsid w:val="52F45CCD"/>
    <w:rsid w:val="52F67C97"/>
    <w:rsid w:val="52F7005F"/>
    <w:rsid w:val="52FB3500"/>
    <w:rsid w:val="52FD1026"/>
    <w:rsid w:val="530A200C"/>
    <w:rsid w:val="530C1269"/>
    <w:rsid w:val="530C5752"/>
    <w:rsid w:val="531C3B95"/>
    <w:rsid w:val="531E71EE"/>
    <w:rsid w:val="531F652B"/>
    <w:rsid w:val="53274620"/>
    <w:rsid w:val="532A16EF"/>
    <w:rsid w:val="532A7941"/>
    <w:rsid w:val="533802B0"/>
    <w:rsid w:val="53394028"/>
    <w:rsid w:val="533A5BFF"/>
    <w:rsid w:val="533B38FC"/>
    <w:rsid w:val="533C1349"/>
    <w:rsid w:val="533C1422"/>
    <w:rsid w:val="533F47B1"/>
    <w:rsid w:val="537312E8"/>
    <w:rsid w:val="537D2167"/>
    <w:rsid w:val="53874D93"/>
    <w:rsid w:val="5389269B"/>
    <w:rsid w:val="538F59F6"/>
    <w:rsid w:val="53933738"/>
    <w:rsid w:val="5394125E"/>
    <w:rsid w:val="53966D85"/>
    <w:rsid w:val="53980081"/>
    <w:rsid w:val="53990623"/>
    <w:rsid w:val="539C6FDD"/>
    <w:rsid w:val="539F3E8B"/>
    <w:rsid w:val="53B27FC3"/>
    <w:rsid w:val="53B33FCE"/>
    <w:rsid w:val="53BB67EB"/>
    <w:rsid w:val="53BC0D71"/>
    <w:rsid w:val="53BD2563"/>
    <w:rsid w:val="53BD6A07"/>
    <w:rsid w:val="53C15826"/>
    <w:rsid w:val="53C402D2"/>
    <w:rsid w:val="53C71634"/>
    <w:rsid w:val="53C74976"/>
    <w:rsid w:val="53C90F08"/>
    <w:rsid w:val="53CC6C4A"/>
    <w:rsid w:val="53CF47D3"/>
    <w:rsid w:val="53D02297"/>
    <w:rsid w:val="53D14261"/>
    <w:rsid w:val="53D53D51"/>
    <w:rsid w:val="53DD2C05"/>
    <w:rsid w:val="53E24B5F"/>
    <w:rsid w:val="53E61ABA"/>
    <w:rsid w:val="53EA0E7E"/>
    <w:rsid w:val="53EB1733"/>
    <w:rsid w:val="53EC14F6"/>
    <w:rsid w:val="53F02939"/>
    <w:rsid w:val="53F957B4"/>
    <w:rsid w:val="53FD1E0E"/>
    <w:rsid w:val="53FE57C8"/>
    <w:rsid w:val="54065A6A"/>
    <w:rsid w:val="54106B37"/>
    <w:rsid w:val="5419056A"/>
    <w:rsid w:val="54203B1E"/>
    <w:rsid w:val="54273E81"/>
    <w:rsid w:val="54281936"/>
    <w:rsid w:val="542B3971"/>
    <w:rsid w:val="543A0058"/>
    <w:rsid w:val="543C16DA"/>
    <w:rsid w:val="5440557B"/>
    <w:rsid w:val="54443C25"/>
    <w:rsid w:val="54534C76"/>
    <w:rsid w:val="545729B8"/>
    <w:rsid w:val="545C1D7C"/>
    <w:rsid w:val="54680ECA"/>
    <w:rsid w:val="54694499"/>
    <w:rsid w:val="546A07E8"/>
    <w:rsid w:val="546B1FBF"/>
    <w:rsid w:val="546B6463"/>
    <w:rsid w:val="5472334E"/>
    <w:rsid w:val="5474356A"/>
    <w:rsid w:val="54751090"/>
    <w:rsid w:val="5479292E"/>
    <w:rsid w:val="547A66A6"/>
    <w:rsid w:val="547F1F0F"/>
    <w:rsid w:val="547F2161"/>
    <w:rsid w:val="54866D6A"/>
    <w:rsid w:val="54891A20"/>
    <w:rsid w:val="548D0188"/>
    <w:rsid w:val="549635BC"/>
    <w:rsid w:val="54971006"/>
    <w:rsid w:val="54973F96"/>
    <w:rsid w:val="549B4A4D"/>
    <w:rsid w:val="549B4DB8"/>
    <w:rsid w:val="549D4B07"/>
    <w:rsid w:val="549E05E7"/>
    <w:rsid w:val="549E33C6"/>
    <w:rsid w:val="549F7BBD"/>
    <w:rsid w:val="54A557A9"/>
    <w:rsid w:val="54A61249"/>
    <w:rsid w:val="54A656ED"/>
    <w:rsid w:val="54A83213"/>
    <w:rsid w:val="54AB5F5C"/>
    <w:rsid w:val="54B43966"/>
    <w:rsid w:val="54B81851"/>
    <w:rsid w:val="54BA6AA3"/>
    <w:rsid w:val="54BB0246"/>
    <w:rsid w:val="54BC0A6D"/>
    <w:rsid w:val="54C142D5"/>
    <w:rsid w:val="54C52883"/>
    <w:rsid w:val="54CA13DC"/>
    <w:rsid w:val="54CC6443"/>
    <w:rsid w:val="54CD4D6A"/>
    <w:rsid w:val="54D04518"/>
    <w:rsid w:val="54D062C6"/>
    <w:rsid w:val="54D1276A"/>
    <w:rsid w:val="54D83570"/>
    <w:rsid w:val="54DB5397"/>
    <w:rsid w:val="54DC110F"/>
    <w:rsid w:val="54E2107C"/>
    <w:rsid w:val="54E30C7D"/>
    <w:rsid w:val="54E83610"/>
    <w:rsid w:val="54EA382C"/>
    <w:rsid w:val="54EA55DA"/>
    <w:rsid w:val="54EB4EAE"/>
    <w:rsid w:val="54EC75A4"/>
    <w:rsid w:val="54EF499E"/>
    <w:rsid w:val="54FE2A13"/>
    <w:rsid w:val="55024486"/>
    <w:rsid w:val="55045144"/>
    <w:rsid w:val="55083AC5"/>
    <w:rsid w:val="55085A60"/>
    <w:rsid w:val="550F6DEF"/>
    <w:rsid w:val="551072FC"/>
    <w:rsid w:val="55191A1B"/>
    <w:rsid w:val="551C775D"/>
    <w:rsid w:val="551E7032"/>
    <w:rsid w:val="55216B22"/>
    <w:rsid w:val="55236D3E"/>
    <w:rsid w:val="552705DC"/>
    <w:rsid w:val="552A1E7A"/>
    <w:rsid w:val="552C79A0"/>
    <w:rsid w:val="552D3354"/>
    <w:rsid w:val="55434CEA"/>
    <w:rsid w:val="554E6B9C"/>
    <w:rsid w:val="55515248"/>
    <w:rsid w:val="55515659"/>
    <w:rsid w:val="55545149"/>
    <w:rsid w:val="555C4B46"/>
    <w:rsid w:val="555D2250"/>
    <w:rsid w:val="5560764A"/>
    <w:rsid w:val="55621614"/>
    <w:rsid w:val="556A2277"/>
    <w:rsid w:val="556A671B"/>
    <w:rsid w:val="556B1D07"/>
    <w:rsid w:val="55717AA9"/>
    <w:rsid w:val="55775F4C"/>
    <w:rsid w:val="5579070C"/>
    <w:rsid w:val="55794917"/>
    <w:rsid w:val="558477DD"/>
    <w:rsid w:val="55955E1E"/>
    <w:rsid w:val="5596306C"/>
    <w:rsid w:val="559902D6"/>
    <w:rsid w:val="559A7000"/>
    <w:rsid w:val="559D43FA"/>
    <w:rsid w:val="55A51501"/>
    <w:rsid w:val="55A72A15"/>
    <w:rsid w:val="55A90FF1"/>
    <w:rsid w:val="55AA4D69"/>
    <w:rsid w:val="55AC288F"/>
    <w:rsid w:val="55C027DF"/>
    <w:rsid w:val="55C23E61"/>
    <w:rsid w:val="55D22A77"/>
    <w:rsid w:val="55E02539"/>
    <w:rsid w:val="55E77D6B"/>
    <w:rsid w:val="55EB1088"/>
    <w:rsid w:val="55EE10FA"/>
    <w:rsid w:val="55EE4C56"/>
    <w:rsid w:val="55F127EE"/>
    <w:rsid w:val="55F81F79"/>
    <w:rsid w:val="55F83D27"/>
    <w:rsid w:val="55F85AD5"/>
    <w:rsid w:val="55FD30EB"/>
    <w:rsid w:val="56095F34"/>
    <w:rsid w:val="560C1580"/>
    <w:rsid w:val="56156687"/>
    <w:rsid w:val="561C5C67"/>
    <w:rsid w:val="561D2A3F"/>
    <w:rsid w:val="561F3061"/>
    <w:rsid w:val="56215531"/>
    <w:rsid w:val="562156F5"/>
    <w:rsid w:val="56222B52"/>
    <w:rsid w:val="56245FEB"/>
    <w:rsid w:val="56260894"/>
    <w:rsid w:val="562A45DB"/>
    <w:rsid w:val="56332FB1"/>
    <w:rsid w:val="56334D5F"/>
    <w:rsid w:val="56352885"/>
    <w:rsid w:val="56384123"/>
    <w:rsid w:val="563B0AA3"/>
    <w:rsid w:val="56414966"/>
    <w:rsid w:val="5642004D"/>
    <w:rsid w:val="564451BE"/>
    <w:rsid w:val="56491952"/>
    <w:rsid w:val="56496330"/>
    <w:rsid w:val="564E3947"/>
    <w:rsid w:val="564E7DEA"/>
    <w:rsid w:val="56510DF0"/>
    <w:rsid w:val="56521689"/>
    <w:rsid w:val="56556BF5"/>
    <w:rsid w:val="56582A17"/>
    <w:rsid w:val="565E627F"/>
    <w:rsid w:val="566413BC"/>
    <w:rsid w:val="56666B5B"/>
    <w:rsid w:val="56682C5A"/>
    <w:rsid w:val="566C774E"/>
    <w:rsid w:val="568278D7"/>
    <w:rsid w:val="56835CE6"/>
    <w:rsid w:val="56850D7E"/>
    <w:rsid w:val="568630E0"/>
    <w:rsid w:val="568832FC"/>
    <w:rsid w:val="568B06F7"/>
    <w:rsid w:val="568E01E7"/>
    <w:rsid w:val="56955A19"/>
    <w:rsid w:val="5697709C"/>
    <w:rsid w:val="569A4DDE"/>
    <w:rsid w:val="569C2F3C"/>
    <w:rsid w:val="569C6DA8"/>
    <w:rsid w:val="569F6CEC"/>
    <w:rsid w:val="56A1616C"/>
    <w:rsid w:val="56A7547E"/>
    <w:rsid w:val="56B532A8"/>
    <w:rsid w:val="56B85264"/>
    <w:rsid w:val="56BB705A"/>
    <w:rsid w:val="56C854A7"/>
    <w:rsid w:val="56CB143B"/>
    <w:rsid w:val="56CF3813"/>
    <w:rsid w:val="56D26326"/>
    <w:rsid w:val="56DE011E"/>
    <w:rsid w:val="56E16569"/>
    <w:rsid w:val="56E46059"/>
    <w:rsid w:val="56F06AA0"/>
    <w:rsid w:val="56F15EAF"/>
    <w:rsid w:val="56F42740"/>
    <w:rsid w:val="570010E5"/>
    <w:rsid w:val="5705494D"/>
    <w:rsid w:val="57062473"/>
    <w:rsid w:val="570B7A8A"/>
    <w:rsid w:val="570F757A"/>
    <w:rsid w:val="571903F8"/>
    <w:rsid w:val="571B752D"/>
    <w:rsid w:val="5720566D"/>
    <w:rsid w:val="572528F9"/>
    <w:rsid w:val="5728063B"/>
    <w:rsid w:val="57284198"/>
    <w:rsid w:val="572A655F"/>
    <w:rsid w:val="572A6725"/>
    <w:rsid w:val="572B1EDA"/>
    <w:rsid w:val="572D3B16"/>
    <w:rsid w:val="57342B3C"/>
    <w:rsid w:val="573945F7"/>
    <w:rsid w:val="573963A5"/>
    <w:rsid w:val="573C0B3A"/>
    <w:rsid w:val="5745075C"/>
    <w:rsid w:val="57607DD5"/>
    <w:rsid w:val="57713D91"/>
    <w:rsid w:val="57727B09"/>
    <w:rsid w:val="57744C6A"/>
    <w:rsid w:val="577DE55B"/>
    <w:rsid w:val="57805D82"/>
    <w:rsid w:val="57827D4C"/>
    <w:rsid w:val="5785783C"/>
    <w:rsid w:val="578735B4"/>
    <w:rsid w:val="5788175D"/>
    <w:rsid w:val="57882E88"/>
    <w:rsid w:val="578C4726"/>
    <w:rsid w:val="578E2369"/>
    <w:rsid w:val="579201F3"/>
    <w:rsid w:val="579D05BD"/>
    <w:rsid w:val="579D547E"/>
    <w:rsid w:val="57A203EE"/>
    <w:rsid w:val="57AE79CC"/>
    <w:rsid w:val="57B123DF"/>
    <w:rsid w:val="57B343A9"/>
    <w:rsid w:val="57B65C47"/>
    <w:rsid w:val="57BD0D84"/>
    <w:rsid w:val="57BD6FD6"/>
    <w:rsid w:val="57BE4AFC"/>
    <w:rsid w:val="57C71C02"/>
    <w:rsid w:val="57D83E10"/>
    <w:rsid w:val="57D85BBE"/>
    <w:rsid w:val="57DE3CC3"/>
    <w:rsid w:val="57E207EA"/>
    <w:rsid w:val="57E3660A"/>
    <w:rsid w:val="57E73000"/>
    <w:rsid w:val="57E81D32"/>
    <w:rsid w:val="57E842D2"/>
    <w:rsid w:val="57E91B79"/>
    <w:rsid w:val="57E9504D"/>
    <w:rsid w:val="57EA58F1"/>
    <w:rsid w:val="57F56770"/>
    <w:rsid w:val="57F64296"/>
    <w:rsid w:val="57FB4891"/>
    <w:rsid w:val="57FF139C"/>
    <w:rsid w:val="58006EC2"/>
    <w:rsid w:val="58041C55"/>
    <w:rsid w:val="58091D80"/>
    <w:rsid w:val="58112E7E"/>
    <w:rsid w:val="581A61D6"/>
    <w:rsid w:val="58207565"/>
    <w:rsid w:val="5822508B"/>
    <w:rsid w:val="58232EFA"/>
    <w:rsid w:val="58242BB1"/>
    <w:rsid w:val="582A3F3F"/>
    <w:rsid w:val="58346163"/>
    <w:rsid w:val="58360B36"/>
    <w:rsid w:val="58396290"/>
    <w:rsid w:val="583F3E8F"/>
    <w:rsid w:val="58421289"/>
    <w:rsid w:val="584A6390"/>
    <w:rsid w:val="584C3E7F"/>
    <w:rsid w:val="584C5771"/>
    <w:rsid w:val="584D30D3"/>
    <w:rsid w:val="58533496"/>
    <w:rsid w:val="585C5545"/>
    <w:rsid w:val="585F1E3B"/>
    <w:rsid w:val="58615BB3"/>
    <w:rsid w:val="586236D9"/>
    <w:rsid w:val="586239D9"/>
    <w:rsid w:val="586F4122"/>
    <w:rsid w:val="58705DF6"/>
    <w:rsid w:val="587868EA"/>
    <w:rsid w:val="587A4EC7"/>
    <w:rsid w:val="587F428B"/>
    <w:rsid w:val="58801DB1"/>
    <w:rsid w:val="58801E3E"/>
    <w:rsid w:val="58831FCD"/>
    <w:rsid w:val="58873140"/>
    <w:rsid w:val="588A3951"/>
    <w:rsid w:val="58900246"/>
    <w:rsid w:val="5895585D"/>
    <w:rsid w:val="589870FB"/>
    <w:rsid w:val="58A12453"/>
    <w:rsid w:val="58A407B1"/>
    <w:rsid w:val="58A601B5"/>
    <w:rsid w:val="58B06B3A"/>
    <w:rsid w:val="58B55EFF"/>
    <w:rsid w:val="58B8154B"/>
    <w:rsid w:val="58BF2513"/>
    <w:rsid w:val="58C75528"/>
    <w:rsid w:val="58C83E84"/>
    <w:rsid w:val="58D02D39"/>
    <w:rsid w:val="58D565A1"/>
    <w:rsid w:val="58DC5CCC"/>
    <w:rsid w:val="58DD4440"/>
    <w:rsid w:val="58E67648"/>
    <w:rsid w:val="58E82F9E"/>
    <w:rsid w:val="58EA72EF"/>
    <w:rsid w:val="58EB1921"/>
    <w:rsid w:val="58EB7B01"/>
    <w:rsid w:val="58F5279F"/>
    <w:rsid w:val="58FA7DB6"/>
    <w:rsid w:val="58FF717A"/>
    <w:rsid w:val="59142C25"/>
    <w:rsid w:val="59172716"/>
    <w:rsid w:val="5919023C"/>
    <w:rsid w:val="59213594"/>
    <w:rsid w:val="59284923"/>
    <w:rsid w:val="592F3F03"/>
    <w:rsid w:val="593432C8"/>
    <w:rsid w:val="59376914"/>
    <w:rsid w:val="593779A6"/>
    <w:rsid w:val="593A3294"/>
    <w:rsid w:val="593C03CE"/>
    <w:rsid w:val="5943350B"/>
    <w:rsid w:val="59434B84"/>
    <w:rsid w:val="59465FF6"/>
    <w:rsid w:val="594661BA"/>
    <w:rsid w:val="594A0CAC"/>
    <w:rsid w:val="594C6863"/>
    <w:rsid w:val="594D4389"/>
    <w:rsid w:val="59534B16"/>
    <w:rsid w:val="5954396A"/>
    <w:rsid w:val="59561490"/>
    <w:rsid w:val="59575208"/>
    <w:rsid w:val="5958194C"/>
    <w:rsid w:val="59594ADC"/>
    <w:rsid w:val="595C281E"/>
    <w:rsid w:val="595C45CC"/>
    <w:rsid w:val="59680B5D"/>
    <w:rsid w:val="596A0A97"/>
    <w:rsid w:val="596D2336"/>
    <w:rsid w:val="596F2BE8"/>
    <w:rsid w:val="59710498"/>
    <w:rsid w:val="59725EE4"/>
    <w:rsid w:val="59777609"/>
    <w:rsid w:val="5979517E"/>
    <w:rsid w:val="597B0EF6"/>
    <w:rsid w:val="597C0489"/>
    <w:rsid w:val="597C07CB"/>
    <w:rsid w:val="597E2795"/>
    <w:rsid w:val="597E47CE"/>
    <w:rsid w:val="597E7408"/>
    <w:rsid w:val="59827FC3"/>
    <w:rsid w:val="59837DAB"/>
    <w:rsid w:val="59861649"/>
    <w:rsid w:val="59883613"/>
    <w:rsid w:val="598B6C60"/>
    <w:rsid w:val="59934492"/>
    <w:rsid w:val="59940185"/>
    <w:rsid w:val="59975605"/>
    <w:rsid w:val="599C0E6D"/>
    <w:rsid w:val="599C2C1B"/>
    <w:rsid w:val="599F1578"/>
    <w:rsid w:val="59A321FB"/>
    <w:rsid w:val="59A541C5"/>
    <w:rsid w:val="59A71CEC"/>
    <w:rsid w:val="59AA3003"/>
    <w:rsid w:val="59AC5554"/>
    <w:rsid w:val="59AC7302"/>
    <w:rsid w:val="59AF0BA0"/>
    <w:rsid w:val="59B14918"/>
    <w:rsid w:val="59B44593"/>
    <w:rsid w:val="59B8606C"/>
    <w:rsid w:val="59C3464B"/>
    <w:rsid w:val="59C37CD6"/>
    <w:rsid w:val="59C52172"/>
    <w:rsid w:val="59D23512"/>
    <w:rsid w:val="59D93E6F"/>
    <w:rsid w:val="59DB22D9"/>
    <w:rsid w:val="59DE4FE1"/>
    <w:rsid w:val="59E135B0"/>
    <w:rsid w:val="59E44536"/>
    <w:rsid w:val="59E545C2"/>
    <w:rsid w:val="59EA3F3F"/>
    <w:rsid w:val="59ED4724"/>
    <w:rsid w:val="59FE4307"/>
    <w:rsid w:val="5A011185"/>
    <w:rsid w:val="5A0E3B19"/>
    <w:rsid w:val="5A1B7FE4"/>
    <w:rsid w:val="5A217462"/>
    <w:rsid w:val="5A2275C4"/>
    <w:rsid w:val="5A280956"/>
    <w:rsid w:val="5A2A7623"/>
    <w:rsid w:val="5A2D3159"/>
    <w:rsid w:val="5A3317D1"/>
    <w:rsid w:val="5A3B2810"/>
    <w:rsid w:val="5A44578C"/>
    <w:rsid w:val="5A45612B"/>
    <w:rsid w:val="5A461504"/>
    <w:rsid w:val="5A494B51"/>
    <w:rsid w:val="5A494BC1"/>
    <w:rsid w:val="5A4C2893"/>
    <w:rsid w:val="5A4C63EF"/>
    <w:rsid w:val="5A533C21"/>
    <w:rsid w:val="5A5659FA"/>
    <w:rsid w:val="5A573DE0"/>
    <w:rsid w:val="5A596E68"/>
    <w:rsid w:val="5A5A29C9"/>
    <w:rsid w:val="5A5D31A1"/>
    <w:rsid w:val="5A617793"/>
    <w:rsid w:val="5A6279C1"/>
    <w:rsid w:val="5A6A2C66"/>
    <w:rsid w:val="5A6E45B7"/>
    <w:rsid w:val="5A722590"/>
    <w:rsid w:val="5A772246"/>
    <w:rsid w:val="5A7723FC"/>
    <w:rsid w:val="5A785436"/>
    <w:rsid w:val="5A8024AB"/>
    <w:rsid w:val="5A81078E"/>
    <w:rsid w:val="5A8B5169"/>
    <w:rsid w:val="5A8E79AB"/>
    <w:rsid w:val="5A985AD8"/>
    <w:rsid w:val="5A9C32F9"/>
    <w:rsid w:val="5AA004E9"/>
    <w:rsid w:val="5AA224B3"/>
    <w:rsid w:val="5AB67D0C"/>
    <w:rsid w:val="5AB76105"/>
    <w:rsid w:val="5AC97A40"/>
    <w:rsid w:val="5ACD1BB7"/>
    <w:rsid w:val="5ACE0213"/>
    <w:rsid w:val="5ACE0C54"/>
    <w:rsid w:val="5AD00DCE"/>
    <w:rsid w:val="5ADD771F"/>
    <w:rsid w:val="5ADF54B5"/>
    <w:rsid w:val="5AE1122D"/>
    <w:rsid w:val="5AE14D89"/>
    <w:rsid w:val="5AE23FEA"/>
    <w:rsid w:val="5AE605F2"/>
    <w:rsid w:val="5AED7BD2"/>
    <w:rsid w:val="5AFA67D1"/>
    <w:rsid w:val="5B0017C8"/>
    <w:rsid w:val="5B0311A3"/>
    <w:rsid w:val="5B0942E0"/>
    <w:rsid w:val="5B1038C0"/>
    <w:rsid w:val="5B195A0A"/>
    <w:rsid w:val="5B1B7148"/>
    <w:rsid w:val="5B21162A"/>
    <w:rsid w:val="5B266C40"/>
    <w:rsid w:val="5B340130"/>
    <w:rsid w:val="5B386973"/>
    <w:rsid w:val="5B3A6B8F"/>
    <w:rsid w:val="5B4256B7"/>
    <w:rsid w:val="5B450D77"/>
    <w:rsid w:val="5B575D5D"/>
    <w:rsid w:val="5B597BA8"/>
    <w:rsid w:val="5B5E63DA"/>
    <w:rsid w:val="5B61403B"/>
    <w:rsid w:val="5B631C42"/>
    <w:rsid w:val="5B650361"/>
    <w:rsid w:val="5B6634E0"/>
    <w:rsid w:val="5B694D7F"/>
    <w:rsid w:val="5B6D277B"/>
    <w:rsid w:val="5B7200D7"/>
    <w:rsid w:val="5B775347"/>
    <w:rsid w:val="5B7E082A"/>
    <w:rsid w:val="5B7F45A2"/>
    <w:rsid w:val="5B89032C"/>
    <w:rsid w:val="5B8A3673"/>
    <w:rsid w:val="5B920779"/>
    <w:rsid w:val="5BA02E96"/>
    <w:rsid w:val="5BA65130"/>
    <w:rsid w:val="5BA75F0B"/>
    <w:rsid w:val="5BAC183B"/>
    <w:rsid w:val="5BAF30D9"/>
    <w:rsid w:val="5BB57FC4"/>
    <w:rsid w:val="5BB701E0"/>
    <w:rsid w:val="5BB95D06"/>
    <w:rsid w:val="5BBB1A7E"/>
    <w:rsid w:val="5BC00E43"/>
    <w:rsid w:val="5BC50747"/>
    <w:rsid w:val="5BCF37AE"/>
    <w:rsid w:val="5BD26DC8"/>
    <w:rsid w:val="5BD526B2"/>
    <w:rsid w:val="5BDA3AC8"/>
    <w:rsid w:val="5BDC7040"/>
    <w:rsid w:val="5BE10896"/>
    <w:rsid w:val="5BE60F46"/>
    <w:rsid w:val="5BEB6AF9"/>
    <w:rsid w:val="5BF14800"/>
    <w:rsid w:val="5BFB1E7B"/>
    <w:rsid w:val="5BFE219A"/>
    <w:rsid w:val="5C003935"/>
    <w:rsid w:val="5C013209"/>
    <w:rsid w:val="5C0A6B94"/>
    <w:rsid w:val="5C121CA4"/>
    <w:rsid w:val="5C164F06"/>
    <w:rsid w:val="5C184220"/>
    <w:rsid w:val="5C1B782B"/>
    <w:rsid w:val="5C1C5E87"/>
    <w:rsid w:val="5C225659"/>
    <w:rsid w:val="5C270EC2"/>
    <w:rsid w:val="5C2C64D8"/>
    <w:rsid w:val="5C2E04A2"/>
    <w:rsid w:val="5C333BAD"/>
    <w:rsid w:val="5C361105"/>
    <w:rsid w:val="5C3931AC"/>
    <w:rsid w:val="5C423F58"/>
    <w:rsid w:val="5C480E38"/>
    <w:rsid w:val="5C4C0928"/>
    <w:rsid w:val="5C514E2F"/>
    <w:rsid w:val="5C5617A7"/>
    <w:rsid w:val="5C5E4709"/>
    <w:rsid w:val="5C606182"/>
    <w:rsid w:val="5C677510"/>
    <w:rsid w:val="5C684CA7"/>
    <w:rsid w:val="5C6914DA"/>
    <w:rsid w:val="5C734107"/>
    <w:rsid w:val="5C7349C4"/>
    <w:rsid w:val="5C734DB5"/>
    <w:rsid w:val="5C78171D"/>
    <w:rsid w:val="5C7C5B98"/>
    <w:rsid w:val="5C7D0BFF"/>
    <w:rsid w:val="5C82647A"/>
    <w:rsid w:val="5C841E70"/>
    <w:rsid w:val="5C877BB2"/>
    <w:rsid w:val="5C89392A"/>
    <w:rsid w:val="5C8D570C"/>
    <w:rsid w:val="5C9C1C7E"/>
    <w:rsid w:val="5CA22C3E"/>
    <w:rsid w:val="5CA42512"/>
    <w:rsid w:val="5CAB1AF3"/>
    <w:rsid w:val="5CAE15E3"/>
    <w:rsid w:val="5CAE27E8"/>
    <w:rsid w:val="5CB47963"/>
    <w:rsid w:val="5CBA37D5"/>
    <w:rsid w:val="5CBA7F88"/>
    <w:rsid w:val="5CBC3D00"/>
    <w:rsid w:val="5CBF778A"/>
    <w:rsid w:val="5CC26747"/>
    <w:rsid w:val="5CD32DF8"/>
    <w:rsid w:val="5CDA23D8"/>
    <w:rsid w:val="5CDF5BEB"/>
    <w:rsid w:val="5CE1534A"/>
    <w:rsid w:val="5CE24E21"/>
    <w:rsid w:val="5CE25D24"/>
    <w:rsid w:val="5CE56791"/>
    <w:rsid w:val="5CE868B8"/>
    <w:rsid w:val="5CED210B"/>
    <w:rsid w:val="5CF5392A"/>
    <w:rsid w:val="5CFC36DD"/>
    <w:rsid w:val="5CFC40FC"/>
    <w:rsid w:val="5D03789D"/>
    <w:rsid w:val="5D0905C7"/>
    <w:rsid w:val="5D0B07E3"/>
    <w:rsid w:val="5D0E3E30"/>
    <w:rsid w:val="5D1458EA"/>
    <w:rsid w:val="5D146326"/>
    <w:rsid w:val="5D1551BE"/>
    <w:rsid w:val="5D1A27D4"/>
    <w:rsid w:val="5D1A4243"/>
    <w:rsid w:val="5D2034DF"/>
    <w:rsid w:val="5D235C93"/>
    <w:rsid w:val="5D276C9F"/>
    <w:rsid w:val="5D2B52D8"/>
    <w:rsid w:val="5D2F6417"/>
    <w:rsid w:val="5D303DA6"/>
    <w:rsid w:val="5D383B2F"/>
    <w:rsid w:val="5D3C6BEF"/>
    <w:rsid w:val="5D3F1174"/>
    <w:rsid w:val="5D465377"/>
    <w:rsid w:val="5D4B6E32"/>
    <w:rsid w:val="5D4D73CD"/>
    <w:rsid w:val="5D4E247E"/>
    <w:rsid w:val="5D504448"/>
    <w:rsid w:val="5D59154F"/>
    <w:rsid w:val="5D5E4DB7"/>
    <w:rsid w:val="5D6879E4"/>
    <w:rsid w:val="5D752101"/>
    <w:rsid w:val="5D7874FB"/>
    <w:rsid w:val="5D7E2C26"/>
    <w:rsid w:val="5D7E2D63"/>
    <w:rsid w:val="5D804D2D"/>
    <w:rsid w:val="5D810890"/>
    <w:rsid w:val="5D844640"/>
    <w:rsid w:val="5D906018"/>
    <w:rsid w:val="5D967917"/>
    <w:rsid w:val="5D995DEF"/>
    <w:rsid w:val="5DA16A52"/>
    <w:rsid w:val="5DA30A1C"/>
    <w:rsid w:val="5DA36C6E"/>
    <w:rsid w:val="5DB42C29"/>
    <w:rsid w:val="5DB6074F"/>
    <w:rsid w:val="5DB720B5"/>
    <w:rsid w:val="5DC307FA"/>
    <w:rsid w:val="5DC55312"/>
    <w:rsid w:val="5DCC7F73"/>
    <w:rsid w:val="5DCF1811"/>
    <w:rsid w:val="5DD230AF"/>
    <w:rsid w:val="5DD45079"/>
    <w:rsid w:val="5DD72473"/>
    <w:rsid w:val="5DDB01B6"/>
    <w:rsid w:val="5DDF7CE6"/>
    <w:rsid w:val="5DE30E18"/>
    <w:rsid w:val="5DE51034"/>
    <w:rsid w:val="5DE74DAC"/>
    <w:rsid w:val="5DE828D3"/>
    <w:rsid w:val="5DFB0858"/>
    <w:rsid w:val="5DFC4FE8"/>
    <w:rsid w:val="5DFE3EA4"/>
    <w:rsid w:val="5E056543"/>
    <w:rsid w:val="5E1367B2"/>
    <w:rsid w:val="5E145476"/>
    <w:rsid w:val="5E192A8C"/>
    <w:rsid w:val="5E195986"/>
    <w:rsid w:val="5E197CFB"/>
    <w:rsid w:val="5E1B6804"/>
    <w:rsid w:val="5E280F21"/>
    <w:rsid w:val="5E281B9A"/>
    <w:rsid w:val="5E282CCF"/>
    <w:rsid w:val="5E2A3E5C"/>
    <w:rsid w:val="5E2C6C63"/>
    <w:rsid w:val="5E316028"/>
    <w:rsid w:val="5E337FF2"/>
    <w:rsid w:val="5E341674"/>
    <w:rsid w:val="5E346C10"/>
    <w:rsid w:val="5E3559B0"/>
    <w:rsid w:val="5E361890"/>
    <w:rsid w:val="5E36363E"/>
    <w:rsid w:val="5E373AEB"/>
    <w:rsid w:val="5E473A9D"/>
    <w:rsid w:val="5E48511F"/>
    <w:rsid w:val="5E4915C3"/>
    <w:rsid w:val="5E4A6AF2"/>
    <w:rsid w:val="5E543EED"/>
    <w:rsid w:val="5E565A8E"/>
    <w:rsid w:val="5E5F0DE7"/>
    <w:rsid w:val="5E5F3229"/>
    <w:rsid w:val="5E6301AB"/>
    <w:rsid w:val="5E693A13"/>
    <w:rsid w:val="5E6E2DD8"/>
    <w:rsid w:val="5E6F08FE"/>
    <w:rsid w:val="5E705DCB"/>
    <w:rsid w:val="5E731884"/>
    <w:rsid w:val="5E7319D9"/>
    <w:rsid w:val="5E766130"/>
    <w:rsid w:val="5E7E05A8"/>
    <w:rsid w:val="5E7F55BD"/>
    <w:rsid w:val="5E8425FB"/>
    <w:rsid w:val="5E873E9A"/>
    <w:rsid w:val="5E93283E"/>
    <w:rsid w:val="5E940365"/>
    <w:rsid w:val="5E9A5DEE"/>
    <w:rsid w:val="5E9F11E3"/>
    <w:rsid w:val="5EA63795"/>
    <w:rsid w:val="5EA70098"/>
    <w:rsid w:val="5EB03D8B"/>
    <w:rsid w:val="5EB153BA"/>
    <w:rsid w:val="5EB21D38"/>
    <w:rsid w:val="5EB629D1"/>
    <w:rsid w:val="5EC272D5"/>
    <w:rsid w:val="5EC62C14"/>
    <w:rsid w:val="5EC7073A"/>
    <w:rsid w:val="5ECB022A"/>
    <w:rsid w:val="5ECF1260"/>
    <w:rsid w:val="5ED03A93"/>
    <w:rsid w:val="5ED750F1"/>
    <w:rsid w:val="5EE03B5B"/>
    <w:rsid w:val="5EE21288"/>
    <w:rsid w:val="5EE412EC"/>
    <w:rsid w:val="5EE44E48"/>
    <w:rsid w:val="5EE94B54"/>
    <w:rsid w:val="5EEA5E68"/>
    <w:rsid w:val="5EEE216B"/>
    <w:rsid w:val="5EEF00C4"/>
    <w:rsid w:val="5EF32E58"/>
    <w:rsid w:val="5EF84D97"/>
    <w:rsid w:val="5F061262"/>
    <w:rsid w:val="5F0C1202"/>
    <w:rsid w:val="5F105C3D"/>
    <w:rsid w:val="5F1119B5"/>
    <w:rsid w:val="5F112BFC"/>
    <w:rsid w:val="5F14140D"/>
    <w:rsid w:val="5F1A2F60"/>
    <w:rsid w:val="5F1E1BAD"/>
    <w:rsid w:val="5F2A3265"/>
    <w:rsid w:val="5F2C5137"/>
    <w:rsid w:val="5F3C1128"/>
    <w:rsid w:val="5F41673E"/>
    <w:rsid w:val="5F492843"/>
    <w:rsid w:val="5F553F98"/>
    <w:rsid w:val="5F585836"/>
    <w:rsid w:val="5F5A3869"/>
    <w:rsid w:val="5F5D7619"/>
    <w:rsid w:val="5F6D12E1"/>
    <w:rsid w:val="5F750926"/>
    <w:rsid w:val="5F752C58"/>
    <w:rsid w:val="5F772160"/>
    <w:rsid w:val="5F7C7776"/>
    <w:rsid w:val="5F7F1015"/>
    <w:rsid w:val="5F8108E9"/>
    <w:rsid w:val="5F8251B1"/>
    <w:rsid w:val="5F883D16"/>
    <w:rsid w:val="5F8C5268"/>
    <w:rsid w:val="5F944AC0"/>
    <w:rsid w:val="5F990328"/>
    <w:rsid w:val="5F9B75BB"/>
    <w:rsid w:val="5F9E593F"/>
    <w:rsid w:val="5FA467F2"/>
    <w:rsid w:val="5FA647F3"/>
    <w:rsid w:val="5FA8056B"/>
    <w:rsid w:val="5FAC3308"/>
    <w:rsid w:val="5FB23198"/>
    <w:rsid w:val="5FB46F10"/>
    <w:rsid w:val="5FB707AE"/>
    <w:rsid w:val="5FBA204D"/>
    <w:rsid w:val="5FBC4017"/>
    <w:rsid w:val="5FBC5DC5"/>
    <w:rsid w:val="5FBC7B73"/>
    <w:rsid w:val="5FC42B81"/>
    <w:rsid w:val="5FC829BC"/>
    <w:rsid w:val="5FD01870"/>
    <w:rsid w:val="5FD9212E"/>
    <w:rsid w:val="5FE47432"/>
    <w:rsid w:val="5FF54B97"/>
    <w:rsid w:val="60002155"/>
    <w:rsid w:val="600450EA"/>
    <w:rsid w:val="60065C4A"/>
    <w:rsid w:val="6008725C"/>
    <w:rsid w:val="600D4872"/>
    <w:rsid w:val="60136E57"/>
    <w:rsid w:val="602A7EDE"/>
    <w:rsid w:val="602C4CF9"/>
    <w:rsid w:val="603242D9"/>
    <w:rsid w:val="6037544B"/>
    <w:rsid w:val="60485D7E"/>
    <w:rsid w:val="604A517F"/>
    <w:rsid w:val="60687CFB"/>
    <w:rsid w:val="606C3347"/>
    <w:rsid w:val="606F2E37"/>
    <w:rsid w:val="60762418"/>
    <w:rsid w:val="607B17DC"/>
    <w:rsid w:val="607E12CC"/>
    <w:rsid w:val="608F04AC"/>
    <w:rsid w:val="60913E6F"/>
    <w:rsid w:val="609558DE"/>
    <w:rsid w:val="60966616"/>
    <w:rsid w:val="609C5C96"/>
    <w:rsid w:val="609D1752"/>
    <w:rsid w:val="60A73D51"/>
    <w:rsid w:val="60A90F2F"/>
    <w:rsid w:val="60AC408B"/>
    <w:rsid w:val="60B8021A"/>
    <w:rsid w:val="60BE4FE7"/>
    <w:rsid w:val="60BE6F23"/>
    <w:rsid w:val="60C07B37"/>
    <w:rsid w:val="60C21CA5"/>
    <w:rsid w:val="60C2281B"/>
    <w:rsid w:val="60C413D5"/>
    <w:rsid w:val="60C767CF"/>
    <w:rsid w:val="60C848A7"/>
    <w:rsid w:val="60CA4511"/>
    <w:rsid w:val="60D631AB"/>
    <w:rsid w:val="60DB04CD"/>
    <w:rsid w:val="60DD2497"/>
    <w:rsid w:val="60DE5B14"/>
    <w:rsid w:val="60DF4F9F"/>
    <w:rsid w:val="60F468BE"/>
    <w:rsid w:val="60FA66B2"/>
    <w:rsid w:val="60FB291D"/>
    <w:rsid w:val="60FD39DD"/>
    <w:rsid w:val="60FF4D92"/>
    <w:rsid w:val="61005532"/>
    <w:rsid w:val="61021EFD"/>
    <w:rsid w:val="610B7055"/>
    <w:rsid w:val="61167757"/>
    <w:rsid w:val="611C5556"/>
    <w:rsid w:val="611D1C60"/>
    <w:rsid w:val="61252886"/>
    <w:rsid w:val="6126799A"/>
    <w:rsid w:val="61283090"/>
    <w:rsid w:val="61292BC0"/>
    <w:rsid w:val="612A47CD"/>
    <w:rsid w:val="6131633F"/>
    <w:rsid w:val="61354081"/>
    <w:rsid w:val="6135490B"/>
    <w:rsid w:val="613A1697"/>
    <w:rsid w:val="613A51F3"/>
    <w:rsid w:val="613D2D03"/>
    <w:rsid w:val="61406582"/>
    <w:rsid w:val="61453B98"/>
    <w:rsid w:val="6146003C"/>
    <w:rsid w:val="61573FF7"/>
    <w:rsid w:val="615E036F"/>
    <w:rsid w:val="615F10FE"/>
    <w:rsid w:val="61677FB2"/>
    <w:rsid w:val="616D381B"/>
    <w:rsid w:val="61730B8F"/>
    <w:rsid w:val="617954B8"/>
    <w:rsid w:val="61812E22"/>
    <w:rsid w:val="618172C6"/>
    <w:rsid w:val="61826F89"/>
    <w:rsid w:val="618927A0"/>
    <w:rsid w:val="618B1EF3"/>
    <w:rsid w:val="618F680B"/>
    <w:rsid w:val="618F69CF"/>
    <w:rsid w:val="61954B1F"/>
    <w:rsid w:val="619743F4"/>
    <w:rsid w:val="619C1A0A"/>
    <w:rsid w:val="619E04DC"/>
    <w:rsid w:val="61A46B11"/>
    <w:rsid w:val="61A54491"/>
    <w:rsid w:val="61AC338F"/>
    <w:rsid w:val="61B2122D"/>
    <w:rsid w:val="61B551C2"/>
    <w:rsid w:val="61B72CE8"/>
    <w:rsid w:val="61BF7DEE"/>
    <w:rsid w:val="61C15914"/>
    <w:rsid w:val="61CA69A5"/>
    <w:rsid w:val="61D4389A"/>
    <w:rsid w:val="61D92C5E"/>
    <w:rsid w:val="61DF5D9B"/>
    <w:rsid w:val="61E33ADD"/>
    <w:rsid w:val="61E83289"/>
    <w:rsid w:val="61ED04B8"/>
    <w:rsid w:val="61EF4230"/>
    <w:rsid w:val="61F23D20"/>
    <w:rsid w:val="61F35FC3"/>
    <w:rsid w:val="61F71336"/>
    <w:rsid w:val="61F745E3"/>
    <w:rsid w:val="61F93300"/>
    <w:rsid w:val="61FC06FB"/>
    <w:rsid w:val="61FF01EB"/>
    <w:rsid w:val="620677CB"/>
    <w:rsid w:val="621243C2"/>
    <w:rsid w:val="62126E41"/>
    <w:rsid w:val="62137E26"/>
    <w:rsid w:val="62140B89"/>
    <w:rsid w:val="62195750"/>
    <w:rsid w:val="6220088D"/>
    <w:rsid w:val="62214605"/>
    <w:rsid w:val="62224451"/>
    <w:rsid w:val="623120C9"/>
    <w:rsid w:val="62331EB9"/>
    <w:rsid w:val="62394D2F"/>
    <w:rsid w:val="623C143F"/>
    <w:rsid w:val="623C62E9"/>
    <w:rsid w:val="624125B1"/>
    <w:rsid w:val="62422689"/>
    <w:rsid w:val="6243457B"/>
    <w:rsid w:val="62467BC8"/>
    <w:rsid w:val="624C1D21"/>
    <w:rsid w:val="6256605D"/>
    <w:rsid w:val="62582E89"/>
    <w:rsid w:val="62600C89"/>
    <w:rsid w:val="6260512D"/>
    <w:rsid w:val="626103C7"/>
    <w:rsid w:val="62634C1E"/>
    <w:rsid w:val="62700E0F"/>
    <w:rsid w:val="627209BD"/>
    <w:rsid w:val="62723370"/>
    <w:rsid w:val="627666FF"/>
    <w:rsid w:val="62774225"/>
    <w:rsid w:val="627B3D98"/>
    <w:rsid w:val="62811DE4"/>
    <w:rsid w:val="628250A4"/>
    <w:rsid w:val="628663E8"/>
    <w:rsid w:val="628A21AA"/>
    <w:rsid w:val="628C1A7E"/>
    <w:rsid w:val="62950B81"/>
    <w:rsid w:val="62996751"/>
    <w:rsid w:val="62A56FE4"/>
    <w:rsid w:val="62A82630"/>
    <w:rsid w:val="62AE5E99"/>
    <w:rsid w:val="62AE7E77"/>
    <w:rsid w:val="62C16B6E"/>
    <w:rsid w:val="62C65FF9"/>
    <w:rsid w:val="62C765F0"/>
    <w:rsid w:val="62CC27C3"/>
    <w:rsid w:val="62D119F9"/>
    <w:rsid w:val="62DD22DA"/>
    <w:rsid w:val="62E31D83"/>
    <w:rsid w:val="62E73159"/>
    <w:rsid w:val="62EC69C1"/>
    <w:rsid w:val="62F67840"/>
    <w:rsid w:val="62F728AC"/>
    <w:rsid w:val="62FB0777"/>
    <w:rsid w:val="63057A83"/>
    <w:rsid w:val="630670EC"/>
    <w:rsid w:val="630E6937"/>
    <w:rsid w:val="63100901"/>
    <w:rsid w:val="63103BF9"/>
    <w:rsid w:val="631303F2"/>
    <w:rsid w:val="631F0B45"/>
    <w:rsid w:val="63224191"/>
    <w:rsid w:val="63227F63"/>
    <w:rsid w:val="63236FCD"/>
    <w:rsid w:val="632403C9"/>
    <w:rsid w:val="632E6FDA"/>
    <w:rsid w:val="63352116"/>
    <w:rsid w:val="633F2F95"/>
    <w:rsid w:val="63402869"/>
    <w:rsid w:val="63512CC8"/>
    <w:rsid w:val="635527B8"/>
    <w:rsid w:val="635A7DCF"/>
    <w:rsid w:val="635B76A3"/>
    <w:rsid w:val="636263E4"/>
    <w:rsid w:val="63686489"/>
    <w:rsid w:val="63690012"/>
    <w:rsid w:val="63696264"/>
    <w:rsid w:val="636C365E"/>
    <w:rsid w:val="6370314E"/>
    <w:rsid w:val="6372336A"/>
    <w:rsid w:val="637864A7"/>
    <w:rsid w:val="637A021A"/>
    <w:rsid w:val="637D3ABD"/>
    <w:rsid w:val="637D586B"/>
    <w:rsid w:val="63844520"/>
    <w:rsid w:val="63892462"/>
    <w:rsid w:val="639112EC"/>
    <w:rsid w:val="63972DD1"/>
    <w:rsid w:val="63A2338B"/>
    <w:rsid w:val="63A23524"/>
    <w:rsid w:val="63A86D8C"/>
    <w:rsid w:val="63A92B04"/>
    <w:rsid w:val="63AC7EFE"/>
    <w:rsid w:val="63AE67B1"/>
    <w:rsid w:val="63B21D55"/>
    <w:rsid w:val="63B75221"/>
    <w:rsid w:val="63CD67F3"/>
    <w:rsid w:val="63D26CA1"/>
    <w:rsid w:val="63D3192F"/>
    <w:rsid w:val="63DD455C"/>
    <w:rsid w:val="63DE27AE"/>
    <w:rsid w:val="63DF6526"/>
    <w:rsid w:val="63E638BD"/>
    <w:rsid w:val="63F024E1"/>
    <w:rsid w:val="63F35B2D"/>
    <w:rsid w:val="63FF1670"/>
    <w:rsid w:val="6401649C"/>
    <w:rsid w:val="64025D70"/>
    <w:rsid w:val="640565F3"/>
    <w:rsid w:val="64066FDC"/>
    <w:rsid w:val="6408782B"/>
    <w:rsid w:val="640A1577"/>
    <w:rsid w:val="640E5323"/>
    <w:rsid w:val="6417181C"/>
    <w:rsid w:val="641E0DFC"/>
    <w:rsid w:val="642342DE"/>
    <w:rsid w:val="642C0F11"/>
    <w:rsid w:val="643248A8"/>
    <w:rsid w:val="64341C13"/>
    <w:rsid w:val="64346872"/>
    <w:rsid w:val="6437167C"/>
    <w:rsid w:val="64395A85"/>
    <w:rsid w:val="64395C36"/>
    <w:rsid w:val="643A3F7A"/>
    <w:rsid w:val="64454028"/>
    <w:rsid w:val="64491391"/>
    <w:rsid w:val="644B7717"/>
    <w:rsid w:val="644F48CD"/>
    <w:rsid w:val="64537F48"/>
    <w:rsid w:val="645472F7"/>
    <w:rsid w:val="645804E9"/>
    <w:rsid w:val="645E38EF"/>
    <w:rsid w:val="64630A14"/>
    <w:rsid w:val="64662964"/>
    <w:rsid w:val="64680734"/>
    <w:rsid w:val="646A4041"/>
    <w:rsid w:val="646D3B32"/>
    <w:rsid w:val="647153D0"/>
    <w:rsid w:val="64730FF3"/>
    <w:rsid w:val="64801AB7"/>
    <w:rsid w:val="648275DD"/>
    <w:rsid w:val="64831853"/>
    <w:rsid w:val="6486294B"/>
    <w:rsid w:val="648A0240"/>
    <w:rsid w:val="648A46E4"/>
    <w:rsid w:val="648F3AA8"/>
    <w:rsid w:val="64917820"/>
    <w:rsid w:val="649303EC"/>
    <w:rsid w:val="64947310"/>
    <w:rsid w:val="6494748A"/>
    <w:rsid w:val="64970BAF"/>
    <w:rsid w:val="649844A9"/>
    <w:rsid w:val="649C61C5"/>
    <w:rsid w:val="649D6039"/>
    <w:rsid w:val="64A00449"/>
    <w:rsid w:val="64A15589"/>
    <w:rsid w:val="64A22188"/>
    <w:rsid w:val="64A2233D"/>
    <w:rsid w:val="64A31301"/>
    <w:rsid w:val="64AA0DE0"/>
    <w:rsid w:val="64AD3F2E"/>
    <w:rsid w:val="64BD0E51"/>
    <w:rsid w:val="64C319A4"/>
    <w:rsid w:val="64CA4AE0"/>
    <w:rsid w:val="64CC2606"/>
    <w:rsid w:val="64CD2516"/>
    <w:rsid w:val="64CE2842"/>
    <w:rsid w:val="64D21BE7"/>
    <w:rsid w:val="64D545B9"/>
    <w:rsid w:val="64D63485"/>
    <w:rsid w:val="64D94DC4"/>
    <w:rsid w:val="64DD0CB7"/>
    <w:rsid w:val="64E57B6C"/>
    <w:rsid w:val="64E9765C"/>
    <w:rsid w:val="64F1206D"/>
    <w:rsid w:val="64F658D5"/>
    <w:rsid w:val="64FF335C"/>
    <w:rsid w:val="65000502"/>
    <w:rsid w:val="650417B4"/>
    <w:rsid w:val="65052D2D"/>
    <w:rsid w:val="650A7D13"/>
    <w:rsid w:val="651421FF"/>
    <w:rsid w:val="651B533C"/>
    <w:rsid w:val="651C3F02"/>
    <w:rsid w:val="65230D6E"/>
    <w:rsid w:val="65247E0C"/>
    <w:rsid w:val="65257F68"/>
    <w:rsid w:val="65270184"/>
    <w:rsid w:val="652A1A23"/>
    <w:rsid w:val="652F3CB9"/>
    <w:rsid w:val="653004DD"/>
    <w:rsid w:val="65312DE0"/>
    <w:rsid w:val="65332685"/>
    <w:rsid w:val="653346BC"/>
    <w:rsid w:val="653463FD"/>
    <w:rsid w:val="65346440"/>
    <w:rsid w:val="65372C0E"/>
    <w:rsid w:val="653B3C30"/>
    <w:rsid w:val="653B59DE"/>
    <w:rsid w:val="653D2188"/>
    <w:rsid w:val="65401246"/>
    <w:rsid w:val="65416DF6"/>
    <w:rsid w:val="65442AE4"/>
    <w:rsid w:val="65444892"/>
    <w:rsid w:val="654C6FBE"/>
    <w:rsid w:val="654E74BF"/>
    <w:rsid w:val="654F3237"/>
    <w:rsid w:val="65515201"/>
    <w:rsid w:val="6551730A"/>
    <w:rsid w:val="65605444"/>
    <w:rsid w:val="65622F6B"/>
    <w:rsid w:val="65660CAD"/>
    <w:rsid w:val="6569254B"/>
    <w:rsid w:val="656D5C62"/>
    <w:rsid w:val="656F7435"/>
    <w:rsid w:val="65736F26"/>
    <w:rsid w:val="65752C9E"/>
    <w:rsid w:val="65883653"/>
    <w:rsid w:val="658B24C1"/>
    <w:rsid w:val="658D448B"/>
    <w:rsid w:val="658D71C3"/>
    <w:rsid w:val="658E3D60"/>
    <w:rsid w:val="658E3E9C"/>
    <w:rsid w:val="65907AD8"/>
    <w:rsid w:val="659C46CE"/>
    <w:rsid w:val="659E368C"/>
    <w:rsid w:val="659F7D1B"/>
    <w:rsid w:val="65A17F37"/>
    <w:rsid w:val="65AA5533"/>
    <w:rsid w:val="65B337C6"/>
    <w:rsid w:val="65B37C6A"/>
    <w:rsid w:val="65B97F7E"/>
    <w:rsid w:val="65BF216B"/>
    <w:rsid w:val="65C82528"/>
    <w:rsid w:val="65CE6D3B"/>
    <w:rsid w:val="65E120E1"/>
    <w:rsid w:val="65E63B9C"/>
    <w:rsid w:val="65E6594A"/>
    <w:rsid w:val="65E73470"/>
    <w:rsid w:val="65EA5AF8"/>
    <w:rsid w:val="65EB5843"/>
    <w:rsid w:val="65F20618"/>
    <w:rsid w:val="65F4342C"/>
    <w:rsid w:val="65F53297"/>
    <w:rsid w:val="65FA7647"/>
    <w:rsid w:val="660404C6"/>
    <w:rsid w:val="66042274"/>
    <w:rsid w:val="66091638"/>
    <w:rsid w:val="660D1128"/>
    <w:rsid w:val="660E127B"/>
    <w:rsid w:val="66140709"/>
    <w:rsid w:val="66195D1F"/>
    <w:rsid w:val="661E50E3"/>
    <w:rsid w:val="661F70AE"/>
    <w:rsid w:val="66270337"/>
    <w:rsid w:val="66287D10"/>
    <w:rsid w:val="662B7800"/>
    <w:rsid w:val="662D5327"/>
    <w:rsid w:val="66304161"/>
    <w:rsid w:val="66344907"/>
    <w:rsid w:val="663548AE"/>
    <w:rsid w:val="6637244E"/>
    <w:rsid w:val="663761A5"/>
    <w:rsid w:val="663A47D5"/>
    <w:rsid w:val="663E7534"/>
    <w:rsid w:val="66401FA8"/>
    <w:rsid w:val="664561D7"/>
    <w:rsid w:val="664B39FF"/>
    <w:rsid w:val="664D3C1B"/>
    <w:rsid w:val="664D7F9B"/>
    <w:rsid w:val="665C3E5E"/>
    <w:rsid w:val="665E78AF"/>
    <w:rsid w:val="665F74AA"/>
    <w:rsid w:val="66643459"/>
    <w:rsid w:val="66650F64"/>
    <w:rsid w:val="666B5E4F"/>
    <w:rsid w:val="66703465"/>
    <w:rsid w:val="66734B1E"/>
    <w:rsid w:val="66754F1F"/>
    <w:rsid w:val="667967BE"/>
    <w:rsid w:val="667C1E0A"/>
    <w:rsid w:val="667D115E"/>
    <w:rsid w:val="667D306E"/>
    <w:rsid w:val="667E5B82"/>
    <w:rsid w:val="667F4F0E"/>
    <w:rsid w:val="6683763C"/>
    <w:rsid w:val="66940880"/>
    <w:rsid w:val="669453A6"/>
    <w:rsid w:val="669730E8"/>
    <w:rsid w:val="66A17AC3"/>
    <w:rsid w:val="66B25085"/>
    <w:rsid w:val="66B94E0C"/>
    <w:rsid w:val="66BD6B7E"/>
    <w:rsid w:val="66C67959"/>
    <w:rsid w:val="66CF4630"/>
    <w:rsid w:val="66CF63DE"/>
    <w:rsid w:val="66D02156"/>
    <w:rsid w:val="66D9725C"/>
    <w:rsid w:val="66DC0AFB"/>
    <w:rsid w:val="66DC6D4D"/>
    <w:rsid w:val="66DE2AC5"/>
    <w:rsid w:val="66E10A89"/>
    <w:rsid w:val="66E13EC4"/>
    <w:rsid w:val="66E1658E"/>
    <w:rsid w:val="66E31E89"/>
    <w:rsid w:val="66E542DE"/>
    <w:rsid w:val="66E77BCB"/>
    <w:rsid w:val="66F10A4A"/>
    <w:rsid w:val="66F75934"/>
    <w:rsid w:val="66F9203B"/>
    <w:rsid w:val="67006EDF"/>
    <w:rsid w:val="6703077D"/>
    <w:rsid w:val="6703252B"/>
    <w:rsid w:val="670448A9"/>
    <w:rsid w:val="670544F5"/>
    <w:rsid w:val="67074E34"/>
    <w:rsid w:val="670A4C25"/>
    <w:rsid w:val="670B67F5"/>
    <w:rsid w:val="670C5884"/>
    <w:rsid w:val="670F7122"/>
    <w:rsid w:val="67114C48"/>
    <w:rsid w:val="671309C0"/>
    <w:rsid w:val="671A2875"/>
    <w:rsid w:val="671C5E63"/>
    <w:rsid w:val="671E2DBD"/>
    <w:rsid w:val="672022A4"/>
    <w:rsid w:val="67204E8B"/>
    <w:rsid w:val="6726154F"/>
    <w:rsid w:val="672C3097"/>
    <w:rsid w:val="672F3D2C"/>
    <w:rsid w:val="672F4040"/>
    <w:rsid w:val="67302F6D"/>
    <w:rsid w:val="67310E46"/>
    <w:rsid w:val="67315A6F"/>
    <w:rsid w:val="67341693"/>
    <w:rsid w:val="6736645D"/>
    <w:rsid w:val="67380427"/>
    <w:rsid w:val="673B1CC5"/>
    <w:rsid w:val="673F17B5"/>
    <w:rsid w:val="67423054"/>
    <w:rsid w:val="67441712"/>
    <w:rsid w:val="6749577D"/>
    <w:rsid w:val="674C7A2E"/>
    <w:rsid w:val="674E7C4A"/>
    <w:rsid w:val="674F5770"/>
    <w:rsid w:val="67505C4C"/>
    <w:rsid w:val="6759214B"/>
    <w:rsid w:val="675D0ED1"/>
    <w:rsid w:val="675D13F2"/>
    <w:rsid w:val="67606039"/>
    <w:rsid w:val="676254A4"/>
    <w:rsid w:val="67627252"/>
    <w:rsid w:val="67660A12"/>
    <w:rsid w:val="677671A1"/>
    <w:rsid w:val="67796FA3"/>
    <w:rsid w:val="677D22DE"/>
    <w:rsid w:val="6784366C"/>
    <w:rsid w:val="67851192"/>
    <w:rsid w:val="6786745C"/>
    <w:rsid w:val="678C2521"/>
    <w:rsid w:val="678E2351"/>
    <w:rsid w:val="6793565D"/>
    <w:rsid w:val="679F2254"/>
    <w:rsid w:val="67A27F96"/>
    <w:rsid w:val="67A61834"/>
    <w:rsid w:val="67A71109"/>
    <w:rsid w:val="67A902CE"/>
    <w:rsid w:val="67AB0BF9"/>
    <w:rsid w:val="67AE693B"/>
    <w:rsid w:val="67B13D35"/>
    <w:rsid w:val="67B37AAD"/>
    <w:rsid w:val="67B779CB"/>
    <w:rsid w:val="67B933BC"/>
    <w:rsid w:val="67BD26DA"/>
    <w:rsid w:val="67C03C15"/>
    <w:rsid w:val="67C25F42"/>
    <w:rsid w:val="67C3130F"/>
    <w:rsid w:val="67C87D39"/>
    <w:rsid w:val="67CA42A6"/>
    <w:rsid w:val="67D15A64"/>
    <w:rsid w:val="67D87514"/>
    <w:rsid w:val="67DC14D2"/>
    <w:rsid w:val="67DE35E9"/>
    <w:rsid w:val="67E1461B"/>
    <w:rsid w:val="67E344E0"/>
    <w:rsid w:val="67E73BFB"/>
    <w:rsid w:val="67EC150C"/>
    <w:rsid w:val="67EC6609"/>
    <w:rsid w:val="67EE7592"/>
    <w:rsid w:val="67F51E74"/>
    <w:rsid w:val="67FA0C0D"/>
    <w:rsid w:val="67FB3202"/>
    <w:rsid w:val="68060525"/>
    <w:rsid w:val="68077DF9"/>
    <w:rsid w:val="68106CAE"/>
    <w:rsid w:val="6813679E"/>
    <w:rsid w:val="68150768"/>
    <w:rsid w:val="68170135"/>
    <w:rsid w:val="681A18DB"/>
    <w:rsid w:val="681A72DB"/>
    <w:rsid w:val="681C5653"/>
    <w:rsid w:val="6821710D"/>
    <w:rsid w:val="683010FE"/>
    <w:rsid w:val="68330BEE"/>
    <w:rsid w:val="68376930"/>
    <w:rsid w:val="68386BA0"/>
    <w:rsid w:val="68394457"/>
    <w:rsid w:val="683A6742"/>
    <w:rsid w:val="683C3F47"/>
    <w:rsid w:val="683C7AA3"/>
    <w:rsid w:val="683E1A6D"/>
    <w:rsid w:val="68444BA9"/>
    <w:rsid w:val="684526E2"/>
    <w:rsid w:val="68460921"/>
    <w:rsid w:val="68476448"/>
    <w:rsid w:val="684B23DC"/>
    <w:rsid w:val="684E5A28"/>
    <w:rsid w:val="684E5CDC"/>
    <w:rsid w:val="68525518"/>
    <w:rsid w:val="68541290"/>
    <w:rsid w:val="685748DD"/>
    <w:rsid w:val="68684D3C"/>
    <w:rsid w:val="68703947"/>
    <w:rsid w:val="6870599E"/>
    <w:rsid w:val="687419EA"/>
    <w:rsid w:val="688A4CB2"/>
    <w:rsid w:val="688B27D8"/>
    <w:rsid w:val="688E1D41"/>
    <w:rsid w:val="68917132"/>
    <w:rsid w:val="68945B31"/>
    <w:rsid w:val="689B57EB"/>
    <w:rsid w:val="68A35D74"/>
    <w:rsid w:val="68A812FE"/>
    <w:rsid w:val="68A815DC"/>
    <w:rsid w:val="68AD0A2C"/>
    <w:rsid w:val="68B41732"/>
    <w:rsid w:val="68C006D4"/>
    <w:rsid w:val="68C02F67"/>
    <w:rsid w:val="68C2756A"/>
    <w:rsid w:val="68C53F3C"/>
    <w:rsid w:val="68C74DCD"/>
    <w:rsid w:val="68C83A2C"/>
    <w:rsid w:val="68CC52CB"/>
    <w:rsid w:val="68D26659"/>
    <w:rsid w:val="68D7162B"/>
    <w:rsid w:val="68DE6DAC"/>
    <w:rsid w:val="68E343C2"/>
    <w:rsid w:val="68E86DBE"/>
    <w:rsid w:val="68EF2D67"/>
    <w:rsid w:val="68F41FE7"/>
    <w:rsid w:val="68F4269F"/>
    <w:rsid w:val="68F44227"/>
    <w:rsid w:val="68F465CF"/>
    <w:rsid w:val="68F71C1C"/>
    <w:rsid w:val="68F95994"/>
    <w:rsid w:val="6901666B"/>
    <w:rsid w:val="690D143F"/>
    <w:rsid w:val="69146C72"/>
    <w:rsid w:val="69166546"/>
    <w:rsid w:val="692757B4"/>
    <w:rsid w:val="692844CB"/>
    <w:rsid w:val="69286279"/>
    <w:rsid w:val="692C5D69"/>
    <w:rsid w:val="692E3BD2"/>
    <w:rsid w:val="693B642A"/>
    <w:rsid w:val="69401815"/>
    <w:rsid w:val="69456E2B"/>
    <w:rsid w:val="694806C9"/>
    <w:rsid w:val="694C01BA"/>
    <w:rsid w:val="695D5F23"/>
    <w:rsid w:val="69647D05"/>
    <w:rsid w:val="696C43B8"/>
    <w:rsid w:val="696E178E"/>
    <w:rsid w:val="696F232C"/>
    <w:rsid w:val="69765236"/>
    <w:rsid w:val="69770338"/>
    <w:rsid w:val="697A278A"/>
    <w:rsid w:val="697E058F"/>
    <w:rsid w:val="697F233D"/>
    <w:rsid w:val="69825989"/>
    <w:rsid w:val="69827F32"/>
    <w:rsid w:val="698A2A90"/>
    <w:rsid w:val="69912070"/>
    <w:rsid w:val="699527B5"/>
    <w:rsid w:val="699D27C3"/>
    <w:rsid w:val="699F29DF"/>
    <w:rsid w:val="69A07559"/>
    <w:rsid w:val="69A27DD9"/>
    <w:rsid w:val="69A3798A"/>
    <w:rsid w:val="69AC07ED"/>
    <w:rsid w:val="69B103D3"/>
    <w:rsid w:val="69B468BF"/>
    <w:rsid w:val="69B63517"/>
    <w:rsid w:val="69BA1180"/>
    <w:rsid w:val="69BD2E65"/>
    <w:rsid w:val="69CC30A8"/>
    <w:rsid w:val="69CE0BCF"/>
    <w:rsid w:val="69D63F27"/>
    <w:rsid w:val="69D82FBA"/>
    <w:rsid w:val="69DA1138"/>
    <w:rsid w:val="69DA57C5"/>
    <w:rsid w:val="69E37643"/>
    <w:rsid w:val="69E44896"/>
    <w:rsid w:val="69F04FE9"/>
    <w:rsid w:val="69F543AD"/>
    <w:rsid w:val="69F60125"/>
    <w:rsid w:val="69F745C9"/>
    <w:rsid w:val="69F820EF"/>
    <w:rsid w:val="6A0501B7"/>
    <w:rsid w:val="6A097E59"/>
    <w:rsid w:val="6A0B3BD1"/>
    <w:rsid w:val="6A136F29"/>
    <w:rsid w:val="6A1D1B56"/>
    <w:rsid w:val="6A1E618D"/>
    <w:rsid w:val="6A1F3F21"/>
    <w:rsid w:val="6A1F767C"/>
    <w:rsid w:val="6A235589"/>
    <w:rsid w:val="6A260A0B"/>
    <w:rsid w:val="6A2922A9"/>
    <w:rsid w:val="6A2B4273"/>
    <w:rsid w:val="6A2C1D99"/>
    <w:rsid w:val="6A334A7B"/>
    <w:rsid w:val="6A33620D"/>
    <w:rsid w:val="6A38073E"/>
    <w:rsid w:val="6A3B0848"/>
    <w:rsid w:val="6A3C022E"/>
    <w:rsid w:val="6A4470E3"/>
    <w:rsid w:val="6A4B221F"/>
    <w:rsid w:val="6A4E61B3"/>
    <w:rsid w:val="6A503CD9"/>
    <w:rsid w:val="6A505A87"/>
    <w:rsid w:val="6A5A06B4"/>
    <w:rsid w:val="6A62486A"/>
    <w:rsid w:val="6A647785"/>
    <w:rsid w:val="6A682DD1"/>
    <w:rsid w:val="6A6830F7"/>
    <w:rsid w:val="6A694D9B"/>
    <w:rsid w:val="6A6D70B4"/>
    <w:rsid w:val="6A786D8C"/>
    <w:rsid w:val="6A7E0847"/>
    <w:rsid w:val="6A7F011B"/>
    <w:rsid w:val="6A837C0B"/>
    <w:rsid w:val="6A841BD5"/>
    <w:rsid w:val="6A843180"/>
    <w:rsid w:val="6A843983"/>
    <w:rsid w:val="6A8676FB"/>
    <w:rsid w:val="6A894958"/>
    <w:rsid w:val="6A9516EC"/>
    <w:rsid w:val="6A991D33"/>
    <w:rsid w:val="6A9F3F96"/>
    <w:rsid w:val="6AAA163C"/>
    <w:rsid w:val="6AAB7F2C"/>
    <w:rsid w:val="6AB623DF"/>
    <w:rsid w:val="6AB778B5"/>
    <w:rsid w:val="6AB95096"/>
    <w:rsid w:val="6ABA1153"/>
    <w:rsid w:val="6ABF6769"/>
    <w:rsid w:val="6AC344AB"/>
    <w:rsid w:val="6AC553A1"/>
    <w:rsid w:val="6AC63F9C"/>
    <w:rsid w:val="6ACD55C9"/>
    <w:rsid w:val="6ACD70D8"/>
    <w:rsid w:val="6AD07195"/>
    <w:rsid w:val="6AD83C99"/>
    <w:rsid w:val="6ADC731B"/>
    <w:rsid w:val="6ADF6E0B"/>
    <w:rsid w:val="6AE10DD5"/>
    <w:rsid w:val="6AE14931"/>
    <w:rsid w:val="6AE306AA"/>
    <w:rsid w:val="6AE52674"/>
    <w:rsid w:val="6AE61F48"/>
    <w:rsid w:val="6AE82164"/>
    <w:rsid w:val="6AEE5FBB"/>
    <w:rsid w:val="6AF1726A"/>
    <w:rsid w:val="6AFD7857"/>
    <w:rsid w:val="6AFE3735"/>
    <w:rsid w:val="6B1139A5"/>
    <w:rsid w:val="6B147940"/>
    <w:rsid w:val="6B1F2F91"/>
    <w:rsid w:val="6B234F4A"/>
    <w:rsid w:val="6B261E4C"/>
    <w:rsid w:val="6B27617D"/>
    <w:rsid w:val="6B472B04"/>
    <w:rsid w:val="6B4D068F"/>
    <w:rsid w:val="6B526213"/>
    <w:rsid w:val="6B594E10"/>
    <w:rsid w:val="6B6063AF"/>
    <w:rsid w:val="6B6537B4"/>
    <w:rsid w:val="6B735ED1"/>
    <w:rsid w:val="6B737C7F"/>
    <w:rsid w:val="6B79100E"/>
    <w:rsid w:val="6B7A34E0"/>
    <w:rsid w:val="6B804DE4"/>
    <w:rsid w:val="6B8116B2"/>
    <w:rsid w:val="6B877A77"/>
    <w:rsid w:val="6B8C0D41"/>
    <w:rsid w:val="6B9419A4"/>
    <w:rsid w:val="6B95409A"/>
    <w:rsid w:val="6B9B2D32"/>
    <w:rsid w:val="6B9B71D6"/>
    <w:rsid w:val="6B9E6A1E"/>
    <w:rsid w:val="6B9F79B8"/>
    <w:rsid w:val="6BA20565"/>
    <w:rsid w:val="6BA53BB1"/>
    <w:rsid w:val="6BAD2A66"/>
    <w:rsid w:val="6BAE1909"/>
    <w:rsid w:val="6BAE515B"/>
    <w:rsid w:val="6BB340BD"/>
    <w:rsid w:val="6BB564B9"/>
    <w:rsid w:val="6BB65DBE"/>
    <w:rsid w:val="6BB81B36"/>
    <w:rsid w:val="6BC009EB"/>
    <w:rsid w:val="6BC32289"/>
    <w:rsid w:val="6BCC55E2"/>
    <w:rsid w:val="6BD71083"/>
    <w:rsid w:val="6BE24E05"/>
    <w:rsid w:val="6BE446D9"/>
    <w:rsid w:val="6BE50451"/>
    <w:rsid w:val="6BED4F5E"/>
    <w:rsid w:val="6BEF307E"/>
    <w:rsid w:val="6BF23772"/>
    <w:rsid w:val="6BF3491C"/>
    <w:rsid w:val="6BF47D6A"/>
    <w:rsid w:val="6BFD39ED"/>
    <w:rsid w:val="6C0057D6"/>
    <w:rsid w:val="6C033A1C"/>
    <w:rsid w:val="6C0B5D4D"/>
    <w:rsid w:val="6C0B7C76"/>
    <w:rsid w:val="6C116020"/>
    <w:rsid w:val="6C152AE5"/>
    <w:rsid w:val="6C16685D"/>
    <w:rsid w:val="6C17060B"/>
    <w:rsid w:val="6C1A16C5"/>
    <w:rsid w:val="6C1D408F"/>
    <w:rsid w:val="6C1D5E3D"/>
    <w:rsid w:val="6C1E1318"/>
    <w:rsid w:val="6C1F462C"/>
    <w:rsid w:val="6C206AC0"/>
    <w:rsid w:val="6C2E3BA6"/>
    <w:rsid w:val="6C2F033A"/>
    <w:rsid w:val="6C3C271D"/>
    <w:rsid w:val="6C450EF0"/>
    <w:rsid w:val="6C4C04D0"/>
    <w:rsid w:val="6C556836"/>
    <w:rsid w:val="6C5A0E3F"/>
    <w:rsid w:val="6C5B39DB"/>
    <w:rsid w:val="6C5B7766"/>
    <w:rsid w:val="6C5C6966"/>
    <w:rsid w:val="6C67530A"/>
    <w:rsid w:val="6C6C46CF"/>
    <w:rsid w:val="6C6E6699"/>
    <w:rsid w:val="6C787517"/>
    <w:rsid w:val="6C7C2B64"/>
    <w:rsid w:val="6C832144"/>
    <w:rsid w:val="6C847237"/>
    <w:rsid w:val="6C875C30"/>
    <w:rsid w:val="6C876A59"/>
    <w:rsid w:val="6C8859AD"/>
    <w:rsid w:val="6C8A3364"/>
    <w:rsid w:val="6C8E0AE9"/>
    <w:rsid w:val="6C904861"/>
    <w:rsid w:val="6C9205D9"/>
    <w:rsid w:val="6C944871"/>
    <w:rsid w:val="6C9854C4"/>
    <w:rsid w:val="6C9B4605"/>
    <w:rsid w:val="6CA06BBC"/>
    <w:rsid w:val="6CA9147F"/>
    <w:rsid w:val="6CAA08FF"/>
    <w:rsid w:val="6CAE6A95"/>
    <w:rsid w:val="6CB3750C"/>
    <w:rsid w:val="6CB467A2"/>
    <w:rsid w:val="6CB5336E"/>
    <w:rsid w:val="6CB542C8"/>
    <w:rsid w:val="6CB56076"/>
    <w:rsid w:val="6CC02282"/>
    <w:rsid w:val="6CC10EBE"/>
    <w:rsid w:val="6CC4275D"/>
    <w:rsid w:val="6CCB5899"/>
    <w:rsid w:val="6CCB7647"/>
    <w:rsid w:val="6CCE0EE6"/>
    <w:rsid w:val="6CCE55B8"/>
    <w:rsid w:val="6CDC3602"/>
    <w:rsid w:val="6CE52EBA"/>
    <w:rsid w:val="6CE60925"/>
    <w:rsid w:val="6CE87F8C"/>
    <w:rsid w:val="6CED5810"/>
    <w:rsid w:val="6CEF77DA"/>
    <w:rsid w:val="6CF46B9E"/>
    <w:rsid w:val="6CFE5C6F"/>
    <w:rsid w:val="6D0503EF"/>
    <w:rsid w:val="6D050DAB"/>
    <w:rsid w:val="6D074E66"/>
    <w:rsid w:val="6D085EC7"/>
    <w:rsid w:val="6D0B213A"/>
    <w:rsid w:val="6D125276"/>
    <w:rsid w:val="6D144EBD"/>
    <w:rsid w:val="6D1C7EA3"/>
    <w:rsid w:val="6D1F0800"/>
    <w:rsid w:val="6D26086E"/>
    <w:rsid w:val="6D2C27DC"/>
    <w:rsid w:val="6D2C33CD"/>
    <w:rsid w:val="6D2D0302"/>
    <w:rsid w:val="6D3A5986"/>
    <w:rsid w:val="6D3E42BD"/>
    <w:rsid w:val="6D4318D3"/>
    <w:rsid w:val="6D4348C6"/>
    <w:rsid w:val="6D4974D8"/>
    <w:rsid w:val="6D4A7EB2"/>
    <w:rsid w:val="6D5835D1"/>
    <w:rsid w:val="6D6016CB"/>
    <w:rsid w:val="6D620248"/>
    <w:rsid w:val="6D635AD2"/>
    <w:rsid w:val="6D664409"/>
    <w:rsid w:val="6D6B5469"/>
    <w:rsid w:val="6D743A98"/>
    <w:rsid w:val="6D82064E"/>
    <w:rsid w:val="6D851EEC"/>
    <w:rsid w:val="6D885538"/>
    <w:rsid w:val="6D8C078C"/>
    <w:rsid w:val="6D8C327A"/>
    <w:rsid w:val="6D8F4E95"/>
    <w:rsid w:val="6DAA54AF"/>
    <w:rsid w:val="6DAC56CB"/>
    <w:rsid w:val="6DAD677E"/>
    <w:rsid w:val="6DAF4E08"/>
    <w:rsid w:val="6DB427D1"/>
    <w:rsid w:val="6DB9605E"/>
    <w:rsid w:val="6DBF657D"/>
    <w:rsid w:val="6DC747D0"/>
    <w:rsid w:val="6DC84DAA"/>
    <w:rsid w:val="6DC90316"/>
    <w:rsid w:val="6DCF43F1"/>
    <w:rsid w:val="6DD13C07"/>
    <w:rsid w:val="6DD24A05"/>
    <w:rsid w:val="6DD32C57"/>
    <w:rsid w:val="6DD4629B"/>
    <w:rsid w:val="6DD71F00"/>
    <w:rsid w:val="6DDA58E0"/>
    <w:rsid w:val="6DE17C72"/>
    <w:rsid w:val="6DEC5AC7"/>
    <w:rsid w:val="6DF1132F"/>
    <w:rsid w:val="6DF130DE"/>
    <w:rsid w:val="6DF17581"/>
    <w:rsid w:val="6DF66946"/>
    <w:rsid w:val="6E0830F2"/>
    <w:rsid w:val="6E0B0643"/>
    <w:rsid w:val="6E0B1A73"/>
    <w:rsid w:val="6E0F7A08"/>
    <w:rsid w:val="6E113780"/>
    <w:rsid w:val="6E117620"/>
    <w:rsid w:val="6E147427"/>
    <w:rsid w:val="6E160D96"/>
    <w:rsid w:val="6E184B0E"/>
    <w:rsid w:val="6E241705"/>
    <w:rsid w:val="6E280F9B"/>
    <w:rsid w:val="6E2A5F5A"/>
    <w:rsid w:val="6E2C1D91"/>
    <w:rsid w:val="6E3063DD"/>
    <w:rsid w:val="6E334459"/>
    <w:rsid w:val="6E4F3D89"/>
    <w:rsid w:val="6E511DCE"/>
    <w:rsid w:val="6E5378F4"/>
    <w:rsid w:val="6E58025B"/>
    <w:rsid w:val="6E602011"/>
    <w:rsid w:val="6E65267E"/>
    <w:rsid w:val="6E681AD6"/>
    <w:rsid w:val="6E6B10E2"/>
    <w:rsid w:val="6E6E472E"/>
    <w:rsid w:val="6E751F61"/>
    <w:rsid w:val="6E775CD9"/>
    <w:rsid w:val="6E7837FF"/>
    <w:rsid w:val="6E794BCD"/>
    <w:rsid w:val="6E79786D"/>
    <w:rsid w:val="6E7A7577"/>
    <w:rsid w:val="6E8421A4"/>
    <w:rsid w:val="6E85086A"/>
    <w:rsid w:val="6E8C2E06"/>
    <w:rsid w:val="6E914EC1"/>
    <w:rsid w:val="6E9248C1"/>
    <w:rsid w:val="6E99523C"/>
    <w:rsid w:val="6EA06CC2"/>
    <w:rsid w:val="6EA6211A"/>
    <w:rsid w:val="6EAF69A4"/>
    <w:rsid w:val="6EB034E3"/>
    <w:rsid w:val="6EB20ABF"/>
    <w:rsid w:val="6EB42BD3"/>
    <w:rsid w:val="6EB45CAC"/>
    <w:rsid w:val="6EB71AB7"/>
    <w:rsid w:val="6EBA3E17"/>
    <w:rsid w:val="6EBD1212"/>
    <w:rsid w:val="6EC466C2"/>
    <w:rsid w:val="6EC52DE9"/>
    <w:rsid w:val="6EC66318"/>
    <w:rsid w:val="6EC72090"/>
    <w:rsid w:val="6EDA0016"/>
    <w:rsid w:val="6EDB5809"/>
    <w:rsid w:val="6EDC5B3C"/>
    <w:rsid w:val="6EE13152"/>
    <w:rsid w:val="6EE82732"/>
    <w:rsid w:val="6EED5F9B"/>
    <w:rsid w:val="6EF54E4F"/>
    <w:rsid w:val="6EFD04AE"/>
    <w:rsid w:val="6EFE3D04"/>
    <w:rsid w:val="6F0357BE"/>
    <w:rsid w:val="6F045F24"/>
    <w:rsid w:val="6F0926A9"/>
    <w:rsid w:val="6F1057E5"/>
    <w:rsid w:val="6F1352D6"/>
    <w:rsid w:val="6F213E96"/>
    <w:rsid w:val="6F2474E3"/>
    <w:rsid w:val="6F285225"/>
    <w:rsid w:val="6F2968A7"/>
    <w:rsid w:val="6F2A4AF9"/>
    <w:rsid w:val="6F2F210F"/>
    <w:rsid w:val="6F394D3C"/>
    <w:rsid w:val="6F3C482C"/>
    <w:rsid w:val="6F3C65DA"/>
    <w:rsid w:val="6F3E67F6"/>
    <w:rsid w:val="6F490CF7"/>
    <w:rsid w:val="6F502086"/>
    <w:rsid w:val="6F525DFE"/>
    <w:rsid w:val="6F547DC8"/>
    <w:rsid w:val="6F563B40"/>
    <w:rsid w:val="6F5953DE"/>
    <w:rsid w:val="6F5B73A8"/>
    <w:rsid w:val="6F6049BF"/>
    <w:rsid w:val="6F6124E5"/>
    <w:rsid w:val="6F655B31"/>
    <w:rsid w:val="6F69F9FB"/>
    <w:rsid w:val="6F6C3363"/>
    <w:rsid w:val="6F6E78E6"/>
    <w:rsid w:val="6F6F1C37"/>
    <w:rsid w:val="6F6F4C02"/>
    <w:rsid w:val="6F7044D6"/>
    <w:rsid w:val="6F80296B"/>
    <w:rsid w:val="6F806E0F"/>
    <w:rsid w:val="6F8935F1"/>
    <w:rsid w:val="6F8D4885"/>
    <w:rsid w:val="6F8D5088"/>
    <w:rsid w:val="6F8F3E7A"/>
    <w:rsid w:val="6F9603E0"/>
    <w:rsid w:val="6F984159"/>
    <w:rsid w:val="6F997ED1"/>
    <w:rsid w:val="6F9B77A5"/>
    <w:rsid w:val="6F9E3748"/>
    <w:rsid w:val="6FA56875"/>
    <w:rsid w:val="6FA75E74"/>
    <w:rsid w:val="6FAE5687"/>
    <w:rsid w:val="6FB940CF"/>
    <w:rsid w:val="6FBD3BBF"/>
    <w:rsid w:val="6FC211D5"/>
    <w:rsid w:val="6FCD36D6"/>
    <w:rsid w:val="6FD254B1"/>
    <w:rsid w:val="6FD44A65"/>
    <w:rsid w:val="6FDD600F"/>
    <w:rsid w:val="6FE91A27"/>
    <w:rsid w:val="6FEB0D89"/>
    <w:rsid w:val="6FEB1AD6"/>
    <w:rsid w:val="6FF005A6"/>
    <w:rsid w:val="6FF204E1"/>
    <w:rsid w:val="6FF60E7F"/>
    <w:rsid w:val="6FF869A5"/>
    <w:rsid w:val="700469AA"/>
    <w:rsid w:val="700F1E05"/>
    <w:rsid w:val="701A44B3"/>
    <w:rsid w:val="701C39A1"/>
    <w:rsid w:val="701C751A"/>
    <w:rsid w:val="701F03D6"/>
    <w:rsid w:val="702510D5"/>
    <w:rsid w:val="70271038"/>
    <w:rsid w:val="70273C3A"/>
    <w:rsid w:val="702B15B8"/>
    <w:rsid w:val="7036127C"/>
    <w:rsid w:val="70383246"/>
    <w:rsid w:val="70390E66"/>
    <w:rsid w:val="703B4AE4"/>
    <w:rsid w:val="70467BAB"/>
    <w:rsid w:val="704F139A"/>
    <w:rsid w:val="705363EE"/>
    <w:rsid w:val="706933FF"/>
    <w:rsid w:val="706F4E8C"/>
    <w:rsid w:val="70730722"/>
    <w:rsid w:val="70733469"/>
    <w:rsid w:val="70740EAF"/>
    <w:rsid w:val="707502F8"/>
    <w:rsid w:val="707A385E"/>
    <w:rsid w:val="70812E3F"/>
    <w:rsid w:val="70820965"/>
    <w:rsid w:val="708C31A7"/>
    <w:rsid w:val="709A7A5C"/>
    <w:rsid w:val="709C1A26"/>
    <w:rsid w:val="709F32C5"/>
    <w:rsid w:val="70A02B99"/>
    <w:rsid w:val="70AD67FB"/>
    <w:rsid w:val="70B52AE8"/>
    <w:rsid w:val="70B56644"/>
    <w:rsid w:val="70B84386"/>
    <w:rsid w:val="70BA3C5B"/>
    <w:rsid w:val="70BC0902"/>
    <w:rsid w:val="70BD199D"/>
    <w:rsid w:val="70BF3967"/>
    <w:rsid w:val="70C1323B"/>
    <w:rsid w:val="70C42D2B"/>
    <w:rsid w:val="70C94562"/>
    <w:rsid w:val="70CB269D"/>
    <w:rsid w:val="70CB64F3"/>
    <w:rsid w:val="70D709BA"/>
    <w:rsid w:val="70D70CB1"/>
    <w:rsid w:val="70D867D7"/>
    <w:rsid w:val="70DD5B9B"/>
    <w:rsid w:val="70E70404"/>
    <w:rsid w:val="70E92792"/>
    <w:rsid w:val="70EC28BD"/>
    <w:rsid w:val="70EC5DDE"/>
    <w:rsid w:val="70ED2282"/>
    <w:rsid w:val="70F03B20"/>
    <w:rsid w:val="70F91796"/>
    <w:rsid w:val="70FC4273"/>
    <w:rsid w:val="70FE623D"/>
    <w:rsid w:val="70FF1FB5"/>
    <w:rsid w:val="7104137A"/>
    <w:rsid w:val="710458DF"/>
    <w:rsid w:val="712573E8"/>
    <w:rsid w:val="71264C6A"/>
    <w:rsid w:val="71285AAC"/>
    <w:rsid w:val="712D267F"/>
    <w:rsid w:val="71330988"/>
    <w:rsid w:val="71341527"/>
    <w:rsid w:val="7137174F"/>
    <w:rsid w:val="713752AB"/>
    <w:rsid w:val="71384D7B"/>
    <w:rsid w:val="713C4FB8"/>
    <w:rsid w:val="7140235F"/>
    <w:rsid w:val="71431EA2"/>
    <w:rsid w:val="7148395C"/>
    <w:rsid w:val="714B0D57"/>
    <w:rsid w:val="714E0847"/>
    <w:rsid w:val="7151780E"/>
    <w:rsid w:val="715E6F0F"/>
    <w:rsid w:val="715F4802"/>
    <w:rsid w:val="7162598C"/>
    <w:rsid w:val="71641E18"/>
    <w:rsid w:val="716965A9"/>
    <w:rsid w:val="71775E53"/>
    <w:rsid w:val="717958C4"/>
    <w:rsid w:val="717C0814"/>
    <w:rsid w:val="717C53B4"/>
    <w:rsid w:val="71810C1C"/>
    <w:rsid w:val="71940950"/>
    <w:rsid w:val="71993280"/>
    <w:rsid w:val="719E7262"/>
    <w:rsid w:val="71A05546"/>
    <w:rsid w:val="71A12E7C"/>
    <w:rsid w:val="71A22FE8"/>
    <w:rsid w:val="71A3474F"/>
    <w:rsid w:val="71A60683"/>
    <w:rsid w:val="71AA7714"/>
    <w:rsid w:val="71B30C80"/>
    <w:rsid w:val="71B3602A"/>
    <w:rsid w:val="71B903B6"/>
    <w:rsid w:val="71C31235"/>
    <w:rsid w:val="71C64881"/>
    <w:rsid w:val="71C736AA"/>
    <w:rsid w:val="71CA4371"/>
    <w:rsid w:val="71CA611F"/>
    <w:rsid w:val="71CF6311"/>
    <w:rsid w:val="71D945B4"/>
    <w:rsid w:val="71E52F59"/>
    <w:rsid w:val="71E867AC"/>
    <w:rsid w:val="71F5068D"/>
    <w:rsid w:val="71F66F14"/>
    <w:rsid w:val="71F907B3"/>
    <w:rsid w:val="71FD64F5"/>
    <w:rsid w:val="72000C97"/>
    <w:rsid w:val="72021D5D"/>
    <w:rsid w:val="72023B0B"/>
    <w:rsid w:val="720751EB"/>
    <w:rsid w:val="72113D47"/>
    <w:rsid w:val="72141A90"/>
    <w:rsid w:val="7214383E"/>
    <w:rsid w:val="721D26F3"/>
    <w:rsid w:val="72264F9C"/>
    <w:rsid w:val="72273572"/>
    <w:rsid w:val="72275320"/>
    <w:rsid w:val="7229313A"/>
    <w:rsid w:val="722F148A"/>
    <w:rsid w:val="722F236C"/>
    <w:rsid w:val="72307D49"/>
    <w:rsid w:val="7235272A"/>
    <w:rsid w:val="723700F2"/>
    <w:rsid w:val="723932A5"/>
    <w:rsid w:val="723F4D5F"/>
    <w:rsid w:val="72402885"/>
    <w:rsid w:val="724578F3"/>
    <w:rsid w:val="72466BF3"/>
    <w:rsid w:val="725B0596"/>
    <w:rsid w:val="725C38FE"/>
    <w:rsid w:val="725E4ABA"/>
    <w:rsid w:val="726152EF"/>
    <w:rsid w:val="72640322"/>
    <w:rsid w:val="72655E48"/>
    <w:rsid w:val="72693B8A"/>
    <w:rsid w:val="72695938"/>
    <w:rsid w:val="726A345E"/>
    <w:rsid w:val="72706B69"/>
    <w:rsid w:val="72762271"/>
    <w:rsid w:val="727644F9"/>
    <w:rsid w:val="727662A7"/>
    <w:rsid w:val="72777D23"/>
    <w:rsid w:val="727D13E4"/>
    <w:rsid w:val="72802C82"/>
    <w:rsid w:val="728156B5"/>
    <w:rsid w:val="728704B4"/>
    <w:rsid w:val="72897D89"/>
    <w:rsid w:val="728B1D53"/>
    <w:rsid w:val="728E52C3"/>
    <w:rsid w:val="72963F93"/>
    <w:rsid w:val="729660C5"/>
    <w:rsid w:val="72A13B81"/>
    <w:rsid w:val="72A30F4A"/>
    <w:rsid w:val="72A50764"/>
    <w:rsid w:val="72A87753"/>
    <w:rsid w:val="72B172DF"/>
    <w:rsid w:val="72B312A9"/>
    <w:rsid w:val="72B4351D"/>
    <w:rsid w:val="72B87EBC"/>
    <w:rsid w:val="72BB015E"/>
    <w:rsid w:val="72BB3CBA"/>
    <w:rsid w:val="72C26316"/>
    <w:rsid w:val="72CC236B"/>
    <w:rsid w:val="72D130E8"/>
    <w:rsid w:val="72D354A8"/>
    <w:rsid w:val="72D37256"/>
    <w:rsid w:val="72D57472"/>
    <w:rsid w:val="72D66F5A"/>
    <w:rsid w:val="72E2292C"/>
    <w:rsid w:val="72E254FD"/>
    <w:rsid w:val="72E96A79"/>
    <w:rsid w:val="72F1121E"/>
    <w:rsid w:val="72F24482"/>
    <w:rsid w:val="72F378F8"/>
    <w:rsid w:val="72F5541E"/>
    <w:rsid w:val="7306762B"/>
    <w:rsid w:val="7307523F"/>
    <w:rsid w:val="731A6C33"/>
    <w:rsid w:val="731C41B1"/>
    <w:rsid w:val="731D4975"/>
    <w:rsid w:val="73245D03"/>
    <w:rsid w:val="733073FE"/>
    <w:rsid w:val="73351CBE"/>
    <w:rsid w:val="733777E5"/>
    <w:rsid w:val="733B289F"/>
    <w:rsid w:val="733C129F"/>
    <w:rsid w:val="73463ECB"/>
    <w:rsid w:val="734B0AAB"/>
    <w:rsid w:val="734F0FD2"/>
    <w:rsid w:val="73506AF8"/>
    <w:rsid w:val="7355410F"/>
    <w:rsid w:val="736308DE"/>
    <w:rsid w:val="7363682B"/>
    <w:rsid w:val="736507F6"/>
    <w:rsid w:val="736D3206"/>
    <w:rsid w:val="73774085"/>
    <w:rsid w:val="73796DCC"/>
    <w:rsid w:val="73893DB8"/>
    <w:rsid w:val="738E13CF"/>
    <w:rsid w:val="738F520D"/>
    <w:rsid w:val="7395780E"/>
    <w:rsid w:val="739A5FC5"/>
    <w:rsid w:val="739F35DC"/>
    <w:rsid w:val="739F538A"/>
    <w:rsid w:val="73A01EB1"/>
    <w:rsid w:val="73A429A0"/>
    <w:rsid w:val="73A96978"/>
    <w:rsid w:val="73AB4ED8"/>
    <w:rsid w:val="73AC3271"/>
    <w:rsid w:val="73AE5822"/>
    <w:rsid w:val="73B2330F"/>
    <w:rsid w:val="73B75EDE"/>
    <w:rsid w:val="73BE1CB4"/>
    <w:rsid w:val="73BE1EBD"/>
    <w:rsid w:val="73C179F6"/>
    <w:rsid w:val="73C6500C"/>
    <w:rsid w:val="73CD639B"/>
    <w:rsid w:val="73D70FC8"/>
    <w:rsid w:val="73D80EF6"/>
    <w:rsid w:val="73DB1B03"/>
    <w:rsid w:val="73DD7DF4"/>
    <w:rsid w:val="73DE4104"/>
    <w:rsid w:val="73E3796C"/>
    <w:rsid w:val="73E57241"/>
    <w:rsid w:val="73E9798B"/>
    <w:rsid w:val="73EA06EE"/>
    <w:rsid w:val="73EA0CFB"/>
    <w:rsid w:val="73EA2AA9"/>
    <w:rsid w:val="73ED4347"/>
    <w:rsid w:val="73F25E01"/>
    <w:rsid w:val="73F43927"/>
    <w:rsid w:val="73F461C0"/>
    <w:rsid w:val="73F85B5B"/>
    <w:rsid w:val="73FB4CB6"/>
    <w:rsid w:val="73FB6A64"/>
    <w:rsid w:val="73FF369E"/>
    <w:rsid w:val="73FF709F"/>
    <w:rsid w:val="740235EF"/>
    <w:rsid w:val="740A314B"/>
    <w:rsid w:val="741369EC"/>
    <w:rsid w:val="74147B26"/>
    <w:rsid w:val="741625F4"/>
    <w:rsid w:val="741632FA"/>
    <w:rsid w:val="741B0212"/>
    <w:rsid w:val="7423458E"/>
    <w:rsid w:val="74257F85"/>
    <w:rsid w:val="743401C8"/>
    <w:rsid w:val="74345C0A"/>
    <w:rsid w:val="74373814"/>
    <w:rsid w:val="743E1047"/>
    <w:rsid w:val="743E2DF5"/>
    <w:rsid w:val="743F6E02"/>
    <w:rsid w:val="74503451"/>
    <w:rsid w:val="745244D1"/>
    <w:rsid w:val="74526BD7"/>
    <w:rsid w:val="74546174"/>
    <w:rsid w:val="74546A09"/>
    <w:rsid w:val="74597C2E"/>
    <w:rsid w:val="745B39A7"/>
    <w:rsid w:val="746A1E3C"/>
    <w:rsid w:val="746B1BF9"/>
    <w:rsid w:val="746B1C6A"/>
    <w:rsid w:val="746C1002"/>
    <w:rsid w:val="746C354F"/>
    <w:rsid w:val="746C5BB4"/>
    <w:rsid w:val="747607E0"/>
    <w:rsid w:val="747C1FF1"/>
    <w:rsid w:val="74806F69"/>
    <w:rsid w:val="74866CC7"/>
    <w:rsid w:val="74896D89"/>
    <w:rsid w:val="748C1DB2"/>
    <w:rsid w:val="748D0C82"/>
    <w:rsid w:val="74911176"/>
    <w:rsid w:val="7494275B"/>
    <w:rsid w:val="7499513D"/>
    <w:rsid w:val="749B0247"/>
    <w:rsid w:val="74A23383"/>
    <w:rsid w:val="74A278C7"/>
    <w:rsid w:val="74AB66DC"/>
    <w:rsid w:val="74B03CF2"/>
    <w:rsid w:val="74B47F85"/>
    <w:rsid w:val="74B530B7"/>
    <w:rsid w:val="74B60BDD"/>
    <w:rsid w:val="74BE7A92"/>
    <w:rsid w:val="74C96B62"/>
    <w:rsid w:val="74CA5A1A"/>
    <w:rsid w:val="74CB0B2C"/>
    <w:rsid w:val="74D472B5"/>
    <w:rsid w:val="74D53759"/>
    <w:rsid w:val="74D80B53"/>
    <w:rsid w:val="74D84FF7"/>
    <w:rsid w:val="74D85619"/>
    <w:rsid w:val="74DC4AE7"/>
    <w:rsid w:val="74DF4B08"/>
    <w:rsid w:val="74DF6386"/>
    <w:rsid w:val="74E03C1D"/>
    <w:rsid w:val="74E03FDF"/>
    <w:rsid w:val="74E120FE"/>
    <w:rsid w:val="74EB1FCF"/>
    <w:rsid w:val="74EC0AA3"/>
    <w:rsid w:val="74F33160"/>
    <w:rsid w:val="74F82FA3"/>
    <w:rsid w:val="74FF5D81"/>
    <w:rsid w:val="750E0A19"/>
    <w:rsid w:val="750E27C7"/>
    <w:rsid w:val="750F7C4B"/>
    <w:rsid w:val="75114065"/>
    <w:rsid w:val="751D2A0A"/>
    <w:rsid w:val="751F2C26"/>
    <w:rsid w:val="7527712C"/>
    <w:rsid w:val="75297777"/>
    <w:rsid w:val="75324707"/>
    <w:rsid w:val="7544268D"/>
    <w:rsid w:val="754E7067"/>
    <w:rsid w:val="75581C94"/>
    <w:rsid w:val="755D72AA"/>
    <w:rsid w:val="756311DA"/>
    <w:rsid w:val="75660476"/>
    <w:rsid w:val="75680129"/>
    <w:rsid w:val="7568637B"/>
    <w:rsid w:val="756E567D"/>
    <w:rsid w:val="75722D56"/>
    <w:rsid w:val="75742F72"/>
    <w:rsid w:val="757734FE"/>
    <w:rsid w:val="75795395"/>
    <w:rsid w:val="757C0194"/>
    <w:rsid w:val="757C1E26"/>
    <w:rsid w:val="75834F63"/>
    <w:rsid w:val="75882579"/>
    <w:rsid w:val="75956A44"/>
    <w:rsid w:val="75976C60"/>
    <w:rsid w:val="759A22AD"/>
    <w:rsid w:val="759E3B4B"/>
    <w:rsid w:val="75A44ED9"/>
    <w:rsid w:val="75BA6C76"/>
    <w:rsid w:val="75C630A2"/>
    <w:rsid w:val="75C779C2"/>
    <w:rsid w:val="75CA0DE4"/>
    <w:rsid w:val="75CB4B5C"/>
    <w:rsid w:val="75D43A11"/>
    <w:rsid w:val="75D7705D"/>
    <w:rsid w:val="75D90DB3"/>
    <w:rsid w:val="75D9184B"/>
    <w:rsid w:val="75DD6A46"/>
    <w:rsid w:val="75E023B5"/>
    <w:rsid w:val="75E046B2"/>
    <w:rsid w:val="75E43528"/>
    <w:rsid w:val="75E63744"/>
    <w:rsid w:val="75E64D79"/>
    <w:rsid w:val="75E65EED"/>
    <w:rsid w:val="75EB48B6"/>
    <w:rsid w:val="75ED062E"/>
    <w:rsid w:val="75FE682F"/>
    <w:rsid w:val="76065B94"/>
    <w:rsid w:val="7610256F"/>
    <w:rsid w:val="76124539"/>
    <w:rsid w:val="76147D8F"/>
    <w:rsid w:val="76203C5A"/>
    <w:rsid w:val="76257DC8"/>
    <w:rsid w:val="76261D92"/>
    <w:rsid w:val="76277FE4"/>
    <w:rsid w:val="76283D5C"/>
    <w:rsid w:val="76320737"/>
    <w:rsid w:val="763D3EB9"/>
    <w:rsid w:val="764C17F9"/>
    <w:rsid w:val="764E3F45"/>
    <w:rsid w:val="765661D4"/>
    <w:rsid w:val="765863F0"/>
    <w:rsid w:val="76595CC4"/>
    <w:rsid w:val="766052A4"/>
    <w:rsid w:val="76634D94"/>
    <w:rsid w:val="766528BB"/>
    <w:rsid w:val="766823AB"/>
    <w:rsid w:val="76685F07"/>
    <w:rsid w:val="76692382"/>
    <w:rsid w:val="766A1C7F"/>
    <w:rsid w:val="767842D3"/>
    <w:rsid w:val="767945B8"/>
    <w:rsid w:val="76795265"/>
    <w:rsid w:val="767B404B"/>
    <w:rsid w:val="767D4DA6"/>
    <w:rsid w:val="76830F93"/>
    <w:rsid w:val="768537A4"/>
    <w:rsid w:val="768865A9"/>
    <w:rsid w:val="768A2321"/>
    <w:rsid w:val="768C42EB"/>
    <w:rsid w:val="769218C9"/>
    <w:rsid w:val="769240D1"/>
    <w:rsid w:val="76937428"/>
    <w:rsid w:val="769431A0"/>
    <w:rsid w:val="769767EC"/>
    <w:rsid w:val="769B32FE"/>
    <w:rsid w:val="76A74C81"/>
    <w:rsid w:val="76A84CD5"/>
    <w:rsid w:val="76AC04E9"/>
    <w:rsid w:val="76AD7DBE"/>
    <w:rsid w:val="76AE0F04"/>
    <w:rsid w:val="76B13D52"/>
    <w:rsid w:val="76B63116"/>
    <w:rsid w:val="76B92C06"/>
    <w:rsid w:val="76BB38C6"/>
    <w:rsid w:val="76C07AF1"/>
    <w:rsid w:val="76C17E2E"/>
    <w:rsid w:val="76CA0970"/>
    <w:rsid w:val="76CD220E"/>
    <w:rsid w:val="76CE0EBB"/>
    <w:rsid w:val="76D014F3"/>
    <w:rsid w:val="76D90BB3"/>
    <w:rsid w:val="76DD5829"/>
    <w:rsid w:val="76DD69FE"/>
    <w:rsid w:val="76E0164E"/>
    <w:rsid w:val="76E05F23"/>
    <w:rsid w:val="76E23F0B"/>
    <w:rsid w:val="76EB6E7B"/>
    <w:rsid w:val="76F61765"/>
    <w:rsid w:val="76F81981"/>
    <w:rsid w:val="76F8372F"/>
    <w:rsid w:val="76FE5846"/>
    <w:rsid w:val="770519A8"/>
    <w:rsid w:val="77065E4C"/>
    <w:rsid w:val="770A2F46"/>
    <w:rsid w:val="770E2F52"/>
    <w:rsid w:val="77112A42"/>
    <w:rsid w:val="771F0DCD"/>
    <w:rsid w:val="7725204A"/>
    <w:rsid w:val="7727782A"/>
    <w:rsid w:val="77277B70"/>
    <w:rsid w:val="772E0EFE"/>
    <w:rsid w:val="77304C77"/>
    <w:rsid w:val="773501BA"/>
    <w:rsid w:val="7736177B"/>
    <w:rsid w:val="77365399"/>
    <w:rsid w:val="773A3D47"/>
    <w:rsid w:val="773A78A3"/>
    <w:rsid w:val="773D3837"/>
    <w:rsid w:val="773E47C6"/>
    <w:rsid w:val="774B4D2E"/>
    <w:rsid w:val="774C5829"/>
    <w:rsid w:val="7750356B"/>
    <w:rsid w:val="775070C7"/>
    <w:rsid w:val="77510445"/>
    <w:rsid w:val="775766A7"/>
    <w:rsid w:val="7758241F"/>
    <w:rsid w:val="775A1CF3"/>
    <w:rsid w:val="77635563"/>
    <w:rsid w:val="776879A8"/>
    <w:rsid w:val="776F7B60"/>
    <w:rsid w:val="77707769"/>
    <w:rsid w:val="7778661E"/>
    <w:rsid w:val="777D59E2"/>
    <w:rsid w:val="778356EE"/>
    <w:rsid w:val="77860D3A"/>
    <w:rsid w:val="778925D9"/>
    <w:rsid w:val="778E6EBB"/>
    <w:rsid w:val="77901BB9"/>
    <w:rsid w:val="77931C2F"/>
    <w:rsid w:val="7798707D"/>
    <w:rsid w:val="77A411C1"/>
    <w:rsid w:val="77A47413"/>
    <w:rsid w:val="77A92C7B"/>
    <w:rsid w:val="77AB254F"/>
    <w:rsid w:val="77B91110"/>
    <w:rsid w:val="77C47AB5"/>
    <w:rsid w:val="77D72860"/>
    <w:rsid w:val="77D84854"/>
    <w:rsid w:val="77DA4BE2"/>
    <w:rsid w:val="77DE0382"/>
    <w:rsid w:val="77E26D03"/>
    <w:rsid w:val="77EE4F4C"/>
    <w:rsid w:val="77F24622"/>
    <w:rsid w:val="77F76D67"/>
    <w:rsid w:val="77F8480C"/>
    <w:rsid w:val="77FA34D6"/>
    <w:rsid w:val="77FA5D85"/>
    <w:rsid w:val="78034139"/>
    <w:rsid w:val="780D318A"/>
    <w:rsid w:val="780D4FB8"/>
    <w:rsid w:val="780F53CC"/>
    <w:rsid w:val="781520BE"/>
    <w:rsid w:val="78191561"/>
    <w:rsid w:val="781947C3"/>
    <w:rsid w:val="781A1483"/>
    <w:rsid w:val="781D05EA"/>
    <w:rsid w:val="781F6A99"/>
    <w:rsid w:val="782019FA"/>
    <w:rsid w:val="78212811"/>
    <w:rsid w:val="782236FC"/>
    <w:rsid w:val="78236589"/>
    <w:rsid w:val="78281DF2"/>
    <w:rsid w:val="782B6E34"/>
    <w:rsid w:val="782C7B34"/>
    <w:rsid w:val="782D0D9A"/>
    <w:rsid w:val="783267CC"/>
    <w:rsid w:val="783469E8"/>
    <w:rsid w:val="78370287"/>
    <w:rsid w:val="783B5319"/>
    <w:rsid w:val="783B7D77"/>
    <w:rsid w:val="783D65D6"/>
    <w:rsid w:val="783E1615"/>
    <w:rsid w:val="78450BF6"/>
    <w:rsid w:val="784B5631"/>
    <w:rsid w:val="784D1858"/>
    <w:rsid w:val="784D3606"/>
    <w:rsid w:val="784D7AAA"/>
    <w:rsid w:val="78515CC6"/>
    <w:rsid w:val="785B21C7"/>
    <w:rsid w:val="785F1566"/>
    <w:rsid w:val="7860333A"/>
    <w:rsid w:val="786077DD"/>
    <w:rsid w:val="786265B7"/>
    <w:rsid w:val="78654DF4"/>
    <w:rsid w:val="786848E4"/>
    <w:rsid w:val="78686692"/>
    <w:rsid w:val="786B1CDE"/>
    <w:rsid w:val="786F105B"/>
    <w:rsid w:val="787119EB"/>
    <w:rsid w:val="78731841"/>
    <w:rsid w:val="78811502"/>
    <w:rsid w:val="78847C7B"/>
    <w:rsid w:val="788A2AAC"/>
    <w:rsid w:val="788F00C3"/>
    <w:rsid w:val="789366E3"/>
    <w:rsid w:val="789470BD"/>
    <w:rsid w:val="78947487"/>
    <w:rsid w:val="789537BB"/>
    <w:rsid w:val="789816F7"/>
    <w:rsid w:val="78A21BA4"/>
    <w:rsid w:val="78A27DF6"/>
    <w:rsid w:val="78A376CA"/>
    <w:rsid w:val="78A82F32"/>
    <w:rsid w:val="78A95A88"/>
    <w:rsid w:val="78AE679B"/>
    <w:rsid w:val="78B2790D"/>
    <w:rsid w:val="78B81351"/>
    <w:rsid w:val="78BC49E1"/>
    <w:rsid w:val="78C14214"/>
    <w:rsid w:val="78C935D5"/>
    <w:rsid w:val="78CC09CF"/>
    <w:rsid w:val="78CE1884"/>
    <w:rsid w:val="78CF6B72"/>
    <w:rsid w:val="78D43D28"/>
    <w:rsid w:val="78D9133E"/>
    <w:rsid w:val="78E421BD"/>
    <w:rsid w:val="78EA354B"/>
    <w:rsid w:val="78EF0B61"/>
    <w:rsid w:val="78F739AF"/>
    <w:rsid w:val="78FC33D7"/>
    <w:rsid w:val="78FD327E"/>
    <w:rsid w:val="78FE54EF"/>
    <w:rsid w:val="79030169"/>
    <w:rsid w:val="79050385"/>
    <w:rsid w:val="79073DA6"/>
    <w:rsid w:val="79073F5C"/>
    <w:rsid w:val="790740FD"/>
    <w:rsid w:val="790A7E6D"/>
    <w:rsid w:val="790C1713"/>
    <w:rsid w:val="79110AD8"/>
    <w:rsid w:val="79163CB7"/>
    <w:rsid w:val="79166739"/>
    <w:rsid w:val="79183C14"/>
    <w:rsid w:val="79224A93"/>
    <w:rsid w:val="792275BE"/>
    <w:rsid w:val="792C3B64"/>
    <w:rsid w:val="792E51E6"/>
    <w:rsid w:val="792E7984"/>
    <w:rsid w:val="79305402"/>
    <w:rsid w:val="79330A4E"/>
    <w:rsid w:val="79346574"/>
    <w:rsid w:val="793547C6"/>
    <w:rsid w:val="793B7903"/>
    <w:rsid w:val="793F5645"/>
    <w:rsid w:val="79416086"/>
    <w:rsid w:val="7942728A"/>
    <w:rsid w:val="79450AAD"/>
    <w:rsid w:val="794A4D1D"/>
    <w:rsid w:val="794C1B10"/>
    <w:rsid w:val="79536335"/>
    <w:rsid w:val="795409C4"/>
    <w:rsid w:val="7955139C"/>
    <w:rsid w:val="79565C8F"/>
    <w:rsid w:val="79565D1A"/>
    <w:rsid w:val="795804B5"/>
    <w:rsid w:val="795A247F"/>
    <w:rsid w:val="795C3EC7"/>
    <w:rsid w:val="795D2923"/>
    <w:rsid w:val="79615FB4"/>
    <w:rsid w:val="79654980"/>
    <w:rsid w:val="797133D8"/>
    <w:rsid w:val="79725A1A"/>
    <w:rsid w:val="7973301B"/>
    <w:rsid w:val="79752091"/>
    <w:rsid w:val="797B41A3"/>
    <w:rsid w:val="797D7F1B"/>
    <w:rsid w:val="79815C5D"/>
    <w:rsid w:val="798175E5"/>
    <w:rsid w:val="798219D5"/>
    <w:rsid w:val="798412AA"/>
    <w:rsid w:val="79894B12"/>
    <w:rsid w:val="798A66B0"/>
    <w:rsid w:val="798B0086"/>
    <w:rsid w:val="798B075D"/>
    <w:rsid w:val="79974C49"/>
    <w:rsid w:val="79A61220"/>
    <w:rsid w:val="79B24069"/>
    <w:rsid w:val="79BE0C60"/>
    <w:rsid w:val="79BF0EC0"/>
    <w:rsid w:val="79C124FE"/>
    <w:rsid w:val="79C57617"/>
    <w:rsid w:val="79C618C2"/>
    <w:rsid w:val="79C8388C"/>
    <w:rsid w:val="79D13F02"/>
    <w:rsid w:val="79E306C6"/>
    <w:rsid w:val="79E63D12"/>
    <w:rsid w:val="79E87A8A"/>
    <w:rsid w:val="79E9735F"/>
    <w:rsid w:val="79ED32F3"/>
    <w:rsid w:val="79EF26F4"/>
    <w:rsid w:val="79FD0C2C"/>
    <w:rsid w:val="7A025901"/>
    <w:rsid w:val="7A085D1E"/>
    <w:rsid w:val="7A0B5527"/>
    <w:rsid w:val="7A0D5D0B"/>
    <w:rsid w:val="7A117820"/>
    <w:rsid w:val="7A117F06"/>
    <w:rsid w:val="7A1B7E60"/>
    <w:rsid w:val="7A1E34AC"/>
    <w:rsid w:val="7A2605B3"/>
    <w:rsid w:val="7A2E1215"/>
    <w:rsid w:val="7A30672E"/>
    <w:rsid w:val="7A33329F"/>
    <w:rsid w:val="7A364493"/>
    <w:rsid w:val="7A37456E"/>
    <w:rsid w:val="7A37631C"/>
    <w:rsid w:val="7A3BBBCF"/>
    <w:rsid w:val="7A3D1AF3"/>
    <w:rsid w:val="7A3D2FDD"/>
    <w:rsid w:val="7A3F0657"/>
    <w:rsid w:val="7A431165"/>
    <w:rsid w:val="7A472BA5"/>
    <w:rsid w:val="7A506109"/>
    <w:rsid w:val="7A570902"/>
    <w:rsid w:val="7A5A200A"/>
    <w:rsid w:val="7A643B21"/>
    <w:rsid w:val="7A676077"/>
    <w:rsid w:val="7A695863"/>
    <w:rsid w:val="7A6A66F1"/>
    <w:rsid w:val="7A6F5AB6"/>
    <w:rsid w:val="7A715CD2"/>
    <w:rsid w:val="7A794B87"/>
    <w:rsid w:val="7A7C01D3"/>
    <w:rsid w:val="7A7E03EF"/>
    <w:rsid w:val="7A7E3A33"/>
    <w:rsid w:val="7A801DA9"/>
    <w:rsid w:val="7A85177D"/>
    <w:rsid w:val="7A85352B"/>
    <w:rsid w:val="7A886B78"/>
    <w:rsid w:val="7A8C48BA"/>
    <w:rsid w:val="7A996FD7"/>
    <w:rsid w:val="7AA31C03"/>
    <w:rsid w:val="7AA37E55"/>
    <w:rsid w:val="7AAA11E4"/>
    <w:rsid w:val="7AAC18BC"/>
    <w:rsid w:val="7AB47064"/>
    <w:rsid w:val="7AB636E5"/>
    <w:rsid w:val="7AB93EA3"/>
    <w:rsid w:val="7AB94F83"/>
    <w:rsid w:val="7ABD2CC5"/>
    <w:rsid w:val="7AC878BC"/>
    <w:rsid w:val="7ACA3634"/>
    <w:rsid w:val="7AD24297"/>
    <w:rsid w:val="7AD26045"/>
    <w:rsid w:val="7AD46261"/>
    <w:rsid w:val="7AD93877"/>
    <w:rsid w:val="7ADD5115"/>
    <w:rsid w:val="7AE04C06"/>
    <w:rsid w:val="7AE069B4"/>
    <w:rsid w:val="7AEA15E0"/>
    <w:rsid w:val="7AF4245F"/>
    <w:rsid w:val="7AF75AAB"/>
    <w:rsid w:val="7AFC290B"/>
    <w:rsid w:val="7B0501C8"/>
    <w:rsid w:val="7B07727D"/>
    <w:rsid w:val="7B0A12DE"/>
    <w:rsid w:val="7B0C59FB"/>
    <w:rsid w:val="7B152B01"/>
    <w:rsid w:val="7B1623D5"/>
    <w:rsid w:val="7B165A36"/>
    <w:rsid w:val="7B166879"/>
    <w:rsid w:val="7B1E4FDC"/>
    <w:rsid w:val="7B1F572E"/>
    <w:rsid w:val="7B202E8E"/>
    <w:rsid w:val="7B2528B4"/>
    <w:rsid w:val="7B2550F0"/>
    <w:rsid w:val="7B2E771F"/>
    <w:rsid w:val="7B2F16E9"/>
    <w:rsid w:val="7B2F3497"/>
    <w:rsid w:val="7B2F59D6"/>
    <w:rsid w:val="7B3B0F54"/>
    <w:rsid w:val="7B3B48DF"/>
    <w:rsid w:val="7B430ADD"/>
    <w:rsid w:val="7B4A02D1"/>
    <w:rsid w:val="7B4C6D88"/>
    <w:rsid w:val="7B4E6013"/>
    <w:rsid w:val="7B4F58E7"/>
    <w:rsid w:val="7B533629"/>
    <w:rsid w:val="7B57638E"/>
    <w:rsid w:val="7B5A49B8"/>
    <w:rsid w:val="7B5B2BD1"/>
    <w:rsid w:val="7B5F6077"/>
    <w:rsid w:val="7B6770D5"/>
    <w:rsid w:val="7B6969A9"/>
    <w:rsid w:val="7B6C46EB"/>
    <w:rsid w:val="7B6E0051"/>
    <w:rsid w:val="7B6E2211"/>
    <w:rsid w:val="7B711D02"/>
    <w:rsid w:val="7B73126E"/>
    <w:rsid w:val="7B7470FC"/>
    <w:rsid w:val="7B784E3E"/>
    <w:rsid w:val="7B8A3C04"/>
    <w:rsid w:val="7B8B4B71"/>
    <w:rsid w:val="7B8B68F2"/>
    <w:rsid w:val="7B8C5067"/>
    <w:rsid w:val="7B917CAE"/>
    <w:rsid w:val="7B931C78"/>
    <w:rsid w:val="7B933A26"/>
    <w:rsid w:val="7BA43E85"/>
    <w:rsid w:val="7BA4737C"/>
    <w:rsid w:val="7BA63759"/>
    <w:rsid w:val="7BA93249"/>
    <w:rsid w:val="7BAB6FC2"/>
    <w:rsid w:val="7BB128AD"/>
    <w:rsid w:val="7BBA79AF"/>
    <w:rsid w:val="7BC77B74"/>
    <w:rsid w:val="7BD76009"/>
    <w:rsid w:val="7BDA1655"/>
    <w:rsid w:val="7BE06795"/>
    <w:rsid w:val="7BF03ACF"/>
    <w:rsid w:val="7BF30969"/>
    <w:rsid w:val="7BFC15CB"/>
    <w:rsid w:val="7C0543FF"/>
    <w:rsid w:val="7C0641F8"/>
    <w:rsid w:val="7C146D57"/>
    <w:rsid w:val="7C15268D"/>
    <w:rsid w:val="7C217284"/>
    <w:rsid w:val="7C262AEC"/>
    <w:rsid w:val="7C2D79D7"/>
    <w:rsid w:val="7C2E19A1"/>
    <w:rsid w:val="7C30396B"/>
    <w:rsid w:val="7C370855"/>
    <w:rsid w:val="7C3C5E6C"/>
    <w:rsid w:val="7C43544C"/>
    <w:rsid w:val="7C440929"/>
    <w:rsid w:val="7C4411C4"/>
    <w:rsid w:val="7C4A36C4"/>
    <w:rsid w:val="7C4B60AF"/>
    <w:rsid w:val="7C4F7D3C"/>
    <w:rsid w:val="7C530CF6"/>
    <w:rsid w:val="7C5331B5"/>
    <w:rsid w:val="7C547659"/>
    <w:rsid w:val="7C570EF7"/>
    <w:rsid w:val="7C594C70"/>
    <w:rsid w:val="7C5A4544"/>
    <w:rsid w:val="7C5C5D14"/>
    <w:rsid w:val="7C611D76"/>
    <w:rsid w:val="7C635AEE"/>
    <w:rsid w:val="7C786FF2"/>
    <w:rsid w:val="7C7970C0"/>
    <w:rsid w:val="7C865339"/>
    <w:rsid w:val="7C865EDA"/>
    <w:rsid w:val="7C8E5093"/>
    <w:rsid w:val="7C920181"/>
    <w:rsid w:val="7C923CDE"/>
    <w:rsid w:val="7C943EFA"/>
    <w:rsid w:val="7C945CA8"/>
    <w:rsid w:val="7C961A20"/>
    <w:rsid w:val="7C9A0DE4"/>
    <w:rsid w:val="7C9A7BC3"/>
    <w:rsid w:val="7CA37C99"/>
    <w:rsid w:val="7CA51C63"/>
    <w:rsid w:val="7CAC0188"/>
    <w:rsid w:val="7CAD6D69"/>
    <w:rsid w:val="7CAE7B82"/>
    <w:rsid w:val="7CB315B9"/>
    <w:rsid w:val="7CB61980"/>
    <w:rsid w:val="7CB9570E"/>
    <w:rsid w:val="7CBE0F77"/>
    <w:rsid w:val="7CBE5111"/>
    <w:rsid w:val="7CCB71F0"/>
    <w:rsid w:val="7CCC3693"/>
    <w:rsid w:val="7CCF0A8E"/>
    <w:rsid w:val="7CD10CAA"/>
    <w:rsid w:val="7CD460A4"/>
    <w:rsid w:val="7CD76053"/>
    <w:rsid w:val="7CD90635"/>
    <w:rsid w:val="7CE04A49"/>
    <w:rsid w:val="7CE22E28"/>
    <w:rsid w:val="7CE34539"/>
    <w:rsid w:val="7CEA58C8"/>
    <w:rsid w:val="7CF03F88"/>
    <w:rsid w:val="7CF24A77"/>
    <w:rsid w:val="7CF33B15"/>
    <w:rsid w:val="7CF71AB3"/>
    <w:rsid w:val="7CFC39CF"/>
    <w:rsid w:val="7D0F3580"/>
    <w:rsid w:val="7D16490F"/>
    <w:rsid w:val="7D1B1F25"/>
    <w:rsid w:val="7D1C4008"/>
    <w:rsid w:val="7D1E37C3"/>
    <w:rsid w:val="7D20578D"/>
    <w:rsid w:val="7D253442"/>
    <w:rsid w:val="7D2C636B"/>
    <w:rsid w:val="7D2D5C3E"/>
    <w:rsid w:val="7D2E7EAA"/>
    <w:rsid w:val="7D3036DB"/>
    <w:rsid w:val="7D39684F"/>
    <w:rsid w:val="7D3D50B2"/>
    <w:rsid w:val="7D3D633F"/>
    <w:rsid w:val="7D441CBC"/>
    <w:rsid w:val="7D4A45B8"/>
    <w:rsid w:val="7D4F6073"/>
    <w:rsid w:val="7D562F5D"/>
    <w:rsid w:val="7D5947FB"/>
    <w:rsid w:val="7D676F18"/>
    <w:rsid w:val="7D692C90"/>
    <w:rsid w:val="7D6E02A7"/>
    <w:rsid w:val="7D761851"/>
    <w:rsid w:val="7D7A30EF"/>
    <w:rsid w:val="7D7C4BA0"/>
    <w:rsid w:val="7D7E2772"/>
    <w:rsid w:val="7D7F0706"/>
    <w:rsid w:val="7D8306B2"/>
    <w:rsid w:val="7D8A0E59"/>
    <w:rsid w:val="7D8B495A"/>
    <w:rsid w:val="7D8E0949"/>
    <w:rsid w:val="7D8E5D5D"/>
    <w:rsid w:val="7D8E6B9B"/>
    <w:rsid w:val="7D8F646F"/>
    <w:rsid w:val="7D91734A"/>
    <w:rsid w:val="7D9341B1"/>
    <w:rsid w:val="7D98438D"/>
    <w:rsid w:val="7D9C12B8"/>
    <w:rsid w:val="7D9F4904"/>
    <w:rsid w:val="7DA47A2D"/>
    <w:rsid w:val="7DA912DF"/>
    <w:rsid w:val="7DA97531"/>
    <w:rsid w:val="7DAC5273"/>
    <w:rsid w:val="7DB86548"/>
    <w:rsid w:val="7DBB1012"/>
    <w:rsid w:val="7DC10D1E"/>
    <w:rsid w:val="7DC26844"/>
    <w:rsid w:val="7DC66335"/>
    <w:rsid w:val="7DD24CD9"/>
    <w:rsid w:val="7DD345AE"/>
    <w:rsid w:val="7DD54E72"/>
    <w:rsid w:val="7DDB16B4"/>
    <w:rsid w:val="7DE14F1D"/>
    <w:rsid w:val="7DF12C86"/>
    <w:rsid w:val="7DF86305"/>
    <w:rsid w:val="7DFC0E03"/>
    <w:rsid w:val="7DFF0F6B"/>
    <w:rsid w:val="7E002EC9"/>
    <w:rsid w:val="7E0155BF"/>
    <w:rsid w:val="7E130E4E"/>
    <w:rsid w:val="7E156974"/>
    <w:rsid w:val="7E1A042F"/>
    <w:rsid w:val="7E1C7D03"/>
    <w:rsid w:val="7E1F3C97"/>
    <w:rsid w:val="7E2117BD"/>
    <w:rsid w:val="7E235E07"/>
    <w:rsid w:val="7E266DD3"/>
    <w:rsid w:val="7E2929E7"/>
    <w:rsid w:val="7E325778"/>
    <w:rsid w:val="7E3B204C"/>
    <w:rsid w:val="7E400AFB"/>
    <w:rsid w:val="7E464D80"/>
    <w:rsid w:val="7E4B4A8C"/>
    <w:rsid w:val="7E4D4360"/>
    <w:rsid w:val="7E503F66"/>
    <w:rsid w:val="7E54225E"/>
    <w:rsid w:val="7E5576B9"/>
    <w:rsid w:val="7E5F5E41"/>
    <w:rsid w:val="7E6B0CDC"/>
    <w:rsid w:val="7E831F2C"/>
    <w:rsid w:val="7E83470A"/>
    <w:rsid w:val="7E867872"/>
    <w:rsid w:val="7E88183C"/>
    <w:rsid w:val="7E891110"/>
    <w:rsid w:val="7E905F9E"/>
    <w:rsid w:val="7E9401E1"/>
    <w:rsid w:val="7E9C52E7"/>
    <w:rsid w:val="7E9E0514"/>
    <w:rsid w:val="7EA1645A"/>
    <w:rsid w:val="7EA45F4A"/>
    <w:rsid w:val="7EA5419C"/>
    <w:rsid w:val="7EA6685A"/>
    <w:rsid w:val="7EB10D93"/>
    <w:rsid w:val="7EBF4B32"/>
    <w:rsid w:val="7EC363A2"/>
    <w:rsid w:val="7EC81C39"/>
    <w:rsid w:val="7ED12997"/>
    <w:rsid w:val="7ED2210B"/>
    <w:rsid w:val="7EDF0647"/>
    <w:rsid w:val="7EE132AF"/>
    <w:rsid w:val="7EEAC9FF"/>
    <w:rsid w:val="7EEC1DCB"/>
    <w:rsid w:val="7EEF6318"/>
    <w:rsid w:val="7EF23159"/>
    <w:rsid w:val="7EFB200E"/>
    <w:rsid w:val="7EFE565A"/>
    <w:rsid w:val="7F005876"/>
    <w:rsid w:val="7F021CD8"/>
    <w:rsid w:val="7F030EC3"/>
    <w:rsid w:val="7F08297D"/>
    <w:rsid w:val="7F1046F2"/>
    <w:rsid w:val="7F121106"/>
    <w:rsid w:val="7F1255AA"/>
    <w:rsid w:val="7F141322"/>
    <w:rsid w:val="7F1A7F5F"/>
    <w:rsid w:val="7F1C5AC4"/>
    <w:rsid w:val="7F1D01D6"/>
    <w:rsid w:val="7F2A7175"/>
    <w:rsid w:val="7F2C0C33"/>
    <w:rsid w:val="7F2C40E1"/>
    <w:rsid w:val="7F370CAE"/>
    <w:rsid w:val="7F376DBE"/>
    <w:rsid w:val="7F390D88"/>
    <w:rsid w:val="7F3D2627"/>
    <w:rsid w:val="7F437511"/>
    <w:rsid w:val="7F45305F"/>
    <w:rsid w:val="7F455247"/>
    <w:rsid w:val="7F480FCB"/>
    <w:rsid w:val="7F4E65E2"/>
    <w:rsid w:val="7F556235"/>
    <w:rsid w:val="7F587460"/>
    <w:rsid w:val="7F596D35"/>
    <w:rsid w:val="7F5B0CFF"/>
    <w:rsid w:val="7F5D4A77"/>
    <w:rsid w:val="7F5F07EF"/>
    <w:rsid w:val="7F6556D9"/>
    <w:rsid w:val="7F6D27E0"/>
    <w:rsid w:val="7F721BA4"/>
    <w:rsid w:val="7F787239"/>
    <w:rsid w:val="7F7B5357"/>
    <w:rsid w:val="7F7DA4D5"/>
    <w:rsid w:val="7F802513"/>
    <w:rsid w:val="7F824394"/>
    <w:rsid w:val="7F8952AA"/>
    <w:rsid w:val="7F9C3A4F"/>
    <w:rsid w:val="7F9F508F"/>
    <w:rsid w:val="7FA02BB5"/>
    <w:rsid w:val="7FA6170C"/>
    <w:rsid w:val="7FA846C3"/>
    <w:rsid w:val="7FA95261"/>
    <w:rsid w:val="7FA97CBC"/>
    <w:rsid w:val="7FAB54CF"/>
    <w:rsid w:val="7FAE7080"/>
    <w:rsid w:val="7FAF2DF8"/>
    <w:rsid w:val="7FB273CA"/>
    <w:rsid w:val="7FBD5515"/>
    <w:rsid w:val="7FC8567D"/>
    <w:rsid w:val="7FC93EBA"/>
    <w:rsid w:val="7FCF4C2C"/>
    <w:rsid w:val="7FD4460D"/>
    <w:rsid w:val="7FDC1E3F"/>
    <w:rsid w:val="7FDF548C"/>
    <w:rsid w:val="7FDF723A"/>
    <w:rsid w:val="7FDFEA66"/>
    <w:rsid w:val="7FE24F7C"/>
    <w:rsid w:val="7FE62858"/>
    <w:rsid w:val="7FE7774A"/>
    <w:rsid w:val="7FF058EB"/>
    <w:rsid w:val="7FF30F37"/>
    <w:rsid w:val="7FF41029"/>
    <w:rsid w:val="7FF62F7B"/>
    <w:rsid w:val="7FF64583"/>
    <w:rsid w:val="7FF97746"/>
    <w:rsid w:val="7FFB1A22"/>
    <w:rsid w:val="7FFD5912"/>
    <w:rsid w:val="A9FFE562"/>
    <w:rsid w:val="BBEA9EB5"/>
    <w:rsid w:val="DBCB1EB4"/>
    <w:rsid w:val="DECF05FA"/>
    <w:rsid w:val="EDEF0EEE"/>
    <w:rsid w:val="EFBDA01F"/>
    <w:rsid w:val="F6D81825"/>
    <w:rsid w:val="FA7FFC48"/>
    <w:rsid w:val="FBBEE55C"/>
    <w:rsid w:val="FEF93E50"/>
    <w:rsid w:val="FFD31D99"/>
    <w:rsid w:val="FFEFBBFC"/>
    <w:rsid w:val="FFFFA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4"/>
      <w:lang w:val="en-US" w:eastAsia="zh-CN" w:bidi="ar-SA"/>
    </w:rPr>
  </w:style>
  <w:style w:type="paragraph" w:styleId="4">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5">
    <w:name w:val="heading 2"/>
    <w:basedOn w:val="1"/>
    <w:next w:val="1"/>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6">
    <w:name w:val="heading 3"/>
    <w:basedOn w:val="1"/>
    <w:next w:val="1"/>
    <w:link w:val="27"/>
    <w:qFormat/>
    <w:uiPriority w:val="0"/>
    <w:pPr>
      <w:keepNext/>
      <w:keepLines/>
      <w:spacing w:before="260" w:after="260" w:line="416" w:lineRule="auto"/>
      <w:outlineLvl w:val="2"/>
    </w:pPr>
    <w:rPr>
      <w:b/>
      <w:bCs/>
      <w:sz w:val="32"/>
      <w:szCs w:val="32"/>
    </w:rPr>
  </w:style>
  <w:style w:type="character" w:default="1" w:styleId="20">
    <w:name w:val="Default Paragraph Font"/>
    <w:qFormat/>
    <w:uiPriority w:val="1"/>
  </w:style>
  <w:style w:type="table" w:default="1" w:styleId="18">
    <w:name w:val="Normal Table"/>
    <w:qFormat/>
    <w:uiPriority w:val="99"/>
    <w:tblPr>
      <w:tblCellMar>
        <w:top w:w="0" w:type="dxa"/>
        <w:left w:w="108" w:type="dxa"/>
        <w:bottom w:w="0" w:type="dxa"/>
        <w:right w:w="108" w:type="dxa"/>
      </w:tblCellMar>
    </w:tblPr>
  </w:style>
  <w:style w:type="paragraph" w:customStyle="1" w:styleId="2">
    <w:name w:val="正文首行缩进 21"/>
    <w:basedOn w:val="3"/>
    <w:qFormat/>
    <w:uiPriority w:val="0"/>
    <w:pPr>
      <w:ind w:firstLine="420" w:firstLineChars="200"/>
    </w:pPr>
    <w:rPr>
      <w:rFonts w:ascii="Times New Roman" w:hAnsi="Times New Roman"/>
      <w:szCs w:val="24"/>
    </w:rPr>
  </w:style>
  <w:style w:type="paragraph" w:customStyle="1" w:styleId="3">
    <w:name w:val="正文文本缩进1"/>
    <w:basedOn w:val="1"/>
    <w:qFormat/>
    <w:uiPriority w:val="0"/>
    <w:pPr>
      <w:ind w:left="420" w:leftChars="200"/>
    </w:pPr>
  </w:style>
  <w:style w:type="paragraph" w:styleId="7">
    <w:name w:val="Body Text"/>
    <w:basedOn w:val="1"/>
    <w:link w:val="39"/>
    <w:qFormat/>
    <w:uiPriority w:val="0"/>
    <w:rPr>
      <w:rFonts w:ascii="Arial" w:hAnsi="Arial" w:eastAsia="Arial" w:cs="Arial"/>
      <w:sz w:val="21"/>
      <w:szCs w:val="21"/>
      <w:lang w:val="en-US" w:eastAsia="en-US" w:bidi="ar-SA"/>
    </w:rPr>
  </w:style>
  <w:style w:type="paragraph" w:styleId="8">
    <w:name w:val="Body Text Indent"/>
    <w:basedOn w:val="1"/>
    <w:semiHidden/>
    <w:unhideWhenUsed/>
    <w:qFormat/>
    <w:uiPriority w:val="99"/>
    <w:pPr>
      <w:spacing w:after="120"/>
      <w:ind w:left="420" w:leftChars="200"/>
    </w:pPr>
  </w:style>
  <w:style w:type="paragraph" w:styleId="9">
    <w:name w:val="Block Text"/>
    <w:basedOn w:val="1"/>
    <w:unhideWhenUsed/>
    <w:qFormat/>
    <w:uiPriority w:val="99"/>
    <w:pPr>
      <w:ind w:left="1289" w:leftChars="101" w:right="320" w:rightChars="100" w:hanging="966" w:hangingChars="483"/>
    </w:pPr>
  </w:style>
  <w:style w:type="paragraph" w:styleId="10">
    <w:name w:val="toc 3"/>
    <w:basedOn w:val="1"/>
    <w:next w:val="1"/>
    <w:qFormat/>
    <w:uiPriority w:val="39"/>
    <w:pPr>
      <w:widowControl/>
      <w:spacing w:after="100" w:line="259" w:lineRule="auto"/>
      <w:ind w:left="440"/>
      <w:jc w:val="left"/>
    </w:pPr>
    <w:rPr>
      <w:rFonts w:cs="Times New Roman"/>
      <w:kern w:val="0"/>
      <w:sz w:val="22"/>
      <w:szCs w:val="22"/>
    </w:rPr>
  </w:style>
  <w:style w:type="paragraph" w:styleId="11">
    <w:name w:val="footer"/>
    <w:basedOn w:val="1"/>
    <w:link w:val="36"/>
    <w:qFormat/>
    <w:uiPriority w:val="99"/>
    <w:pPr>
      <w:tabs>
        <w:tab w:val="center" w:pos="4153"/>
        <w:tab w:val="right" w:pos="8306"/>
      </w:tabs>
      <w:snapToGrid w:val="0"/>
      <w:jc w:val="left"/>
    </w:pPr>
    <w:rPr>
      <w:sz w:val="18"/>
      <w:szCs w:val="18"/>
    </w:rPr>
  </w:style>
  <w:style w:type="paragraph" w:styleId="12">
    <w:name w:val="header"/>
    <w:basedOn w:val="1"/>
    <w:qFormat/>
    <w:uiPriority w:val="0"/>
    <w:pPr>
      <w:tabs>
        <w:tab w:val="center" w:pos="4153"/>
        <w:tab w:val="right" w:pos="8306"/>
      </w:tabs>
      <w:snapToGrid w:val="0"/>
      <w:jc w:val="center"/>
    </w:pPr>
    <w:rPr>
      <w:sz w:val="18"/>
      <w:szCs w:val="18"/>
    </w:rPr>
  </w:style>
  <w:style w:type="paragraph" w:styleId="13">
    <w:name w:val="toc 1"/>
    <w:basedOn w:val="1"/>
    <w:next w:val="1"/>
    <w:qFormat/>
    <w:uiPriority w:val="39"/>
    <w:pPr>
      <w:widowControl/>
      <w:spacing w:line="259" w:lineRule="auto"/>
      <w:jc w:val="left"/>
    </w:pPr>
    <w:rPr>
      <w:rFonts w:ascii="宋体" w:hAnsi="宋体" w:cs="黑体"/>
      <w:b/>
      <w:bCs/>
      <w:spacing w:val="-6"/>
      <w:kern w:val="44"/>
    </w:rPr>
  </w:style>
  <w:style w:type="paragraph" w:styleId="14">
    <w:name w:val="footnote text"/>
    <w:basedOn w:val="1"/>
    <w:link w:val="30"/>
    <w:qFormat/>
    <w:uiPriority w:val="0"/>
    <w:pPr>
      <w:snapToGrid w:val="0"/>
      <w:jc w:val="left"/>
    </w:pPr>
    <w:rPr>
      <w:sz w:val="18"/>
    </w:rPr>
  </w:style>
  <w:style w:type="paragraph" w:styleId="15">
    <w:name w:val="toc 2"/>
    <w:basedOn w:val="1"/>
    <w:next w:val="1"/>
    <w:qFormat/>
    <w:uiPriority w:val="39"/>
    <w:pPr>
      <w:widowControl/>
      <w:spacing w:after="100" w:line="259" w:lineRule="auto"/>
      <w:ind w:left="220"/>
      <w:jc w:val="left"/>
    </w:pPr>
    <w:rPr>
      <w:rFonts w:cs="Times New Roman"/>
      <w:kern w:val="0"/>
      <w:sz w:val="22"/>
      <w:szCs w:val="22"/>
    </w:rPr>
  </w:style>
  <w:style w:type="paragraph" w:styleId="16">
    <w:name w:val="Normal (Web)"/>
    <w:basedOn w:val="1"/>
    <w:qFormat/>
    <w:uiPriority w:val="99"/>
    <w:pPr>
      <w:spacing w:beforeAutospacing="1" w:afterAutospacing="1"/>
      <w:jc w:val="left"/>
    </w:pPr>
    <w:rPr>
      <w:rFonts w:cs="Times New Roman"/>
      <w:kern w:val="0"/>
      <w:sz w:val="24"/>
    </w:rPr>
  </w:style>
  <w:style w:type="paragraph" w:styleId="17">
    <w:name w:val="Body Text First Indent 2"/>
    <w:basedOn w:val="8"/>
    <w:qFormat/>
    <w:uiPriority w:val="0"/>
    <w:pPr>
      <w:ind w:firstLine="420" w:firstLineChars="200"/>
    </w:pPr>
    <w:rPr>
      <w:rFonts w:ascii="Calibri" w:hAnsi="Calibri" w:eastAsia="宋体" w:cs="宋体"/>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qFormat/>
    <w:uiPriority w:val="0"/>
    <w:rPr>
      <w:b/>
    </w:rPr>
  </w:style>
  <w:style w:type="character" w:styleId="22">
    <w:name w:val="page number"/>
    <w:basedOn w:val="20"/>
    <w:qFormat/>
    <w:uiPriority w:val="0"/>
    <w:rPr>
      <w:rFonts w:cs="Times New Roman"/>
    </w:rPr>
  </w:style>
  <w:style w:type="character" w:styleId="23">
    <w:name w:val="Hyperlink"/>
    <w:basedOn w:val="20"/>
    <w:qFormat/>
    <w:uiPriority w:val="99"/>
    <w:rPr>
      <w:color w:val="0026E5"/>
      <w:u w:val="single"/>
    </w:rPr>
  </w:style>
  <w:style w:type="character" w:styleId="24">
    <w:name w:val="footnote reference"/>
    <w:basedOn w:val="20"/>
    <w:qFormat/>
    <w:uiPriority w:val="0"/>
    <w:rPr>
      <w:vertAlign w:val="superscript"/>
    </w:rPr>
  </w:style>
  <w:style w:type="paragraph" w:customStyle="1" w:styleId="25">
    <w:name w:val="枣庄十五五正文"/>
    <w:basedOn w:val="1"/>
    <w:qFormat/>
    <w:uiPriority w:val="0"/>
  </w:style>
  <w:style w:type="paragraph" w:styleId="26">
    <w:name w:val="List Paragraph"/>
    <w:basedOn w:val="1"/>
    <w:qFormat/>
    <w:uiPriority w:val="99"/>
    <w:pPr>
      <w:ind w:firstLine="420" w:firstLineChars="200"/>
    </w:pPr>
  </w:style>
  <w:style w:type="character" w:customStyle="1" w:styleId="27">
    <w:name w:val="标题 3 字符"/>
    <w:basedOn w:val="20"/>
    <w:link w:val="6"/>
    <w:qFormat/>
    <w:uiPriority w:val="0"/>
    <w:rPr>
      <w:rFonts w:ascii="Calibri" w:hAnsi="Calibri" w:eastAsia="宋体" w:cs="宋体"/>
      <w:b/>
      <w:bCs/>
      <w:kern w:val="2"/>
      <w:sz w:val="32"/>
      <w:szCs w:val="32"/>
    </w:rPr>
  </w:style>
  <w:style w:type="paragraph" w:customStyle="1" w:styleId="28">
    <w:name w:val="荣成155正文"/>
    <w:basedOn w:val="1"/>
    <w:link w:val="29"/>
    <w:qFormat/>
    <w:uiPriority w:val="0"/>
    <w:pPr>
      <w:spacing w:line="560" w:lineRule="exact"/>
      <w:ind w:firstLine="643" w:firstLineChars="200"/>
    </w:pPr>
    <w:rPr>
      <w:rFonts w:ascii="仿宋_GB2312" w:eastAsia="仿宋_GB2312"/>
      <w:sz w:val="32"/>
      <w:szCs w:val="32"/>
    </w:rPr>
  </w:style>
  <w:style w:type="character" w:customStyle="1" w:styleId="29">
    <w:name w:val="荣成155正文 字符"/>
    <w:basedOn w:val="20"/>
    <w:link w:val="28"/>
    <w:qFormat/>
    <w:uiPriority w:val="0"/>
    <w:rPr>
      <w:rFonts w:ascii="仿宋_GB2312" w:hAnsi="Calibri" w:eastAsia="仿宋_GB2312" w:cs="宋体"/>
      <w:kern w:val="2"/>
      <w:sz w:val="32"/>
      <w:szCs w:val="32"/>
    </w:rPr>
  </w:style>
  <w:style w:type="character" w:customStyle="1" w:styleId="30">
    <w:name w:val="脚注文本 字符"/>
    <w:link w:val="14"/>
    <w:qFormat/>
    <w:uiPriority w:val="0"/>
    <w:rPr>
      <w:rFonts w:ascii="Calibri" w:hAnsi="Calibri" w:eastAsia="宋体" w:cs="宋体"/>
      <w:kern w:val="2"/>
      <w:sz w:val="18"/>
      <w:szCs w:val="24"/>
    </w:rPr>
  </w:style>
  <w:style w:type="paragraph" w:customStyle="1" w:styleId="31">
    <w:name w:val="荣成155一级标题"/>
    <w:basedOn w:val="1"/>
    <w:link w:val="32"/>
    <w:qFormat/>
    <w:uiPriority w:val="0"/>
    <w:pPr>
      <w:keepNext/>
      <w:keepLines/>
      <w:adjustRightInd w:val="0"/>
      <w:snapToGrid w:val="0"/>
      <w:spacing w:before="312" w:beforeLines="100" w:after="312" w:afterLines="100" w:line="560" w:lineRule="exact"/>
      <w:jc w:val="center"/>
      <w:outlineLvl w:val="0"/>
    </w:pPr>
    <w:rPr>
      <w:rFonts w:ascii="方正小标宋简体" w:hAnsi="方正小标宋简体" w:eastAsia="方正小标宋简体" w:cs="方正小标宋简体"/>
      <w:color w:val="000000"/>
      <w:kern w:val="21"/>
      <w:sz w:val="44"/>
      <w:szCs w:val="44"/>
      <w14:ligatures w14:val="standardContextual"/>
    </w:rPr>
  </w:style>
  <w:style w:type="character" w:customStyle="1" w:styleId="32">
    <w:name w:val="荣成155一级标题 字符"/>
    <w:basedOn w:val="20"/>
    <w:link w:val="31"/>
    <w:qFormat/>
    <w:uiPriority w:val="0"/>
    <w:rPr>
      <w:rFonts w:ascii="方正小标宋简体" w:hAnsi="方正小标宋简体" w:eastAsia="方正小标宋简体" w:cs="方正小标宋简体"/>
      <w:color w:val="000000"/>
      <w:kern w:val="21"/>
      <w:sz w:val="44"/>
      <w:szCs w:val="44"/>
      <w14:ligatures w14:val="standardContextual"/>
    </w:rPr>
  </w:style>
  <w:style w:type="paragraph" w:customStyle="1" w:styleId="33">
    <w:name w:val="荣成155二级标题"/>
    <w:basedOn w:val="1"/>
    <w:link w:val="34"/>
    <w:qFormat/>
    <w:uiPriority w:val="0"/>
    <w:pPr>
      <w:spacing w:before="156" w:beforeLines="50" w:after="156" w:afterLines="50" w:line="560" w:lineRule="exact"/>
      <w:jc w:val="center"/>
      <w:outlineLvl w:val="1"/>
    </w:pPr>
    <w:rPr>
      <w:rFonts w:ascii="黑体" w:hAnsi="黑体" w:eastAsia="黑体" w:cs="黑体"/>
      <w:sz w:val="32"/>
      <w:szCs w:val="32"/>
    </w:rPr>
  </w:style>
  <w:style w:type="character" w:customStyle="1" w:styleId="34">
    <w:name w:val="荣成155二级标题 字符"/>
    <w:basedOn w:val="20"/>
    <w:link w:val="33"/>
    <w:qFormat/>
    <w:uiPriority w:val="0"/>
    <w:rPr>
      <w:rFonts w:ascii="黑体" w:hAnsi="黑体" w:eastAsia="黑体" w:cs="黑体"/>
      <w:kern w:val="2"/>
      <w:sz w:val="32"/>
      <w:szCs w:val="32"/>
    </w:rPr>
  </w:style>
  <w:style w:type="paragraph" w:customStyle="1" w:styleId="35">
    <w:name w:val="TOC 标题1"/>
    <w:basedOn w:val="4"/>
    <w:next w:val="1"/>
    <w:qFormat/>
    <w:uiPriority w:val="39"/>
    <w:pPr>
      <w:keepNext/>
      <w:keepLines/>
      <w:widowControl/>
      <w:spacing w:before="240" w:beforeAutospacing="0" w:afterAutospacing="0" w:line="259" w:lineRule="auto"/>
      <w:outlineLvl w:val="9"/>
    </w:pPr>
    <w:rPr>
      <w:rFonts w:hint="default" w:ascii="Calibri Light" w:hAnsi="Calibri Light" w:eastAsia="宋体" w:cs="宋体"/>
      <w:b w:val="0"/>
      <w:bCs w:val="0"/>
      <w:color w:val="2E54A1"/>
      <w:kern w:val="0"/>
      <w:sz w:val="32"/>
      <w:szCs w:val="32"/>
    </w:rPr>
  </w:style>
  <w:style w:type="character" w:customStyle="1" w:styleId="36">
    <w:name w:val="页脚 字符"/>
    <w:basedOn w:val="20"/>
    <w:link w:val="11"/>
    <w:qFormat/>
    <w:uiPriority w:val="99"/>
    <w:rPr>
      <w:rFonts w:ascii="Calibri" w:hAnsi="Calibri" w:eastAsia="宋体" w:cs="宋体"/>
      <w:kern w:val="2"/>
      <w:sz w:val="18"/>
      <w:szCs w:val="18"/>
    </w:rPr>
  </w:style>
  <w:style w:type="paragraph" w:customStyle="1" w:styleId="37">
    <w:name w:val="TOC Heading_d7fc7dbc-8b4a-402f-bf8e-48b528d80690"/>
    <w:basedOn w:val="4"/>
    <w:next w:val="1"/>
    <w:qFormat/>
    <w:uiPriority w:val="39"/>
    <w:pPr>
      <w:keepNext/>
      <w:keepLines/>
      <w:widowControl/>
      <w:spacing w:before="240" w:beforeAutospacing="0" w:afterAutospacing="0" w:line="259" w:lineRule="auto"/>
      <w:outlineLvl w:val="9"/>
    </w:pPr>
    <w:rPr>
      <w:rFonts w:hint="default" w:ascii="Calibri Light" w:hAnsi="Calibri Light" w:eastAsia="宋体" w:cs="宋体"/>
      <w:b w:val="0"/>
      <w:bCs w:val="0"/>
      <w:color w:val="2E54A1"/>
      <w:kern w:val="0"/>
      <w:sz w:val="32"/>
      <w:szCs w:val="32"/>
    </w:rPr>
  </w:style>
  <w:style w:type="paragraph" w:customStyle="1" w:styleId="38">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39">
    <w:name w:val="正文文本 Char"/>
    <w:link w:val="7"/>
    <w:qFormat/>
    <w:uiPriority w:val="0"/>
    <w:rPr>
      <w:rFonts w:ascii="Arial" w:hAnsi="Arial" w:eastAsia="Arial" w:cs="Arial"/>
      <w:sz w:val="21"/>
      <w:szCs w:val="21"/>
      <w:lang w:val="en-US" w:eastAsia="en-US" w:bidi="ar-SA"/>
    </w:rPr>
  </w:style>
  <w:style w:type="character" w:customStyle="1" w:styleId="40">
    <w:name w:val="CharAttribute12"/>
    <w:qFormat/>
    <w:uiPriority w:val="0"/>
    <w:rPr>
      <w:rFonts w:hint="default" w:ascii="???" w:hAnsi="???" w:eastAsia="Times New Roman"/>
      <w:sz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227e37e7-c70d-433a-a913-960aa5ec2be6</errorID>
      <errorWord>创新驱动战略</errorWord>
      <group>L1_Political</group>
      <groupName>政治性问题</groupName>
      <ability>L2_Unpolitical</ability>
      <abilityName>政治敏感错误</abilityName>
      <candidateList>
        <item>创新驱动发展战略</item>
      </candidateList>
      <explain/>
      <paraID> F0C4715</paraID>
      <start>13</start>
      <end>19</end>
      <status>unmodified</status>
      <modifiedWord/>
      <trackRevisions>false</trackRevisions>
    </reviewItem>
    <reviewItem>
      <errorID>9a323e79-ec06-4de2-b2aa-b9f2ccaa5705</errorID>
      <errorWord>全国学前教育普及普惠县</errorWord>
      <group>L1_Political</group>
      <groupName>政治性问题</groupName>
      <ability>L2_Unpolitical</ability>
      <abilityName>政治敏感错误</abilityName>
      <candidateList>
        <item>国家学前教育普及普惠县</item>
      </candidateList>
      <explain/>
      <paraID>418293E6</paraID>
      <start>187</start>
      <end>198</end>
      <status>unmodified</status>
      <modifiedWord/>
      <trackRevisions>false</trackRevisions>
    </reviewItem>
    <reviewItem>
      <errorID>f90d5c54-6cd1-48d7-82f1-f9d38545338b</errorID>
      <errorWord>安全生产治本攻坚行动</errorWord>
      <group>L1_Political</group>
      <groupName>政治性问题</groupName>
      <ability>L2_Keyword</ability>
      <abilityName>固定表述</abilityName>
      <candidateList>
        <item>安全生产治本攻坚三年行动</item>
      </candidateList>
      <explain>词汇“安全生产治本攻坚三年行动”在特定场景下为固定表述形式，请确认此处的“安全生产治本攻坚行动”是否存在不当。</explain>
      <paraID>45865925</paraID>
      <start>78</start>
      <end>88</end>
      <status>unmodified</status>
      <modifiedWord/>
      <trackRevisions>false</trackRevisions>
    </reviewItem>
    <reviewItem>
      <errorID>07439778-4e07-4aee-83be-ede296cb391c</errorID>
      <errorWord>新一轮科技革命与产业变革</errorWord>
      <group>L1_Political</group>
      <groupName>政治性问题</groupName>
      <ability>L2_Keyword</ability>
      <abilityName>固定表述</abilityName>
      <candidateList>
        <item>新一轮科技革命和产业变革</item>
      </candidateList>
      <explain>词汇“新一轮科技革命和产业变革”在特定场景下为固定表述形式，请确认此处的“新一轮科技革命与产业变革”是否存在不当。</explain>
      <paraID> 8F9A0D6</paraID>
      <start>114</start>
      <end>126</end>
      <status>unmodified</status>
      <modifiedWord/>
      <trackRevisions>false</trackRevisions>
    </reviewItem>
    <reviewItem>
      <errorID>f86d9661-c9e3-4052-b8c6-1e574825b554</errorID>
      <errorWord>“乡村振兴”</errorWord>
      <group>L1_Political</group>
      <groupName>政治性问题</groupName>
      <ability>L2_Unpolitical</ability>
      <abilityName>政治敏感错误</abilityName>
      <candidateList>
        <item>乡村振兴</item>
      </candidateList>
      <explain/>
      <paraID>2BA813BB</paraID>
      <start>102</start>
      <end>108</end>
      <status>unmodified</status>
      <modifiedWord/>
      <trackRevisions>false</trackRevisions>
    </reviewItem>
    <reviewItem>
      <errorID>87fd25eb-0e3b-4671-b902-2d0d0c8ddd95</errorID>
      <errorWord>处</errorWord>
      <group>L1_Word</group>
      <groupName>字词问题</groupName>
      <ability>L2_Typo</ability>
      <abilityName>字词错误</abilityName>
      <candidateList>
        <item>处于</item>
      </candidateList>
      <explain>〈动〉在某种地位或状态：～优势｜伤员～昏迷状态。</explain>
      <paraID>2BA813BB</paraID>
      <start>299</start>
      <end>300</end>
      <status>unmodified</status>
      <modifiedWord/>
      <trackRevisions>false</trackRevisions>
    </reviewItem>
    <reviewItem>
      <errorID>d5265e01-eae4-4492-a2cf-1ef243a87b89</errorID>
      <errorWord>绿色低碳循环发展体系</errorWord>
      <group>L1_Political</group>
      <groupName>政治性问题</groupName>
      <ability>L2_Keyword</ability>
      <abilityName>固定表述</abilityName>
      <candidateList>
        <item>绿色低碳循环发展经济体系</item>
      </candidateList>
      <explain>词汇“绿色低碳循环发展经济体系”在特定场景下为固定表述形式，请确认此处的“绿色低碳循环发展体系”是否存在不当。</explain>
      <paraID>2AC2B1F0</paraID>
      <start>56</start>
      <end>66</end>
      <status>unmodified</status>
      <modifiedWord/>
      <trackRevisions>false</trackRevisions>
    </reviewItem>
    <reviewItem>
      <errorID>c8ed80b8-a8db-42e1-9d88-8b833a46cb6e</errorID>
      <errorWord>龙眼</errorWord>
      <group>L1_Word</group>
      <groupName>字词问题</groupName>
      <ability>L2_Typo</ability>
      <abilityName>字词错误</abilityName>
      <candidateList>
        <item>龙岩</item>
      </candidateList>
      <explain/>
      <paraID>36DAC5FD</paraID>
      <start>202</start>
      <end>204</end>
      <status>unmodified</status>
      <modifiedWord/>
      <trackRevisions>false</trackRevisions>
    </reviewItem>
    <reviewItem>
      <errorID>c1d73099-336f-48b8-b9c3-70ec3d60b1d5</errorID>
      <errorWord>生物食品</errorWord>
      <group>L1_Word</group>
      <groupName>字词问题</groupName>
      <ability>L2_Typo</ability>
      <abilityName>字词错误</abilityName>
      <candidateList>
        <item>生物制品</item>
      </candidateList>
      <explain/>
      <paraID>7A9F8A17</paraID>
      <start>2</start>
      <end>6</end>
      <status>unmodified</status>
      <modifiedWord/>
      <trackRevisions>false</trackRevisions>
    </reviewItem>
    <reviewItem>
      <errorID>523c0c93-f36e-4cf0-b73c-d154da429845</errorID>
      <errorWord>；</errorWord>
      <group>L1_Word</group>
      <groupName>字词问题</groupName>
      <ability>L2_Typo</ability>
      <abilityName>字词错误</abilityName>
      <candidateList>
        <item>；在</item>
      </candidateList>
      <explain/>
      <paraID>296755AD</paraID>
      <start>177</start>
      <end>178</end>
      <status>unmodified</status>
      <modifiedWord/>
      <trackRevisions>false</trackRevisions>
    </reviewItem>
    <reviewItem>
      <errorID>6a8711ca-eb03-4dce-aef4-14266a2771e2</errorID>
      <errorWord>创新驱动战略</errorWord>
      <group>L1_Political</group>
      <groupName>政治性问题</groupName>
      <ability>L2_Unpolitical</ability>
      <abilityName>政治敏感错误</abilityName>
      <candidateList>
        <item>创新驱动发展战略</item>
      </candidateList>
      <explain/>
      <paraID>5DD15CA0</paraID>
      <start>7</start>
      <end>13</end>
      <status>unmodified</status>
      <modifiedWord/>
      <trackRevisions>false</trackRevisions>
    </reviewItem>
    <reviewItem>
      <errorID>d9ccf9b6-b8ba-40bb-95f8-cfe1291403b0</errorID>
      <errorWord>行政处罚裁量权基准</errorWord>
      <group>L1_Political</group>
      <groupName>政治性问题</groupName>
      <ability>L2_Keyword</ability>
      <abilityName>固定表述</abilityName>
      <candidateList>
        <item>行政处罚裁量基准</item>
      </candidateList>
      <explain>词汇“行政处罚裁量基准”在特定场景下为固定表述形式，请确认此处的“行政处罚裁量权基准”是否存在不当。</explain>
      <paraID>1EB23C22</paraID>
      <start>71</start>
      <end>80</end>
      <status>unmodified</status>
      <modifiedWord/>
      <trackRevisions>false</trackRevisions>
    </reviewItem>
    <reviewItem>
      <errorID>63b87b3a-fa40-4fd2-9e42-7d213e227802</errorID>
      <errorWord>同达</errorWord>
      <group>L1_Word</group>
      <groupName>字词问题</groupName>
      <ability>L2_Typo</ability>
      <abilityName>字词错误</abilityName>
      <candidateList>
        <item>通达</item>
      </candidateList>
      <explain/>
      <paraID>1EB23C22</paraID>
      <start>106</start>
      <end>108</end>
      <status>unmodified</status>
      <modifiedWord/>
      <trackRevisions>false</trackRevisions>
    </reviewItem>
    <reviewItem>
      <errorID>ba0978be-4654-4c94-b8b8-b6aacb272415</errorID>
      <errorWord>瀉</errorWord>
      <group>L1_Word</group>
      <groupName>字词问题</groupName>
      <ability>L2_Fanti</ability>
      <abilityName>繁转简</abilityName>
      <candidateList>
        <item>泻</item>
      </candidateList>
      <explain/>
      <paraID>54AC5420</paraID>
      <start>50</start>
      <end>51</end>
      <status>unmodified</status>
      <modifiedWord/>
      <trackRevisions>false</trackRevisions>
    </reviewItem>
    <reviewItem>
      <errorID>7422f7a8-96d5-465b-9267-5815ea17ffb9</errorID>
      <errorWord>国家沿海渔港经济区</errorWord>
      <group>L1_Political</group>
      <groupName>政治性问题</groupName>
      <ability>L2_Keyword</ability>
      <abilityName>固定表述</abilityName>
      <candidateList>
        <item>国家级沿海渔港经济区</item>
      </candidateList>
      <explain>词汇“国家级沿海渔港经济区”在特定场景下为固定表述形式，请确认此处的“国家沿海渔港经济区”是否存在不当。</explain>
      <paraID>5E6D1638</paraID>
      <start>388</start>
      <end>397</end>
      <status>unmodified</status>
      <modifiedWord/>
      <trackRevisions>false</trackRevisions>
    </reviewItem>
    <reviewItem>
      <errorID>9f3e8a18-0722-4c2b-b5f4-a49d15659843</errorID>
      <errorWord>产</errorWord>
      <group>L1_Word</group>
      <groupName>字词问题</groupName>
      <ability>L2_Typo</ability>
      <abilityName>字词错误</abilityName>
      <candidateList>
        <item>产品</item>
      </candidateList>
      <explain>〈名〉生产出来的物品：农～｜畜～｜～出厂都要经过检验。</explain>
      <paraID>5E6D1638</paraID>
      <start>711</start>
      <end>712</end>
      <status>unmodified</status>
      <modifiedWord/>
      <trackRevisions>false</trackRevisions>
    </reviewItem>
    <reviewItem>
      <errorID>34ee8e15-6cdf-4299-a53a-a537e75ce063</errorID>
      <errorWord>农民工资</errorWord>
      <group>L1_Word</group>
      <groupName>字词问题</groupName>
      <ability>L2_Typo</ability>
      <abilityName>字词错误</abilityName>
      <candidateList>
        <item>农民工工资</item>
      </candidateList>
      <explain/>
      <paraID>57A5767A</paraID>
      <start>209</start>
      <end>213</end>
      <status>unmodified</status>
      <modifiedWord/>
      <trackRevisions>false</trackRevisions>
    </reviewItem>
    <reviewItem>
      <errorID>7f615aa6-e625-4d42-bff8-fff81e9c219a</errorID>
      <errorWord>中央统筹、省负总责、市县落实</errorWord>
      <group>L1_Political</group>
      <groupName>政治性问题</groupName>
      <ability>L2_Keyword</ability>
      <abilityName>固定表述</abilityName>
      <candidateList>
        <item>中央统筹、省负总责、市县抓落实</item>
      </candidateList>
      <explain>词汇“中央统筹、省负总责、市县抓落实”在特定场景下为固定表述形式，请确认此处的“中央统筹、省负总责、市县落实”是否存在不当。</explain>
      <paraID>79C6687D</paraID>
      <start>22</start>
      <end>36</end>
      <status>unmodified</status>
      <modifiedWord/>
      <trackRevisions>false</trackRevisions>
    </reviewItem>
    <reviewItem>
      <errorID>c4bc3ea2-1a31-454f-b453-f7978593d244</errorID>
      <errorWord>、和</errorWord>
      <group>L1_Punc</group>
      <groupName>标点问题</groupName>
      <ability>L2_Punc</ability>
      <abilityName>标点符号检查</abilityName>
      <candidateList>
        <item>和</item>
      </candidateList>
      <explain>“及”“和”“等”连词前不宜使用顿号，建议删除（或使用逗号）。</explain>
      <paraID>26CCE3DF</paraID>
      <start>704</start>
      <end>706</end>
      <status>unmodified</status>
      <modifiedWord/>
      <trackRevisions>false</trackRevisions>
    </reviewItem>
    <reviewItem>
      <errorID>0db960a8-2e0e-42af-8caa-68ac3bcbb2ea</errorID>
      <errorWord>城市水文</errorWord>
      <group>L1_Knowledge</group>
      <groupName>知识性问题</groupName>
      <ability>L2_Term</ability>
      <abilityName>专业术语</abilityName>
      <candidateList>
        <item>城市水务</item>
      </candidateList>
      <explain/>
      <paraID>3831FDF2</paraID>
      <start>667</start>
      <end>671</end>
      <status>unmodified</status>
      <modifiedWord/>
      <trackRevisions>false</trackRevisions>
    </reviewItem>
    <reviewItem>
      <errorID>8dd2a574-c321-4283-8b57-efeb88820a3d</errorID>
      <errorWord>成</errorWord>
      <group>L1_Word</group>
      <groupName>字词问题</groupName>
      <ability>L2_Typo</ability>
      <abilityName>字词错误</abilityName>
      <candidateList>
        <item>城</item>
      </candidateList>
      <explain/>
      <paraID>27B17C8C</paraID>
      <start>292</start>
      <end>293</end>
      <status>unmodified</status>
      <modifiedWord/>
      <trackRevisions>false</trackRevisions>
    </reviewItem>
    <reviewItem>
      <errorID>3d67be98-0085-42d9-8b1b-31cf5226926d</errorID>
      <errorWord>促进城乡精神文明建设融合发展</errorWord>
      <group>L1_Political</group>
      <groupName>政治性问题</groupName>
      <ability>L2_Keyword</ability>
      <abilityName>固定表述</abilityName>
      <candidateList>
        <item>推进城乡精神文明建设融合发展</item>
      </candidateList>
      <explain>词汇“推进城乡精神文明建设融合发展”在特定场景下为固定表述形式，请确认此处的“促进城乡精神文明建设融合发展”是否存在不当。</explain>
      <paraID>7825A297</paraID>
      <start>101</start>
      <end>115</end>
      <status>unmodified</status>
      <modifiedWord/>
      <trackRevisions>false</trackRevisions>
    </reviewItem>
    <reviewItem>
      <errorID>be8a3c48-c0e5-4c7d-a567-070776e33ee6</errorID>
      <errorWord>人人参与、人人尽责、人人享有</errorWord>
      <group>L1_Political</group>
      <groupName>政治性问题</groupName>
      <ability>L2_Keyword</ability>
      <abilityName>固定表述</abilityName>
      <candidateList>
        <item>人人有责、人人尽责、人人享有</item>
      </candidateList>
      <explain>词汇“人人有责、人人尽责、人人享有”在特定场景下为固定表述形式，请确认此处的“人人参与、人人尽责、人人享有”是否存在不当。</explain>
      <paraID>253390E7</paraID>
      <start>68</start>
      <end>82</end>
      <status>unmodified</status>
      <modifiedWord/>
      <trackRevisions>false</trackRevisions>
    </reviewItem>
    <reviewItem>
      <errorID>7851d3e9-8bf8-4c2d-83f4-d5a90b080d5f</errorID>
      <errorWord>文化科技融合示范基地</errorWord>
      <group>L1_Political</group>
      <groupName>政治性问题</groupName>
      <ability>L2_Keyword</ability>
      <abilityName>固定表述</abilityName>
      <candidateList>
        <item>文化和科技融合示范基地</item>
      </candidateList>
      <explain>词汇“文化和科技融合示范基地”在特定场景下为固定表述形式，请确认此处的“文化科技融合示范基地”是否存在不当。</explain>
      <paraID>58832AB9</paraID>
      <start>172</start>
      <end>182</end>
      <status>unmodified</status>
      <modifiedWord/>
      <trackRevisions>false</trackRevisions>
    </reviewItem>
    <reviewItem>
      <errorID>13f8b9a6-b27b-482b-ae36-7cf03f39ab2d</errorID>
      <errorWord>文化与旅游</errorWord>
      <group>L1_Political</group>
      <groupName>政治性问题</groupName>
      <ability>L2_Unpolitical</ability>
      <abilityName>政治敏感错误</abilityName>
      <candidateList>
        <item>文化和旅游</item>
      </candidateList>
      <explain/>
      <paraID>61447DB3</paraID>
      <start>70</start>
      <end>75</end>
      <status>unmodified</status>
      <modifiedWord/>
      <trackRevisions>false</trackRevisions>
    </reviewItem>
    <reviewItem>
      <errorID>f632bd9b-a44c-4925-a52e-6a64711184ba</errorID>
      <errorWord>障</errorWord>
      <group>L1_Word</group>
      <groupName>字词问题</groupName>
      <ability>L2_Typo</ability>
      <abilityName>字词错误</abilityName>
      <candidateList>
        <item>障和</item>
      </candidateList>
      <explain/>
      <paraID>2EF8A759</paraID>
      <start>9</start>
      <end>10</end>
      <status>unmodified</status>
      <modifiedWord/>
      <trackRevisions>false</trackRevisions>
    </reviewItem>
    <reviewItem>
      <errorID>72772f2d-14be-406c-8592-a16ff6f9f38c</errorID>
      <errorWord>开展</errorWord>
      <group>L1_Grammar</group>
      <groupName>语法问题</groupName>
      <ability>L2_Grammar</ability>
      <abilityName>语法错误</abilityName>
      <candidateList>
        <item>推行</item>
      </candidateList>
      <explain>“开展～机制”搭配不当，建议修改为“推行～机制”。</explain>
      <paraID>69E8B39B</paraID>
      <start>45</start>
      <end>47</end>
      <status>unmodified</status>
      <modifiedWord/>
      <trackRevisions>false</trackRevisions>
    </reviewItem>
    <reviewItem>
      <errorID>7574be54-7afb-48d7-a08c-995434ad1155</errorID>
      <errorWord>开辟</errorWord>
      <group>L1_Word</group>
      <groupName>字词问题</groupName>
      <ability>L2_Typo</ability>
      <abilityName>字词错误</abilityName>
      <candidateList>
        <item>开拓</item>
      </candidateList>
      <explain>〈动〉❶开辟；扩展：～市场｜～处女地◇这一年短篇小说的创作道路～得更广阔了。❷采掘矿物前进行的修建巷道等工序的总称。</explain>
      <paraID>2F77BD58</paraID>
      <start>489</start>
      <end>491</end>
      <status>unmodified</status>
      <modifiedWord/>
      <trackRevisions>false</trackRevisions>
    </reviewItem>
    <reviewItem>
      <errorID>3c76ef47-6c33-4934-a25b-efcc4b26703c</errorID>
      <errorWord>中医院</errorWord>
      <group>L1_Word</group>
      <groupName>字词问题</groupName>
      <ability>L2_Typo</ability>
      <abilityName>字词错误</abilityName>
      <candidateList>
        <item>中医</item>
      </candidateList>
      <explain/>
      <paraID> 354A506</paraID>
      <start>14</start>
      <end>17</end>
      <status>unmodified</status>
      <modifiedWord/>
      <trackRevisions>false</trackRevisions>
    </reviewItem>
    <reviewItem>
      <errorID>1a1cb004-b658-44e2-a91d-04d5b7323945</errorID>
      <errorWord>企业职工养老保险</errorWord>
      <group>L1_Political</group>
      <groupName>政治性问题</groupName>
      <ability>L2_Keyword</ability>
      <abilityName>固定表述</abilityName>
      <candidateList>
        <item>企业职工基本养老保险</item>
      </candidateList>
      <explain>词汇“企业职工基本养老保险”在特定场景下为固定表述形式，请确认此处的“企业职工养老保险”是否存在不当。</explain>
      <paraID>37889E7C</paraID>
      <start>150</start>
      <end>158</end>
      <status>unmodified</status>
      <modifiedWord/>
      <trackRevisions>false</trackRevisions>
    </reviewItem>
    <reviewItem>
      <errorID>23bacff4-92f1-4395-853f-ae53edee4c02</errorID>
      <errorWord>学习宣传习近平新时代中国特色社会主义思想</errorWord>
      <group>L1_Political</group>
      <groupName>政治性问题</groupName>
      <ability>L2_Keyword</ability>
      <abilityName>固定表述</abilityName>
      <candidateList>
        <item>学习贯彻习近平新时代中国特色社会主义思想</item>
      </candidateList>
      <explain>词汇“学习贯彻习近平新时代中国特色社会主义思想”在特定场景下为固定表述形式，请确认此处的“学习宣传习近平新时代中国特色社会主义思想”是否存在不当。</explain>
      <paraID>11AF6CB6</paraID>
      <start>12</start>
      <end>32</end>
      <status>unmodified</status>
      <modifiedWord/>
      <trackRevisions>false</trackRevisions>
    </reviewItem>
    <reviewItem>
      <errorID>35280cc7-a8fa-42ef-8fd3-d7aecbc048ed</errorID>
      <errorWord>国家总体安全观</errorWord>
      <group>L1_Word</group>
      <groupName>字词问题</groupName>
      <ability>L2_Typo</ability>
      <abilityName>字词错误</abilityName>
      <candidateList>
        <item>总体国家安全观</item>
      </candidateList>
      <explain/>
      <paraID>1A01379F</paraID>
      <start>8</start>
      <end>15</end>
      <status>unmodified</status>
      <modifiedWord/>
      <trackRevisions>false</trackRevisions>
    </reviewItem>
    <reviewItem>
      <errorID>3e7f8418-4468-49c1-a481-8553c083d46a</errorID>
      <errorWord>安全生产治本攻坚行动</errorWord>
      <group>L1_Political</group>
      <groupName>政治性问题</groupName>
      <ability>L2_Keyword</ability>
      <abilityName>固定表述</abilityName>
      <candidateList>
        <item>安全生产治本攻坚三年行动</item>
      </candidateList>
      <explain>词汇“安全生产治本攻坚三年行动”在特定场景下为固定表述形式，请确认此处的“安全生产治本攻坚行动”是否存在不当。</explain>
      <paraID>2FEA5F50</paraID>
      <start>47</start>
      <end>57</end>
      <status>unmodified</status>
      <modifiedWord/>
      <trackRevisions>false</trackRevisions>
    </reviewItem>
    <reviewItem>
      <errorID>dbc8a73d-dbaa-409e-83ae-a13af2de002a</errorID>
      <errorWord>消费安全</errorWord>
      <group>L1_Word</group>
      <groupName>字词问题</groupName>
      <ability>L2_Typo</ability>
      <abilityName>字词错误</abilityName>
      <candidateList>
        <item>消防安全</item>
      </candidateList>
      <explain/>
      <paraID>772D261C</paraID>
      <start>2</start>
      <end>6</end>
      <status>unmodified</status>
      <modifiedWord/>
      <trackRevisions>false</trackRevisions>
    </reviewItem>
    <reviewItem>
      <errorID>b2b675f5-f9f5-487a-b0e2-82f8cedc276d</errorID>
      <errorWord>补点</errorWord>
      <group>L1_Word</group>
      <groupName>字词问题</groupName>
      <ability>L2_Typo</ability>
      <abilityName>字词错误</abilityName>
      <candidateList>
        <item>布点</item>
      </candidateList>
      <explain/>
      <paraID>2666161E</paraID>
      <start>83</start>
      <end>85</end>
      <status>unmodified</status>
      <modifiedWord/>
      <trackRevisions>false</trackRevisions>
    </reviewItem>
    <reviewItem>
      <errorID>56657f98-2a80-46e3-839e-859281c92178</errorID>
      <errorWord>制定计划</errorWord>
      <group>L1_Knowledge</group>
      <groupName>知识性问题</groupName>
      <ability>L2_Knowledge</ability>
      <abilityName>其他知识</abilityName>
      <candidateList>
        <item>制订计划</item>
      </candidateList>
      <explain/>
      <paraID>758CA853</paraID>
      <start>49</start>
      <end>53</end>
      <status>unmodified</status>
      <modifiedWord/>
      <trackRevisions>false</trackRevisions>
    </reviewItem>
    <reviewItem>
      <errorID>4a5976fc-027c-4870-9aa7-ec362977da8a</errorID>
      <errorWord>党领导经济社会发展的能力和水平</errorWord>
      <group>L1_Political</group>
      <groupName>政治性问题</groupName>
      <ability>L2_Keyword</ability>
      <abilityName>固定表述</abilityName>
      <candidateList>
        <item>党领导经济社会发展能力和水平</item>
      </candidateList>
      <explain>词汇“党领导经济社会发展能力和水平”在特定场景下为固定表述形式，请确认此处的“党领导经济社会发展的能力和水平”是否存在不当。</explain>
      <paraID>7EED0913</paraID>
      <start>24</start>
      <end>39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371791-8a05-4686-b26d-1cda7626161d}">
  <ds:schemaRefs/>
</ds:datastoreItem>
</file>

<file path=docProps/app.xml><?xml version="1.0" encoding="utf-8"?>
<Properties xmlns="http://schemas.openxmlformats.org/officeDocument/2006/extended-properties" xmlns:vt="http://schemas.openxmlformats.org/officeDocument/2006/docPropsVTypes">
  <Template>Normal.dotm</Template>
  <Pages>142</Pages>
  <Words>420</Words>
  <Characters>424</Characters>
  <Paragraphs>465</Paragraphs>
  <TotalTime>0</TotalTime>
  <ScaleCrop>false</ScaleCrop>
  <LinksUpToDate>false</LinksUpToDate>
  <CharactersWithSpaces>424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2025-10-27T16:48:00Z</dcterms:created>
  <dc:creator>kzy20</dc:creator>
  <cp:lastModifiedBy>李宗达</cp:lastModifiedBy>
  <cp:lastPrinted>2026-09-18T00:59:00Z</cp:lastPrinted>
  <dcterms:modified xsi:type="dcterms:W3CDTF">2026-10-23T09:15:45Z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eyJoZGlkIjoiM2JjNDU3OGUxZTA3YmE4ZTMyYzBiYWJiYzVhOWM4YTgiLCJ1c2VySWQiOiI0NTc0NzUyOTcifQ==</vt:lpwstr>
  </property>
  <property fmtid="{D5CDD505-2E9C-101B-9397-08002B2CF9AE}" pid="4" name="ICV">
    <vt:lpwstr>7D88819259C74CC6AC571D343845111F_13</vt:lpwstr>
  </property>
</Properties>
</file>