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4D567">
      <w:pPr>
        <w:jc w:val="center"/>
        <w:rPr>
          <w:rFonts w:ascii="宋体" w:hAnsi="宋体" w:eastAsia="宋体" w:cs="宋体"/>
          <w:b/>
          <w:bCs/>
          <w:color w:val="333333"/>
          <w:kern w:val="0"/>
          <w:sz w:val="34"/>
          <w:szCs w:val="34"/>
        </w:rPr>
      </w:pPr>
      <w:r>
        <w:rPr>
          <w:rFonts w:hint="eastAsia" w:ascii="宋体" w:hAnsi="宋体" w:eastAsia="宋体" w:cs="宋体"/>
          <w:b/>
          <w:bCs/>
          <w:color w:val="333333"/>
          <w:kern w:val="0"/>
          <w:sz w:val="34"/>
          <w:szCs w:val="34"/>
          <w:lang w:eastAsia="zh-CN"/>
        </w:rPr>
        <w:t>202</w:t>
      </w:r>
      <w:r>
        <w:rPr>
          <w:rFonts w:hint="eastAsia" w:ascii="宋体" w:hAnsi="宋体" w:eastAsia="宋体" w:cs="宋体"/>
          <w:b/>
          <w:bCs/>
          <w:color w:val="333333"/>
          <w:kern w:val="0"/>
          <w:sz w:val="34"/>
          <w:szCs w:val="34"/>
          <w:lang w:val="en-US" w:eastAsia="zh-CN"/>
        </w:rPr>
        <w:t>6</w:t>
      </w:r>
      <w:r>
        <w:rPr>
          <w:rFonts w:hint="eastAsia" w:ascii="宋体" w:hAnsi="宋体" w:eastAsia="宋体" w:cs="宋体"/>
          <w:b/>
          <w:bCs/>
          <w:color w:val="333333"/>
          <w:kern w:val="0"/>
          <w:sz w:val="34"/>
          <w:szCs w:val="34"/>
          <w:lang w:eastAsia="zh-CN"/>
        </w:rPr>
        <w:t>年</w:t>
      </w:r>
      <w:r>
        <w:rPr>
          <w:rFonts w:hint="eastAsia" w:ascii="宋体" w:hAnsi="宋体" w:eastAsia="宋体" w:cs="宋体"/>
          <w:b/>
          <w:bCs/>
          <w:color w:val="333333"/>
          <w:kern w:val="0"/>
          <w:sz w:val="34"/>
          <w:szCs w:val="34"/>
          <w:lang w:val="en-US" w:eastAsia="zh-CN"/>
        </w:rPr>
        <w:t>1</w:t>
      </w:r>
      <w:r>
        <w:rPr>
          <w:rFonts w:hint="eastAsia" w:ascii="宋体" w:hAnsi="宋体" w:eastAsia="宋体" w:cs="宋体"/>
          <w:b/>
          <w:bCs/>
          <w:color w:val="333333"/>
          <w:kern w:val="0"/>
          <w:sz w:val="34"/>
          <w:szCs w:val="34"/>
          <w:lang w:eastAsia="zh-CN"/>
        </w:rPr>
        <w:t>月</w:t>
      </w:r>
      <w:r>
        <w:rPr>
          <w:rFonts w:hint="eastAsia" w:ascii="宋体" w:hAnsi="宋体" w:eastAsia="宋体" w:cs="宋体"/>
          <w:b/>
          <w:bCs/>
          <w:color w:val="333333"/>
          <w:kern w:val="0"/>
          <w:sz w:val="34"/>
          <w:szCs w:val="34"/>
          <w:lang w:val="en-US" w:eastAsia="zh-CN"/>
        </w:rPr>
        <w:t>13</w:t>
      </w:r>
      <w:r>
        <w:rPr>
          <w:rFonts w:hint="eastAsia" w:ascii="宋体" w:hAnsi="宋体" w:eastAsia="宋体" w:cs="宋体"/>
          <w:b/>
          <w:bCs/>
          <w:color w:val="333333"/>
          <w:kern w:val="0"/>
          <w:sz w:val="34"/>
          <w:szCs w:val="34"/>
          <w:lang w:eastAsia="zh-CN"/>
        </w:rPr>
        <w:t>日</w:t>
      </w:r>
      <w:r>
        <w:rPr>
          <w:rFonts w:hint="eastAsia" w:ascii="宋体" w:hAnsi="宋体" w:eastAsia="宋体" w:cs="宋体"/>
          <w:b/>
          <w:bCs/>
          <w:color w:val="333333"/>
          <w:kern w:val="0"/>
          <w:sz w:val="34"/>
          <w:szCs w:val="34"/>
        </w:rPr>
        <w:t>建设项目（辐射类）环境影响评价文件审查公示</w:t>
      </w:r>
    </w:p>
    <w:p w14:paraId="58F2B904">
      <w:pPr>
        <w:ind w:firstLine="380" w:firstLineChars="200"/>
      </w:pPr>
      <w:r>
        <w:rPr>
          <w:rFonts w:hint="eastAsia"/>
          <w:color w:val="333333"/>
          <w:sz w:val="19"/>
          <w:szCs w:val="19"/>
          <w:shd w:val="clear" w:color="auto" w:fill="FAFAFA"/>
        </w:rPr>
        <w:t>按照《建设项目环境影响评价政府信息公开指南（试行）》的要求，经审查，我局拟对浦林成山（山东）轮胎有限公司轮胎X射线实时成像检测系统应用项目环境影响评价文件作出审查意见。</w:t>
      </w:r>
    </w:p>
    <w:p w14:paraId="68902460">
      <w:pPr>
        <w:widowControl/>
        <w:shd w:val="clear" w:color="auto" w:fill="FAFAFA"/>
        <w:ind w:firstLine="38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为保证此次审查工作的严肃性和公正性，现将拟作出审批意见的环境影响评价文件基本情况予以公示，公示期为</w:t>
      </w:r>
      <w:r>
        <w:rPr>
          <w:rFonts w:hint="eastAsia" w:ascii="宋体" w:hAnsi="宋体" w:eastAsia="宋体" w:cs="宋体"/>
          <w:color w:val="333333"/>
          <w:kern w:val="0"/>
          <w:sz w:val="19"/>
          <w:szCs w:val="19"/>
          <w:lang w:eastAsia="zh-CN"/>
        </w:rPr>
        <w:t>202</w:t>
      </w:r>
      <w:r>
        <w:rPr>
          <w:rFonts w:hint="eastAsia" w:ascii="宋体" w:hAnsi="宋体" w:eastAsia="宋体" w:cs="宋体"/>
          <w:color w:val="333333"/>
          <w:kern w:val="0"/>
          <w:sz w:val="19"/>
          <w:szCs w:val="19"/>
          <w:lang w:val="en-US" w:eastAsia="zh-CN"/>
        </w:rPr>
        <w:t>6</w:t>
      </w:r>
      <w:r>
        <w:rPr>
          <w:rFonts w:hint="eastAsia" w:ascii="宋体" w:hAnsi="宋体" w:eastAsia="宋体" w:cs="宋体"/>
          <w:color w:val="333333"/>
          <w:kern w:val="0"/>
          <w:sz w:val="19"/>
          <w:szCs w:val="19"/>
          <w:lang w:eastAsia="zh-CN"/>
        </w:rPr>
        <w:t>年</w:t>
      </w:r>
      <w:r>
        <w:rPr>
          <w:rFonts w:hint="eastAsia" w:ascii="宋体" w:hAnsi="宋体" w:eastAsia="宋体" w:cs="宋体"/>
          <w:color w:val="333333"/>
          <w:kern w:val="0"/>
          <w:sz w:val="19"/>
          <w:szCs w:val="19"/>
          <w:lang w:val="en-US" w:eastAsia="zh-CN"/>
        </w:rPr>
        <w:t>1</w:t>
      </w:r>
      <w:r>
        <w:rPr>
          <w:rFonts w:hint="eastAsia" w:ascii="宋体" w:hAnsi="宋体" w:eastAsia="宋体" w:cs="宋体"/>
          <w:color w:val="333333"/>
          <w:kern w:val="0"/>
          <w:sz w:val="19"/>
          <w:szCs w:val="19"/>
          <w:lang w:eastAsia="zh-CN"/>
        </w:rPr>
        <w:t>月</w:t>
      </w:r>
      <w:r>
        <w:rPr>
          <w:rFonts w:hint="eastAsia" w:ascii="宋体" w:hAnsi="宋体" w:eastAsia="宋体" w:cs="宋体"/>
          <w:color w:val="333333"/>
          <w:kern w:val="0"/>
          <w:sz w:val="19"/>
          <w:szCs w:val="19"/>
          <w:lang w:val="en-US" w:eastAsia="zh-CN"/>
        </w:rPr>
        <w:t>13</w:t>
      </w:r>
      <w:r>
        <w:rPr>
          <w:rFonts w:hint="eastAsia" w:ascii="宋体" w:hAnsi="宋体" w:eastAsia="宋体" w:cs="宋体"/>
          <w:color w:val="333333"/>
          <w:kern w:val="0"/>
          <w:sz w:val="19"/>
          <w:szCs w:val="19"/>
          <w:lang w:eastAsia="zh-CN"/>
        </w:rPr>
        <w:t>日</w:t>
      </w:r>
      <w:r>
        <w:rPr>
          <w:rFonts w:hint="eastAsia" w:ascii="宋体" w:hAnsi="宋体" w:eastAsia="宋体" w:cs="宋体"/>
          <w:color w:val="333333"/>
          <w:kern w:val="0"/>
          <w:sz w:val="19"/>
          <w:szCs w:val="19"/>
        </w:rPr>
        <w:t>－202</w:t>
      </w:r>
      <w:r>
        <w:rPr>
          <w:rFonts w:hint="eastAsia" w:ascii="宋体" w:hAnsi="宋体" w:eastAsia="宋体" w:cs="宋体"/>
          <w:color w:val="333333"/>
          <w:kern w:val="0"/>
          <w:sz w:val="19"/>
          <w:szCs w:val="19"/>
          <w:lang w:val="en-US" w:eastAsia="zh-CN"/>
        </w:rPr>
        <w:t>6</w:t>
      </w:r>
      <w:r>
        <w:rPr>
          <w:rFonts w:hint="eastAsia" w:ascii="宋体" w:hAnsi="宋体" w:eastAsia="宋体" w:cs="宋体"/>
          <w:color w:val="333333"/>
          <w:kern w:val="0"/>
          <w:sz w:val="19"/>
          <w:szCs w:val="19"/>
        </w:rPr>
        <w:t>年</w:t>
      </w:r>
      <w:r>
        <w:rPr>
          <w:rFonts w:hint="eastAsia" w:ascii="宋体" w:hAnsi="宋体" w:eastAsia="宋体" w:cs="宋体"/>
          <w:color w:val="333333"/>
          <w:kern w:val="0"/>
          <w:sz w:val="19"/>
          <w:szCs w:val="19"/>
          <w:lang w:val="en-US" w:eastAsia="zh-CN"/>
        </w:rPr>
        <w:t>1</w:t>
      </w:r>
      <w:r>
        <w:rPr>
          <w:rFonts w:hint="eastAsia" w:ascii="宋体" w:hAnsi="宋体" w:eastAsia="宋体" w:cs="宋体"/>
          <w:color w:val="333333"/>
          <w:kern w:val="0"/>
          <w:sz w:val="19"/>
          <w:szCs w:val="19"/>
        </w:rPr>
        <w:t>月</w:t>
      </w:r>
      <w:r>
        <w:rPr>
          <w:rFonts w:hint="eastAsia" w:ascii="宋体" w:hAnsi="宋体" w:eastAsia="宋体" w:cs="宋体"/>
          <w:color w:val="333333"/>
          <w:kern w:val="0"/>
          <w:sz w:val="19"/>
          <w:szCs w:val="19"/>
          <w:lang w:val="en-US" w:eastAsia="zh-CN"/>
        </w:rPr>
        <w:t>19</w:t>
      </w:r>
      <w:r>
        <w:rPr>
          <w:rFonts w:hint="eastAsia" w:ascii="宋体" w:hAnsi="宋体" w:eastAsia="宋体" w:cs="宋体"/>
          <w:color w:val="333333"/>
          <w:kern w:val="0"/>
          <w:sz w:val="19"/>
          <w:szCs w:val="19"/>
        </w:rPr>
        <w:t>日(5个工作日)。</w:t>
      </w:r>
    </w:p>
    <w:p w14:paraId="2412A219">
      <w:pPr>
        <w:widowControl/>
        <w:shd w:val="clear" w:color="auto" w:fill="FAFAFA"/>
        <w:ind w:firstLine="38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听证权利告知：依据《中华人民共和国行政许可法》，自公示起五日内申请人、利害关系人可对以下拟作出的建设项目环境影响评价文件审批意见要求听证。</w:t>
      </w:r>
    </w:p>
    <w:p w14:paraId="4C5640D5">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联系方式</w:t>
      </w:r>
    </w:p>
    <w:p w14:paraId="53CDC799">
      <w:pPr>
        <w:widowControl/>
        <w:shd w:val="clear" w:color="auto" w:fill="FAFAFA"/>
        <w:jc w:val="left"/>
        <w:rPr>
          <w:rFonts w:hint="default"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rPr>
        <w:t>威海市生态环境局荣成分局：</w:t>
      </w:r>
      <w:r>
        <w:rPr>
          <w:rFonts w:hint="eastAsia" w:ascii="宋体" w:hAnsi="宋体" w:eastAsia="宋体" w:cs="宋体"/>
          <w:color w:val="333333"/>
          <w:kern w:val="0"/>
          <w:sz w:val="19"/>
          <w:szCs w:val="19"/>
          <w:lang w:val="en-US" w:eastAsia="zh-CN"/>
        </w:rPr>
        <w:t>0631-7591987</w:t>
      </w:r>
    </w:p>
    <w:p w14:paraId="0FCD525E">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电子信箱：rcshbjstk@wh.shandong.com</w:t>
      </w:r>
    </w:p>
    <w:p w14:paraId="6F774BB5">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通讯地址：荣成市观海东路28号威海市生态环境局荣成分局</w:t>
      </w:r>
    </w:p>
    <w:p w14:paraId="09BC533E">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邮编：264300</w:t>
      </w:r>
    </w:p>
    <w:p w14:paraId="00D62506">
      <w:pPr>
        <w:widowControl/>
        <w:shd w:val="clear" w:color="auto" w:fill="FAFAFA"/>
        <w:jc w:val="center"/>
        <w:rPr>
          <w:rFonts w:ascii="宋体" w:hAnsi="宋体" w:eastAsia="宋体" w:cs="宋体"/>
          <w:color w:val="333333"/>
          <w:kern w:val="0"/>
          <w:sz w:val="19"/>
          <w:szCs w:val="19"/>
        </w:rPr>
      </w:pPr>
      <w:r>
        <w:rPr>
          <w:rFonts w:hint="eastAsia" w:ascii="宋体" w:hAnsi="宋体" w:eastAsia="宋体" w:cs="宋体"/>
          <w:b/>
          <w:bCs/>
          <w:color w:val="333333"/>
          <w:kern w:val="0"/>
          <w:sz w:val="19"/>
          <w:lang w:eastAsia="zh-CN"/>
        </w:rPr>
        <w:t>202</w:t>
      </w:r>
      <w:r>
        <w:rPr>
          <w:rFonts w:hint="eastAsia" w:ascii="宋体" w:hAnsi="宋体" w:eastAsia="宋体" w:cs="宋体"/>
          <w:b/>
          <w:bCs/>
          <w:color w:val="333333"/>
          <w:kern w:val="0"/>
          <w:sz w:val="19"/>
          <w:lang w:val="en-US" w:eastAsia="zh-CN"/>
        </w:rPr>
        <w:t>6</w:t>
      </w:r>
      <w:r>
        <w:rPr>
          <w:rFonts w:hint="eastAsia" w:ascii="宋体" w:hAnsi="宋体" w:eastAsia="宋体" w:cs="宋体"/>
          <w:b/>
          <w:bCs/>
          <w:color w:val="333333"/>
          <w:kern w:val="0"/>
          <w:sz w:val="19"/>
          <w:lang w:eastAsia="zh-CN"/>
        </w:rPr>
        <w:t>年</w:t>
      </w:r>
      <w:r>
        <w:rPr>
          <w:rFonts w:hint="eastAsia" w:ascii="宋体" w:hAnsi="宋体" w:eastAsia="宋体" w:cs="宋体"/>
          <w:b/>
          <w:bCs/>
          <w:color w:val="333333"/>
          <w:kern w:val="0"/>
          <w:sz w:val="19"/>
          <w:lang w:val="en-US" w:eastAsia="zh-CN"/>
        </w:rPr>
        <w:t>1</w:t>
      </w:r>
      <w:r>
        <w:rPr>
          <w:rFonts w:hint="eastAsia" w:ascii="宋体" w:hAnsi="宋体" w:eastAsia="宋体" w:cs="宋体"/>
          <w:b/>
          <w:bCs/>
          <w:color w:val="333333"/>
          <w:kern w:val="0"/>
          <w:sz w:val="19"/>
          <w:lang w:eastAsia="zh-CN"/>
        </w:rPr>
        <w:t>月</w:t>
      </w:r>
      <w:r>
        <w:rPr>
          <w:rFonts w:hint="eastAsia" w:ascii="宋体" w:hAnsi="宋体" w:eastAsia="宋体" w:cs="宋体"/>
          <w:b/>
          <w:bCs/>
          <w:color w:val="333333"/>
          <w:kern w:val="0"/>
          <w:sz w:val="19"/>
          <w:lang w:val="en-US" w:eastAsia="zh-CN"/>
        </w:rPr>
        <w:t>13</w:t>
      </w:r>
      <w:r>
        <w:rPr>
          <w:rFonts w:hint="eastAsia" w:ascii="宋体" w:hAnsi="宋体" w:eastAsia="宋体" w:cs="宋体"/>
          <w:b/>
          <w:bCs/>
          <w:color w:val="333333"/>
          <w:kern w:val="0"/>
          <w:sz w:val="19"/>
          <w:lang w:eastAsia="zh-CN"/>
        </w:rPr>
        <w:t>日</w:t>
      </w:r>
      <w:r>
        <w:rPr>
          <w:rFonts w:hint="eastAsia" w:ascii="宋体" w:hAnsi="宋体" w:eastAsia="宋体" w:cs="宋体"/>
          <w:b/>
          <w:bCs/>
          <w:color w:val="333333"/>
          <w:kern w:val="0"/>
          <w:sz w:val="19"/>
        </w:rPr>
        <w:t>拟批准的建设项目环境影响报告表</w:t>
      </w:r>
    </w:p>
    <w:tbl>
      <w:tblPr>
        <w:tblStyle w:val="12"/>
        <w:tblW w:w="1088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94"/>
        <w:gridCol w:w="734"/>
        <w:gridCol w:w="1083"/>
        <w:gridCol w:w="578"/>
        <w:gridCol w:w="551"/>
        <w:gridCol w:w="2635"/>
        <w:gridCol w:w="3747"/>
        <w:gridCol w:w="455"/>
        <w:gridCol w:w="704"/>
      </w:tblGrid>
      <w:tr w14:paraId="3C6C13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394" w:type="dxa"/>
            <w:tcBorders>
              <w:top w:val="single" w:color="auto" w:sz="6" w:space="0"/>
              <w:left w:val="single" w:color="auto" w:sz="6" w:space="0"/>
              <w:bottom w:val="single" w:color="auto" w:sz="6" w:space="0"/>
              <w:right w:val="single" w:color="auto" w:sz="6" w:space="0"/>
            </w:tcBorders>
            <w:shd w:val="clear" w:color="auto" w:fill="auto"/>
            <w:tcMar>
              <w:top w:w="0" w:type="dxa"/>
              <w:left w:w="95" w:type="dxa"/>
              <w:bottom w:w="0" w:type="dxa"/>
              <w:right w:w="95" w:type="dxa"/>
            </w:tcMar>
            <w:vAlign w:val="center"/>
          </w:tcPr>
          <w:p w14:paraId="5423BA50">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序号</w:t>
            </w:r>
          </w:p>
        </w:tc>
        <w:tc>
          <w:tcPr>
            <w:tcW w:w="73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0C6ACBAE">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项目名称</w:t>
            </w:r>
          </w:p>
        </w:tc>
        <w:tc>
          <w:tcPr>
            <w:tcW w:w="1083"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63B78917">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建设地点</w:t>
            </w:r>
          </w:p>
        </w:tc>
        <w:tc>
          <w:tcPr>
            <w:tcW w:w="578"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3DBBE036">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建设单位</w:t>
            </w:r>
          </w:p>
        </w:tc>
        <w:tc>
          <w:tcPr>
            <w:tcW w:w="551"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10E4C016">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环境影响评价机构</w:t>
            </w:r>
          </w:p>
        </w:tc>
        <w:tc>
          <w:tcPr>
            <w:tcW w:w="263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7EBFE747">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项目概况</w:t>
            </w:r>
          </w:p>
        </w:tc>
        <w:tc>
          <w:tcPr>
            <w:tcW w:w="3747"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36F5A774">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主要环境影响及预防或者减轻不良环境影响的对策和措施</w:t>
            </w:r>
          </w:p>
        </w:tc>
        <w:tc>
          <w:tcPr>
            <w:tcW w:w="45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4BE163B3">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公众参与情况</w:t>
            </w:r>
          </w:p>
        </w:tc>
        <w:tc>
          <w:tcPr>
            <w:tcW w:w="70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4DD378E7">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建设单位或地方政府所作出的相关环境保护措施承诺文件</w:t>
            </w:r>
          </w:p>
        </w:tc>
      </w:tr>
      <w:tr w14:paraId="233951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394" w:type="dxa"/>
            <w:tcBorders>
              <w:top w:val="single" w:color="auto" w:sz="6" w:space="0"/>
              <w:left w:val="single" w:color="auto" w:sz="6" w:space="0"/>
              <w:bottom w:val="single" w:color="auto" w:sz="6" w:space="0"/>
              <w:right w:val="single" w:color="auto" w:sz="6" w:space="0"/>
            </w:tcBorders>
            <w:shd w:val="clear" w:color="auto" w:fill="auto"/>
            <w:tcMar>
              <w:top w:w="0" w:type="dxa"/>
              <w:left w:w="95" w:type="dxa"/>
              <w:bottom w:w="0" w:type="dxa"/>
              <w:right w:w="95" w:type="dxa"/>
            </w:tcMar>
            <w:vAlign w:val="center"/>
          </w:tcPr>
          <w:p w14:paraId="31E8F37D">
            <w:pPr>
              <w:widowControl/>
              <w:snapToGrid w:val="0"/>
              <w:ind w:left="0" w:leftChars="0" w:right="0" w:rightChars="0" w:firstLine="0" w:firstLineChars="0"/>
              <w:jc w:val="center"/>
              <w:rPr>
                <w:rFonts w:ascii="宋体" w:hAnsi="宋体" w:eastAsia="宋体" w:cs="宋体"/>
                <w:color w:val="333333"/>
                <w:kern w:val="0"/>
                <w:sz w:val="19"/>
                <w:szCs w:val="19"/>
              </w:rPr>
            </w:pPr>
            <w:r>
              <w:rPr>
                <w:rFonts w:hint="eastAsia" w:ascii="宋体" w:hAnsi="宋体" w:eastAsia="宋体" w:cs="宋体"/>
                <w:color w:val="333333"/>
                <w:kern w:val="0"/>
                <w:sz w:val="19"/>
                <w:szCs w:val="19"/>
              </w:rPr>
              <w:t>1</w:t>
            </w:r>
          </w:p>
        </w:tc>
        <w:tc>
          <w:tcPr>
            <w:tcW w:w="73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6E47E3DC">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r>
              <w:rPr>
                <w:rFonts w:hint="default" w:ascii="宋体" w:hAnsi="宋体" w:eastAsia="宋体" w:cs="宋体"/>
                <w:color w:val="333333"/>
                <w:kern w:val="0"/>
                <w:sz w:val="19"/>
                <w:szCs w:val="19"/>
                <w:lang w:val="en-US" w:eastAsia="zh-CN"/>
              </w:rPr>
              <w:t>浦林成山（山东）轮胎有限公司轮胎X射线实时成像检测系统应用项目</w:t>
            </w:r>
          </w:p>
        </w:tc>
        <w:tc>
          <w:tcPr>
            <w:tcW w:w="1083"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54162778">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r>
              <w:rPr>
                <w:rFonts w:hint="default" w:ascii="宋体" w:hAnsi="宋体" w:eastAsia="宋体" w:cs="宋体"/>
                <w:color w:val="333333"/>
                <w:kern w:val="0"/>
                <w:sz w:val="19"/>
                <w:szCs w:val="19"/>
                <w:lang w:val="en-US" w:eastAsia="zh-CN"/>
              </w:rPr>
              <w:t>山东省威海市荣成市青山西路66号，新厂区轮胎生产车间(一)内南侧西部</w:t>
            </w:r>
          </w:p>
        </w:tc>
        <w:tc>
          <w:tcPr>
            <w:tcW w:w="578"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1B2509A6">
            <w:pPr>
              <w:widowControl/>
              <w:snapToGrid w:val="0"/>
              <w:ind w:left="0" w:leftChars="0" w:right="0" w:rightChars="0" w:firstLine="0" w:firstLineChars="0"/>
              <w:jc w:val="center"/>
              <w:rPr>
                <w:rFonts w:hint="eastAsia" w:ascii="宋体" w:hAnsi="宋体" w:eastAsia="宋体" w:cs="宋体"/>
                <w:color w:val="333333"/>
                <w:kern w:val="0"/>
                <w:sz w:val="19"/>
                <w:szCs w:val="19"/>
                <w:lang w:eastAsia="zh-CN"/>
              </w:rPr>
            </w:pPr>
            <w:r>
              <w:rPr>
                <w:rFonts w:hint="default" w:ascii="宋体" w:hAnsi="宋体" w:eastAsia="宋体" w:cs="宋体"/>
                <w:color w:val="333333"/>
                <w:kern w:val="0"/>
                <w:sz w:val="19"/>
                <w:szCs w:val="19"/>
                <w:lang w:val="en-US" w:eastAsia="zh-CN"/>
              </w:rPr>
              <w:t>浦林成山（山东）轮胎有限公司</w:t>
            </w:r>
          </w:p>
        </w:tc>
        <w:tc>
          <w:tcPr>
            <w:tcW w:w="551"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45713FA6">
            <w:pPr>
              <w:widowControl/>
              <w:snapToGrid w:val="0"/>
              <w:ind w:left="0" w:leftChars="0" w:right="0" w:rightChars="0" w:firstLine="0" w:firstLineChars="0"/>
              <w:jc w:val="center"/>
              <w:rPr>
                <w:rFonts w:hint="eastAsia" w:ascii="宋体" w:hAnsi="宋体" w:eastAsia="宋体" w:cs="宋体"/>
                <w:color w:val="333333"/>
                <w:kern w:val="0"/>
                <w:sz w:val="19"/>
                <w:szCs w:val="19"/>
                <w:lang w:eastAsia="zh-CN"/>
              </w:rPr>
            </w:pPr>
            <w:r>
              <w:rPr>
                <w:rFonts w:hint="eastAsia" w:asciiTheme="majorEastAsia" w:hAnsiTheme="majorEastAsia" w:eastAsiaTheme="majorEastAsia" w:cstheme="majorEastAsia"/>
                <w:kern w:val="0"/>
                <w:sz w:val="21"/>
                <w:szCs w:val="21"/>
                <w:lang w:val="en-US" w:eastAsia="zh-CN"/>
              </w:rPr>
              <w:t>山东环嘉项目咨询有限公司</w:t>
            </w:r>
          </w:p>
        </w:tc>
        <w:tc>
          <w:tcPr>
            <w:tcW w:w="263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1F37333C">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r>
              <w:rPr>
                <w:rFonts w:hint="default" w:ascii="宋体" w:hAnsi="宋体" w:eastAsia="宋体" w:cs="宋体"/>
                <w:color w:val="333333"/>
                <w:kern w:val="0"/>
                <w:sz w:val="19"/>
                <w:szCs w:val="19"/>
                <w:lang w:val="en-US" w:eastAsia="zh-CN"/>
              </w:rPr>
              <w:t>浦林成山（山东）轮胎有限公司新厂区位于山东省威海市荣成市青山西路66号，拟于新厂区轮胎生产车间（一）内南侧西部安装1套轮胎X射线实时成像检测系统，用于轮胎的无损检测，该系统由X射线机、成像系统和自带防护设施构成。本项目轮胎X射线实时成像检测系统用于室内探伤作业（固定场所探伤），属于使用Ⅱ类射线装置。</w:t>
            </w:r>
          </w:p>
          <w:p w14:paraId="12F1BA60">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p>
        </w:tc>
        <w:tc>
          <w:tcPr>
            <w:tcW w:w="3747"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7C2B17B5">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lang w:val="en-US" w:eastAsia="zh-CN"/>
              </w:rPr>
              <w:t>一、</w:t>
            </w:r>
            <w:r>
              <w:rPr>
                <w:rFonts w:hint="eastAsia" w:ascii="宋体" w:hAnsi="宋体" w:eastAsia="宋体" w:cs="宋体"/>
                <w:color w:val="333333"/>
                <w:kern w:val="0"/>
                <w:sz w:val="19"/>
                <w:szCs w:val="19"/>
              </w:rPr>
              <w:t>主要环境影响</w:t>
            </w:r>
          </w:p>
          <w:p w14:paraId="57FF1BA2">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（一）</w:t>
            </w:r>
            <w:r>
              <w:rPr>
                <w:rFonts w:hint="eastAsia" w:ascii="宋体" w:hAnsi="宋体" w:eastAsia="宋体" w:cs="宋体"/>
                <w:color w:val="333333"/>
                <w:kern w:val="0"/>
                <w:sz w:val="19"/>
                <w:szCs w:val="19"/>
              </w:rPr>
              <w:t>施工期</w:t>
            </w:r>
            <w:r>
              <w:rPr>
                <w:rFonts w:hint="eastAsia" w:ascii="宋体" w:hAnsi="宋体" w:eastAsia="宋体" w:cs="宋体"/>
                <w:color w:val="333333"/>
                <w:kern w:val="0"/>
                <w:sz w:val="19"/>
                <w:szCs w:val="19"/>
                <w:lang w:val="en-US" w:eastAsia="zh-CN"/>
              </w:rPr>
              <w:t>环境影响</w:t>
            </w:r>
          </w:p>
          <w:p w14:paraId="2EB7FE0A">
            <w:pPr>
              <w:widowControl/>
              <w:snapToGrid w:val="0"/>
              <w:ind w:left="0" w:leftChars="0" w:right="0" w:rightChars="0" w:firstLine="0" w:firstLineChars="0"/>
              <w:jc w:val="left"/>
              <w:rPr>
                <w:rFonts w:hint="eastAsia" w:ascii="宋体" w:hAnsi="宋体" w:eastAsia="宋体" w:cs="宋体"/>
                <w:color w:val="333333"/>
                <w:kern w:val="0"/>
                <w:sz w:val="19"/>
                <w:szCs w:val="19"/>
                <w:lang w:eastAsia="zh-CN"/>
              </w:rPr>
            </w:pPr>
            <w:r>
              <w:rPr>
                <w:rFonts w:hint="eastAsia" w:ascii="宋体" w:hAnsi="宋体" w:eastAsia="宋体" w:cs="宋体"/>
                <w:color w:val="333333"/>
                <w:kern w:val="0"/>
                <w:sz w:val="19"/>
                <w:szCs w:val="19"/>
                <w:lang w:eastAsia="zh-CN"/>
              </w:rPr>
              <w:t>1、噪声</w:t>
            </w:r>
            <w:r>
              <w:rPr>
                <w:rFonts w:hint="eastAsia" w:ascii="宋体" w:hAnsi="宋体" w:eastAsia="宋体" w:cs="宋体"/>
                <w:color w:val="333333"/>
                <w:kern w:val="0"/>
                <w:sz w:val="19"/>
                <w:szCs w:val="19"/>
                <w:lang w:eastAsia="zh-CN"/>
              </w:rPr>
              <w:t>。</w:t>
            </w:r>
            <w:r>
              <w:rPr>
                <w:rFonts w:hint="eastAsia" w:ascii="宋体" w:hAnsi="宋体" w:eastAsia="宋体" w:cs="宋体"/>
                <w:color w:val="333333"/>
                <w:kern w:val="0"/>
                <w:sz w:val="19"/>
                <w:szCs w:val="19"/>
                <w:lang w:eastAsia="zh-CN"/>
              </w:rPr>
              <w:t>本项目施工期噪声主要为轮胎X射线实时成像检测系统安装过程中产生的突发性、冲击性、不连续性的敲打撞击噪声。</w:t>
            </w:r>
          </w:p>
          <w:p w14:paraId="41B627B0">
            <w:pPr>
              <w:widowControl/>
              <w:snapToGrid w:val="0"/>
              <w:ind w:left="0" w:leftChars="0" w:right="0" w:rightChars="0" w:firstLine="0" w:firstLineChars="0"/>
              <w:jc w:val="left"/>
              <w:rPr>
                <w:rFonts w:hint="eastAsia" w:ascii="宋体" w:hAnsi="宋体" w:eastAsia="宋体" w:cs="宋体"/>
                <w:color w:val="333333"/>
                <w:kern w:val="0"/>
                <w:sz w:val="19"/>
                <w:szCs w:val="19"/>
                <w:lang w:eastAsia="zh-CN"/>
              </w:rPr>
            </w:pPr>
            <w:r>
              <w:rPr>
                <w:rFonts w:hint="eastAsia" w:ascii="宋体" w:hAnsi="宋体" w:eastAsia="宋体" w:cs="宋体"/>
                <w:color w:val="333333"/>
                <w:kern w:val="0"/>
                <w:sz w:val="19"/>
                <w:szCs w:val="19"/>
                <w:lang w:eastAsia="zh-CN"/>
              </w:rPr>
              <w:t>2、废水</w:t>
            </w:r>
            <w:r>
              <w:rPr>
                <w:rFonts w:hint="eastAsia" w:ascii="宋体" w:hAnsi="宋体" w:eastAsia="宋体" w:cs="宋体"/>
                <w:color w:val="333333"/>
                <w:kern w:val="0"/>
                <w:sz w:val="19"/>
                <w:szCs w:val="19"/>
                <w:lang w:eastAsia="zh-CN"/>
              </w:rPr>
              <w:t>。</w:t>
            </w:r>
            <w:r>
              <w:rPr>
                <w:rFonts w:hint="eastAsia" w:ascii="宋体" w:hAnsi="宋体" w:eastAsia="宋体" w:cs="宋体"/>
                <w:color w:val="333333"/>
                <w:kern w:val="0"/>
                <w:sz w:val="19"/>
                <w:szCs w:val="19"/>
                <w:lang w:eastAsia="zh-CN"/>
              </w:rPr>
              <w:t>施工期废水主要来自施工人员的生活污水，本项目建设内容较为简单，施工期最多时期有约4人施工，总施工期约4天，用水按每人每天50L计算，日用水0.2m3/d。废水产生量以80%计，每天产生生活污水0.16m3/d。</w:t>
            </w:r>
          </w:p>
          <w:p w14:paraId="5AE72FDF">
            <w:pPr>
              <w:widowControl/>
              <w:snapToGrid w:val="0"/>
              <w:ind w:left="0" w:leftChars="0" w:right="0" w:rightChars="0" w:firstLine="0" w:firstLineChars="0"/>
              <w:jc w:val="left"/>
              <w:rPr>
                <w:rFonts w:hint="eastAsia" w:ascii="宋体" w:hAnsi="宋体" w:eastAsia="宋体" w:cs="宋体"/>
                <w:color w:val="333333"/>
                <w:kern w:val="0"/>
                <w:sz w:val="19"/>
                <w:szCs w:val="19"/>
                <w:lang w:eastAsia="zh-CN"/>
              </w:rPr>
            </w:pPr>
            <w:r>
              <w:rPr>
                <w:rFonts w:hint="eastAsia" w:ascii="宋体" w:hAnsi="宋体" w:eastAsia="宋体" w:cs="宋体"/>
                <w:color w:val="333333"/>
                <w:kern w:val="0"/>
                <w:sz w:val="19"/>
                <w:szCs w:val="19"/>
                <w:lang w:eastAsia="zh-CN"/>
              </w:rPr>
              <w:t>3、固体废物</w:t>
            </w:r>
            <w:r>
              <w:rPr>
                <w:rFonts w:hint="eastAsia" w:ascii="宋体" w:hAnsi="宋体" w:eastAsia="宋体" w:cs="宋体"/>
                <w:color w:val="333333"/>
                <w:kern w:val="0"/>
                <w:sz w:val="19"/>
                <w:szCs w:val="19"/>
                <w:lang w:eastAsia="zh-CN"/>
              </w:rPr>
              <w:t>。</w:t>
            </w:r>
            <w:r>
              <w:rPr>
                <w:rFonts w:hint="eastAsia" w:ascii="宋体" w:hAnsi="宋体" w:eastAsia="宋体" w:cs="宋体"/>
                <w:color w:val="333333"/>
                <w:kern w:val="0"/>
                <w:sz w:val="19"/>
                <w:szCs w:val="19"/>
                <w:lang w:eastAsia="zh-CN"/>
              </w:rPr>
              <w:t>固体废物主要是施工垃圾和施工人员的生活垃圾，生活垃圾以每人每天0.25kg计，施工垃圾主要为设备安装过程中产生的少量废包装材料、废螺丝等。</w:t>
            </w:r>
          </w:p>
          <w:p w14:paraId="7349314A">
            <w:pPr>
              <w:widowControl/>
              <w:snapToGrid w:val="0"/>
              <w:ind w:left="0" w:leftChars="0" w:right="0" w:rightChars="0" w:firstLine="0" w:firstLineChars="0"/>
              <w:jc w:val="left"/>
              <w:rPr>
                <w:rFonts w:hint="default" w:ascii="宋体" w:hAnsi="宋体" w:eastAsia="宋体" w:cs="宋体"/>
                <w:color w:val="333333"/>
                <w:kern w:val="0"/>
                <w:sz w:val="19"/>
                <w:szCs w:val="19"/>
              </w:rPr>
            </w:pPr>
            <w:r>
              <w:rPr>
                <w:rFonts w:hint="eastAsia" w:ascii="宋体" w:hAnsi="宋体" w:eastAsia="宋体" w:cs="宋体"/>
                <w:color w:val="333333"/>
                <w:kern w:val="0"/>
                <w:sz w:val="19"/>
                <w:szCs w:val="19"/>
                <w:lang w:eastAsia="zh-CN"/>
              </w:rPr>
              <w:t>（</w:t>
            </w:r>
            <w:r>
              <w:rPr>
                <w:rFonts w:hint="eastAsia" w:ascii="宋体" w:hAnsi="宋体" w:eastAsia="宋体" w:cs="宋体"/>
                <w:color w:val="333333"/>
                <w:kern w:val="0"/>
                <w:sz w:val="19"/>
                <w:szCs w:val="19"/>
                <w:lang w:val="en-US" w:eastAsia="zh-CN"/>
              </w:rPr>
              <w:t>二）</w:t>
            </w:r>
            <w:r>
              <w:rPr>
                <w:rFonts w:hint="default" w:ascii="宋体" w:hAnsi="宋体" w:eastAsia="宋体" w:cs="宋体"/>
                <w:color w:val="333333"/>
                <w:kern w:val="0"/>
                <w:sz w:val="19"/>
                <w:szCs w:val="19"/>
              </w:rPr>
              <w:t xml:space="preserve">运营期间环境影响 </w:t>
            </w:r>
          </w:p>
          <w:p w14:paraId="0DF2ECAD">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1、X射线。轮胎X射线实时成像检测系统开机后产生X射线，对周围环境产生辐射影响，关机后X射线随之消失。</w:t>
            </w:r>
          </w:p>
          <w:p w14:paraId="35C0BA2C">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2、非放射性污染因素分析。系统产生的X射线会使空气电离。空气电离产生臭氧(O3)和氮氧化物(NOX)，在NOX中以NO2为主。它们是具有刺激性作用的非放射性有害气体。本项目臭氧和氮氧化物产生量均较小，室顶东北角设置1处方形排风孔，尺寸为300mm×300mm，排风口处设置4mmPb铅防护罩；通风口内设置机械通风装置，风量为1200m3/h，铅房容积为300.2m3，有效通风次数大于3次/h；排风口通过管道与车间排风系统相连，废气依托所在车间排风系统排往外环境。</w:t>
            </w:r>
          </w:p>
          <w:p w14:paraId="4987D0D4">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lang w:val="en-US" w:eastAsia="zh-CN"/>
              </w:rPr>
              <w:t>二</w:t>
            </w:r>
            <w:r>
              <w:rPr>
                <w:rFonts w:hint="eastAsia" w:ascii="宋体" w:hAnsi="宋体" w:eastAsia="宋体" w:cs="宋体"/>
                <w:color w:val="333333"/>
                <w:kern w:val="0"/>
                <w:sz w:val="19"/>
                <w:szCs w:val="19"/>
              </w:rPr>
              <w:t>、其他安全设施及措施</w:t>
            </w:r>
          </w:p>
          <w:p w14:paraId="496FD360">
            <w:pPr>
              <w:widowControl/>
              <w:snapToGrid w:val="0"/>
              <w:ind w:left="0" w:leftChars="0" w:right="0" w:rightChars="0" w:firstLine="0" w:firstLineChars="0"/>
              <w:jc w:val="left"/>
              <w:rPr>
                <w:rFonts w:hint="eastAsia" w:ascii="宋体" w:hAnsi="宋体" w:eastAsia="宋体" w:cs="宋体"/>
                <w:color w:val="333333"/>
                <w:kern w:val="0"/>
                <w:sz w:val="19"/>
                <w:szCs w:val="19"/>
              </w:rPr>
            </w:pPr>
            <w:r>
              <w:rPr>
                <w:rFonts w:hint="eastAsia" w:ascii="宋体" w:hAnsi="宋体" w:eastAsia="宋体" w:cs="宋体"/>
                <w:color w:val="333333"/>
                <w:kern w:val="0"/>
                <w:sz w:val="19"/>
                <w:szCs w:val="19"/>
              </w:rPr>
              <w:t>除铅房硬件安全防范措施外，公司还将完善和加强以下几个方面的措施：</w:t>
            </w:r>
          </w:p>
          <w:p w14:paraId="7A0F8807">
            <w:pPr>
              <w:widowControl/>
              <w:snapToGrid w:val="0"/>
              <w:ind w:left="0" w:leftChars="0" w:right="0" w:rightChars="0" w:firstLine="0" w:firstLineChars="0"/>
              <w:jc w:val="left"/>
              <w:rPr>
                <w:rFonts w:hint="eastAsia" w:ascii="宋体" w:hAnsi="宋体" w:eastAsia="宋体" w:cs="宋体"/>
                <w:color w:val="333333"/>
                <w:kern w:val="0"/>
                <w:sz w:val="19"/>
                <w:szCs w:val="19"/>
              </w:rPr>
            </w:pPr>
            <w:r>
              <w:rPr>
                <w:rFonts w:hint="eastAsia" w:ascii="宋体" w:hAnsi="宋体" w:eastAsia="宋体" w:cs="宋体"/>
                <w:color w:val="333333"/>
                <w:kern w:val="0"/>
                <w:sz w:val="19"/>
                <w:szCs w:val="19"/>
              </w:rPr>
              <w:t>1、根据《放射性同位素与射线装置安全许可管理办法》中第十六条第五款要求，企业配备的防护用品和监测仪器需满足探伤工作的要求。对从事与放射性和射线装置有关的辐射工作人员要求随身佩戴个人剂量计，以监督个人剂量的变化情况，控制接受剂量，保证辐射工作人员的健康水平。本项目拟配备3名辐射工作人员，拟为工作人员配备个人剂量计（委托个人剂量检测后由检测单位配发、每人一支）及1部个人剂量报警仪，公司现有1台X-γ辐射巡检仪，可满足探伤工作要求。</w:t>
            </w:r>
          </w:p>
          <w:p w14:paraId="560065D2">
            <w:pPr>
              <w:widowControl/>
              <w:snapToGrid w:val="0"/>
              <w:ind w:left="0" w:leftChars="0" w:right="0" w:rightChars="0" w:firstLine="0" w:firstLineChars="0"/>
              <w:jc w:val="left"/>
              <w:rPr>
                <w:rFonts w:hint="eastAsia" w:ascii="宋体" w:hAnsi="宋体" w:eastAsia="宋体" w:cs="宋体"/>
                <w:color w:val="333333"/>
                <w:kern w:val="0"/>
                <w:sz w:val="19"/>
                <w:szCs w:val="19"/>
              </w:rPr>
            </w:pPr>
            <w:r>
              <w:rPr>
                <w:rFonts w:hint="eastAsia" w:ascii="宋体" w:hAnsi="宋体" w:eastAsia="宋体" w:cs="宋体"/>
                <w:color w:val="333333"/>
                <w:kern w:val="0"/>
                <w:sz w:val="19"/>
                <w:szCs w:val="19"/>
              </w:rPr>
              <w:t>2、为保证门机联锁装置的良好运行，拟定期进行有效性验证。</w:t>
            </w:r>
          </w:p>
          <w:p w14:paraId="7E26C0D7">
            <w:pPr>
              <w:widowControl/>
              <w:snapToGrid w:val="0"/>
              <w:ind w:left="0" w:leftChars="0" w:right="0" w:rightChars="0" w:firstLine="0" w:firstLineChars="0"/>
              <w:jc w:val="left"/>
              <w:rPr>
                <w:rFonts w:hint="eastAsia" w:ascii="宋体" w:hAnsi="宋体" w:eastAsia="宋体" w:cs="宋体"/>
                <w:color w:val="333333"/>
                <w:kern w:val="0"/>
                <w:sz w:val="19"/>
                <w:szCs w:val="19"/>
              </w:rPr>
            </w:pPr>
            <w:r>
              <w:rPr>
                <w:rFonts w:hint="eastAsia" w:ascii="宋体" w:hAnsi="宋体" w:eastAsia="宋体" w:cs="宋体"/>
                <w:color w:val="333333"/>
                <w:kern w:val="0"/>
                <w:sz w:val="19"/>
                <w:szCs w:val="19"/>
              </w:rPr>
              <w:t>3、根据《放射性同位素与射线装置安全许可管理办法》中第十六条第二款要求，从事辐射工作的人员必须通过辐射安全和防护专业知识及相关法律法规的培训和考核。本项目拟配备3名辐射工作人员，公司拟安排该3名人员尽快安排相关人员于国家核技术利用辐射安全与防护培训平台进行培训，经考核合格后上岗。</w:t>
            </w:r>
          </w:p>
          <w:p w14:paraId="5AE1C0F9">
            <w:pPr>
              <w:widowControl/>
              <w:snapToGrid w:val="0"/>
              <w:ind w:left="0" w:leftChars="0" w:right="0" w:rightChars="0" w:firstLine="0" w:firstLineChars="0"/>
              <w:jc w:val="left"/>
              <w:rPr>
                <w:rFonts w:hint="eastAsia" w:ascii="宋体" w:hAnsi="宋体" w:eastAsia="宋体" w:cs="宋体"/>
                <w:color w:val="333333"/>
                <w:kern w:val="0"/>
                <w:sz w:val="19"/>
                <w:szCs w:val="19"/>
              </w:rPr>
            </w:pPr>
            <w:r>
              <w:rPr>
                <w:rFonts w:hint="eastAsia" w:ascii="宋体" w:hAnsi="宋体" w:eastAsia="宋体" w:cs="宋体"/>
                <w:color w:val="333333"/>
                <w:kern w:val="0"/>
                <w:sz w:val="19"/>
                <w:szCs w:val="19"/>
              </w:rPr>
              <w:t>4、公司拟建立辐射工作人员个人剂量档案，并委托有资质的单位对辐射工作人员个人剂量每三个月检测一次，出具个人剂量检测报告，个人剂量档案一人一档，由专人负责保管和管理。个人剂量档案应当长期保存。辐射工作人员调换单位的，原用人单位应当向新用人单位或者辐射工作人员本人提供个人剂量档案的复制件。</w:t>
            </w:r>
          </w:p>
          <w:p w14:paraId="67F3E516">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5、公司拟定期为辐射工作人员健康查体，建立辐射工作人员健康档案。</w:t>
            </w:r>
            <w:bookmarkStart w:id="0" w:name="_GoBack"/>
            <w:bookmarkEnd w:id="0"/>
          </w:p>
        </w:tc>
        <w:tc>
          <w:tcPr>
            <w:tcW w:w="45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6D6F8DF3">
            <w:pPr>
              <w:widowControl/>
              <w:snapToGrid w:val="0"/>
              <w:ind w:left="0" w:leftChars="0" w:right="0" w:rightChars="0" w:firstLine="0" w:firstLineChars="0"/>
              <w:jc w:val="center"/>
              <w:rPr>
                <w:rFonts w:ascii="宋体" w:eastAsia="宋体"/>
                <w:color w:val="333333"/>
                <w:sz w:val="19"/>
                <w:szCs w:val="19"/>
                <w:shd w:val="clear" w:color="auto" w:fill="FAFAFA"/>
              </w:rPr>
            </w:pPr>
            <w:r>
              <w:rPr>
                <w:rFonts w:hint="eastAsia" w:ascii="宋体" w:eastAsia="宋体"/>
                <w:color w:val="333333"/>
                <w:sz w:val="19"/>
                <w:szCs w:val="19"/>
                <w:shd w:val="clear" w:color="auto" w:fill="FAFAFA"/>
              </w:rPr>
              <w:t>无</w:t>
            </w:r>
          </w:p>
        </w:tc>
        <w:tc>
          <w:tcPr>
            <w:tcW w:w="70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4AB49E49">
            <w:pPr>
              <w:widowControl/>
              <w:snapToGrid w:val="0"/>
              <w:ind w:left="0" w:leftChars="0" w:right="0" w:rightChars="0" w:firstLine="0" w:firstLineChars="0"/>
              <w:jc w:val="center"/>
              <w:rPr>
                <w:rFonts w:ascii="宋体" w:eastAsia="宋体"/>
                <w:color w:val="333333"/>
                <w:sz w:val="19"/>
                <w:szCs w:val="19"/>
                <w:shd w:val="clear" w:color="auto" w:fill="FAFAFA"/>
              </w:rPr>
            </w:pPr>
            <w:r>
              <w:rPr>
                <w:rFonts w:hint="eastAsia" w:ascii="宋体" w:eastAsia="宋体"/>
                <w:color w:val="333333"/>
                <w:sz w:val="19"/>
                <w:szCs w:val="19"/>
                <w:shd w:val="clear" w:color="auto" w:fill="FAFAFA"/>
              </w:rPr>
              <w:t>无</w:t>
            </w:r>
          </w:p>
        </w:tc>
      </w:tr>
    </w:tbl>
    <w:p w14:paraId="0684419B">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 </w:t>
      </w:r>
    </w:p>
    <w:sectPr>
      <w:pgSz w:w="11906" w:h="16838"/>
      <w:pgMar w:top="567" w:right="284" w:bottom="567" w:left="2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49F52D"/>
    <w:multiLevelType w:val="singleLevel"/>
    <w:tmpl w:val="6A49F52D"/>
    <w:lvl w:ilvl="0" w:tentative="0">
      <w:start w:val="1"/>
      <w:numFmt w:val="bullet"/>
      <w:pStyle w:val="5"/>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EC9"/>
    <w:rsid w:val="00141194"/>
    <w:rsid w:val="001A3623"/>
    <w:rsid w:val="00290245"/>
    <w:rsid w:val="002B4A3E"/>
    <w:rsid w:val="002C536F"/>
    <w:rsid w:val="002C6440"/>
    <w:rsid w:val="0039710E"/>
    <w:rsid w:val="003E08FA"/>
    <w:rsid w:val="004378C6"/>
    <w:rsid w:val="004628E8"/>
    <w:rsid w:val="004634D4"/>
    <w:rsid w:val="004F5448"/>
    <w:rsid w:val="00536A0D"/>
    <w:rsid w:val="00693A23"/>
    <w:rsid w:val="0075375F"/>
    <w:rsid w:val="008F6A3E"/>
    <w:rsid w:val="00923A38"/>
    <w:rsid w:val="00A06678"/>
    <w:rsid w:val="00B411B8"/>
    <w:rsid w:val="00C90EC9"/>
    <w:rsid w:val="00E938DD"/>
    <w:rsid w:val="00EC3AE1"/>
    <w:rsid w:val="00ED7DF2"/>
    <w:rsid w:val="00FB3B23"/>
    <w:rsid w:val="08954CB2"/>
    <w:rsid w:val="0DE05E1E"/>
    <w:rsid w:val="3BFC6ACD"/>
    <w:rsid w:val="42C140CF"/>
    <w:rsid w:val="5CF70577"/>
    <w:rsid w:val="5E5238CE"/>
    <w:rsid w:val="5F7B4286"/>
    <w:rsid w:val="6AD5790C"/>
    <w:rsid w:val="FFBB7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szCs w:val="20"/>
    </w:rPr>
  </w:style>
  <w:style w:type="paragraph" w:styleId="4">
    <w:name w:val="Body Text"/>
    <w:basedOn w:val="1"/>
    <w:next w:val="5"/>
    <w:qFormat/>
    <w:uiPriority w:val="1"/>
    <w:pPr>
      <w:ind w:left="103"/>
    </w:pPr>
    <w:rPr>
      <w:rFonts w:ascii="宋体" w:hAnsi="宋体" w:eastAsia="宋体" w:cs="宋体"/>
      <w:sz w:val="24"/>
      <w:szCs w:val="24"/>
      <w:lang w:val="zh-CN" w:eastAsia="zh-CN" w:bidi="zh-CN"/>
    </w:rPr>
  </w:style>
  <w:style w:type="paragraph" w:styleId="5">
    <w:name w:val="List Bullet 5"/>
    <w:basedOn w:val="1"/>
    <w:semiHidden/>
    <w:unhideWhenUsed/>
    <w:qFormat/>
    <w:uiPriority w:val="99"/>
    <w:pPr>
      <w:numPr>
        <w:ilvl w:val="0"/>
        <w:numId w:val="1"/>
      </w:numPr>
    </w:pPr>
  </w:style>
  <w:style w:type="paragraph" w:styleId="6">
    <w:name w:val="Body Text Indent"/>
    <w:basedOn w:val="1"/>
    <w:next w:val="7"/>
    <w:qFormat/>
    <w:uiPriority w:val="99"/>
    <w:pPr>
      <w:spacing w:after="120"/>
      <w:ind w:left="420" w:leftChars="200"/>
    </w:pPr>
  </w:style>
  <w:style w:type="paragraph" w:styleId="7">
    <w:name w:val="toc 4"/>
    <w:basedOn w:val="1"/>
    <w:next w:val="1"/>
    <w:qFormat/>
    <w:uiPriority w:val="0"/>
    <w:pPr>
      <w:wordWrap w:val="0"/>
      <w:ind w:left="850"/>
      <w:jc w:val="both"/>
    </w:pPr>
    <w:rPr>
      <w:rFonts w:ascii="宋体" w:hAnsi="宋体" w:eastAsia="宋体" w:cs="宋体"/>
      <w:sz w:val="21"/>
      <w:lang w:val="en-US" w:eastAsia="zh-CN" w:bidi="ar-SA"/>
    </w:rPr>
  </w:style>
  <w:style w:type="paragraph" w:styleId="8">
    <w:name w:val="Plain Text"/>
    <w:basedOn w:val="1"/>
    <w:qFormat/>
    <w:uiPriority w:val="0"/>
    <w:rPr>
      <w:rFonts w:ascii="宋体" w:hAnsi="Courier New"/>
      <w:sz w:val="30"/>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next w:val="1"/>
    <w:qFormat/>
    <w:uiPriority w:val="0"/>
    <w:pPr>
      <w:adjustRightInd w:val="0"/>
      <w:snapToGrid w:val="0"/>
      <w:spacing w:line="500" w:lineRule="exact"/>
      <w:ind w:firstLine="480" w:firstLineChars="200"/>
    </w:pPr>
    <w:rPr>
      <w:rFonts w:ascii="宋体" w:hAnsi="宋体"/>
      <w:kern w:val="2"/>
      <w:sz w:val="24"/>
      <w:szCs w:val="18"/>
      <w:lang w:val="en-US" w:eastAsia="zh-CN" w:bidi="ar-SA"/>
    </w:rPr>
  </w:style>
  <w:style w:type="paragraph" w:styleId="11">
    <w:name w:val="Body Text First Indent 2"/>
    <w:basedOn w:val="6"/>
    <w:semiHidden/>
    <w:unhideWhenUsed/>
    <w:qFormat/>
    <w:uiPriority w:val="0"/>
    <w:pPr>
      <w:ind w:firstLine="420" w:firstLineChars="200"/>
    </w:pPr>
  </w:style>
  <w:style w:type="character" w:styleId="14">
    <w:name w:val="Strong"/>
    <w:basedOn w:val="13"/>
    <w:qFormat/>
    <w:uiPriority w:val="22"/>
    <w:rPr>
      <w:b/>
      <w:bCs/>
    </w:rPr>
  </w:style>
  <w:style w:type="character" w:customStyle="1" w:styleId="15">
    <w:name w:val="标题 2 Char"/>
    <w:basedOn w:val="13"/>
    <w:link w:val="2"/>
    <w:qFormat/>
    <w:uiPriority w:val="9"/>
    <w:rPr>
      <w:rFonts w:ascii="宋体" w:hAnsi="宋体" w:eastAsia="宋体" w:cs="宋体"/>
      <w:b/>
      <w:bCs/>
      <w:kern w:val="0"/>
      <w:sz w:val="36"/>
      <w:szCs w:val="36"/>
    </w:rPr>
  </w:style>
  <w:style w:type="paragraph" w:styleId="16">
    <w:name w:val="List Paragraph"/>
    <w:basedOn w:val="1"/>
    <w:qFormat/>
    <w:uiPriority w:val="1"/>
    <w:pPr>
      <w:ind w:left="103" w:firstLine="480"/>
    </w:pPr>
    <w:rPr>
      <w:rFonts w:ascii="宋体" w:hAnsi="宋体" w:eastAsia="宋体" w:cs="宋体"/>
      <w:lang w:val="zh-CN" w:eastAsia="zh-CN" w:bidi="zh-CN"/>
    </w:rPr>
  </w:style>
  <w:style w:type="paragraph" w:customStyle="1" w:styleId="17">
    <w:name w:val="普通文字 Char Char Char Char Char"/>
    <w:basedOn w:val="1"/>
    <w:next w:val="8"/>
    <w:qFormat/>
    <w:uiPriority w:val="0"/>
    <w:rPr>
      <w:rFonts w:ascii="宋体" w:hAnsi="Courier New"/>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2343</Words>
  <Characters>2562</Characters>
  <Lines>20</Lines>
  <Paragraphs>5</Paragraphs>
  <TotalTime>0</TotalTime>
  <ScaleCrop>false</ScaleCrop>
  <LinksUpToDate>false</LinksUpToDate>
  <CharactersWithSpaces>2564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2021-03-04T22:48:00Z</dcterms:created>
  <dc:creator>LENOVO</dc:creator>
  <cp:lastModifiedBy>月夜殇</cp:lastModifiedBy>
  <dcterms:modified xsi:type="dcterms:W3CDTF">2026-01-13T01:42:19Z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63EB915F6D1B405B81DF4B412122A21B_13</vt:lpwstr>
  </property>
  <property fmtid="{D5CDD505-2E9C-101B-9397-08002B2CF9AE}" pid="4" name="KSOTemplateDocerSaveRecord">
    <vt:lpwstr>eyJoZGlkIjoiZjBlMzBiOGNmZGQ0YjViZDc3NzM1YmU5ZDgxZDI5ZjAiLCJ1c2VySWQiOiIyNTg0ODIyNTAifQ==</vt:lpwstr>
  </property>
</Properties>
</file>