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4"/>
        <w:tblW w:w="5000" w:type="pct"/>
        <w:tblInd w:w="-617" w:type="dxa"/>
        <w:shd w:val="clear" w:color="auto" w:fill="FFFFFF"/>
        <w:tblLayout w:type="autofit"/>
        <w:tblCellMar>
          <w:top w:w="0" w:type="dxa"/>
          <w:left w:w="0" w:type="dxa"/>
          <w:bottom w:w="0" w:type="dxa"/>
          <w:right w:w="0" w:type="dxa"/>
        </w:tblCellMar>
      </w:tblPr>
      <w:tblGrid>
        <w:gridCol w:w="8306"/>
      </w:tblGrid>
      <w:tr>
        <w:tblPrEx>
          <w:shd w:val="clear" w:color="auto" w:fill="FFFFFF"/>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FFFFFF"/>
            <w:tcMar>
              <w:top w:w="0" w:type="dxa"/>
              <w:left w:w="0" w:type="dxa"/>
              <w:bottom w:w="206" w:type="dxa"/>
              <w:right w:w="0" w:type="dxa"/>
            </w:tcMar>
            <w:vAlign w:val="center"/>
          </w:tcPr>
          <w:p>
            <w:pPr>
              <w:widowControl/>
              <w:jc w:val="center"/>
              <w:rPr>
                <w:rFonts w:hint="eastAsia" w:ascii="微软雅黑" w:hAnsi="微软雅黑" w:eastAsia="微软雅黑" w:cs="宋体"/>
                <w:b/>
                <w:bCs/>
                <w:color w:val="C02020"/>
                <w:kern w:val="0"/>
                <w:sz w:val="32"/>
                <w:szCs w:val="32"/>
              </w:rPr>
            </w:pPr>
            <w:r>
              <w:rPr>
                <w:rFonts w:hint="eastAsia" w:ascii="微软雅黑" w:hAnsi="微软雅黑" w:eastAsia="微软雅黑" w:cs="宋体"/>
                <w:b/>
                <w:bCs/>
                <w:color w:val="C02020"/>
                <w:kern w:val="0"/>
                <w:sz w:val="32"/>
                <w:szCs w:val="32"/>
                <w:lang w:val="en-US" w:eastAsia="zh-CN"/>
              </w:rPr>
              <w:t xml:space="preserve">  威海市生态环境</w:t>
            </w:r>
            <w:r>
              <w:rPr>
                <w:rFonts w:hint="eastAsia" w:ascii="微软雅黑" w:hAnsi="微软雅黑" w:eastAsia="微软雅黑" w:cs="宋体"/>
                <w:b/>
                <w:bCs/>
                <w:color w:val="C02020"/>
                <w:kern w:val="0"/>
                <w:sz w:val="32"/>
                <w:szCs w:val="32"/>
              </w:rPr>
              <w:t>局</w:t>
            </w:r>
            <w:r>
              <w:rPr>
                <w:rFonts w:hint="eastAsia" w:ascii="微软雅黑" w:hAnsi="微软雅黑" w:eastAsia="微软雅黑" w:cs="宋体"/>
                <w:b/>
                <w:bCs/>
                <w:color w:val="C02020"/>
                <w:kern w:val="0"/>
                <w:sz w:val="32"/>
                <w:szCs w:val="32"/>
                <w:lang w:val="en-US" w:eastAsia="zh-CN"/>
              </w:rPr>
              <w:t>荣成分局</w:t>
            </w:r>
            <w:r>
              <w:rPr>
                <w:rFonts w:hint="eastAsia" w:ascii="微软雅黑" w:hAnsi="微软雅黑" w:eastAsia="微软雅黑" w:cs="宋体"/>
                <w:b/>
                <w:bCs/>
                <w:color w:val="C02020"/>
                <w:kern w:val="0"/>
                <w:sz w:val="32"/>
                <w:szCs w:val="32"/>
              </w:rPr>
              <w:t>“双随机、一公开”</w:t>
            </w:r>
          </w:p>
          <w:p>
            <w:pPr>
              <w:widowControl/>
              <w:jc w:val="center"/>
              <w:rPr>
                <w:rFonts w:hint="default" w:ascii="微软雅黑" w:hAnsi="微软雅黑" w:eastAsia="微软雅黑" w:cs="宋体"/>
                <w:b/>
                <w:bCs/>
                <w:color w:val="C02020"/>
                <w:kern w:val="0"/>
                <w:sz w:val="32"/>
                <w:szCs w:val="32"/>
                <w:lang w:val="en-US" w:eastAsia="zh-CN"/>
              </w:rPr>
            </w:pPr>
            <w:r>
              <w:rPr>
                <w:rFonts w:hint="eastAsia" w:ascii="微软雅黑" w:hAnsi="微软雅黑" w:eastAsia="微软雅黑" w:cs="宋体"/>
                <w:b/>
                <w:bCs/>
                <w:color w:val="C02020"/>
                <w:kern w:val="0"/>
                <w:sz w:val="32"/>
                <w:szCs w:val="32"/>
                <w:lang w:val="en-US" w:eastAsia="zh-CN"/>
              </w:rPr>
              <w:t>监管</w:t>
            </w:r>
            <w:r>
              <w:rPr>
                <w:rFonts w:hint="eastAsia" w:ascii="微软雅黑" w:hAnsi="微软雅黑" w:eastAsia="微软雅黑" w:cs="宋体"/>
                <w:b/>
                <w:bCs/>
                <w:color w:val="C02020"/>
                <w:kern w:val="0"/>
                <w:sz w:val="32"/>
                <w:szCs w:val="32"/>
              </w:rPr>
              <w:t>工作</w:t>
            </w:r>
            <w:r>
              <w:rPr>
                <w:rFonts w:hint="eastAsia" w:ascii="微软雅黑" w:hAnsi="微软雅黑" w:eastAsia="微软雅黑" w:cs="宋体"/>
                <w:b/>
                <w:bCs/>
                <w:color w:val="C02020"/>
                <w:kern w:val="0"/>
                <w:sz w:val="32"/>
                <w:szCs w:val="32"/>
                <w:lang w:val="en-US" w:eastAsia="zh-CN"/>
              </w:rPr>
              <w:t>实施细则</w:t>
            </w:r>
          </w:p>
        </w:tc>
      </w:tr>
    </w:tbl>
    <w:p>
      <w:pPr>
        <w:widowControl/>
        <w:jc w:val="left"/>
        <w:rPr>
          <w:rFonts w:ascii="宋体" w:hAnsi="宋体" w:eastAsia="宋体" w:cs="宋体"/>
          <w:vanish/>
          <w:kern w:val="0"/>
          <w:sz w:val="24"/>
          <w:szCs w:val="24"/>
        </w:rPr>
      </w:pPr>
    </w:p>
    <w:tbl>
      <w:tblPr>
        <w:tblStyle w:val="4"/>
        <w:tblW w:w="5000" w:type="pct"/>
        <w:tblInd w:w="0" w:type="dxa"/>
        <w:tblBorders>
          <w:top w:val="single" w:color="C4C4C4" w:sz="8" w:space="0"/>
          <w:left w:val="none" w:color="auto" w:sz="0" w:space="0"/>
          <w:bottom w:val="none" w:color="auto" w:sz="0" w:space="0"/>
          <w:right w:val="none" w:color="auto" w:sz="0" w:space="0"/>
          <w:insideH w:val="none" w:color="auto" w:sz="0" w:space="0"/>
          <w:insideV w:val="none" w:color="auto" w:sz="0" w:space="0"/>
        </w:tblBorders>
        <w:shd w:val="clear" w:color="auto" w:fill="F3F3F3"/>
        <w:tblLayout w:type="autofit"/>
        <w:tblCellMar>
          <w:top w:w="0" w:type="dxa"/>
          <w:left w:w="0" w:type="dxa"/>
          <w:bottom w:w="0" w:type="dxa"/>
          <w:right w:w="0" w:type="dxa"/>
        </w:tblCellMar>
      </w:tblPr>
      <w:tblGrid>
        <w:gridCol w:w="8306"/>
      </w:tblGrid>
      <w:tr>
        <w:tblPrEx>
          <w:tblBorders>
            <w:top w:val="single" w:color="C4C4C4" w:sz="8" w:space="0"/>
            <w:left w:val="none" w:color="auto" w:sz="0" w:space="0"/>
            <w:bottom w:val="none" w:color="auto" w:sz="0" w:space="0"/>
            <w:right w:val="none" w:color="auto" w:sz="0" w:space="0"/>
            <w:insideH w:val="none" w:color="auto" w:sz="0" w:space="0"/>
            <w:insideV w:val="none" w:color="auto" w:sz="0" w:space="0"/>
          </w:tblBorders>
          <w:shd w:val="clear" w:color="auto" w:fill="F3F3F3"/>
          <w:tblCellMar>
            <w:top w:w="0" w:type="dxa"/>
            <w:left w:w="0" w:type="dxa"/>
            <w:bottom w:w="0" w:type="dxa"/>
            <w:right w:w="0" w:type="dxa"/>
          </w:tblCellMar>
        </w:tblPrEx>
        <w:trPr>
          <w:trHeight w:val="60" w:hRule="atLeast"/>
        </w:trPr>
        <w:tc>
          <w:tcPr>
            <w:tcW w:w="0" w:type="auto"/>
            <w:tcBorders>
              <w:top w:val="nil"/>
              <w:left w:val="nil"/>
              <w:bottom w:val="nil"/>
              <w:right w:val="nil"/>
            </w:tcBorders>
            <w:shd w:val="clear" w:color="auto" w:fill="F3F3F3"/>
            <w:vAlign w:val="center"/>
          </w:tcPr>
          <w:p>
            <w:pPr>
              <w:widowControl/>
              <w:jc w:val="left"/>
              <w:rPr>
                <w:rFonts w:ascii="微软雅黑" w:hAnsi="微软雅黑" w:eastAsia="微软雅黑" w:cs="宋体"/>
                <w:kern w:val="0"/>
                <w:sz w:val="6"/>
                <w:szCs w:val="24"/>
              </w:rPr>
            </w:pPr>
          </w:p>
        </w:tc>
      </w:tr>
    </w:tbl>
    <w:p>
      <w:pPr>
        <w:widowControl/>
        <w:jc w:val="left"/>
        <w:rPr>
          <w:rFonts w:ascii="宋体" w:hAnsi="宋体" w:eastAsia="宋体" w:cs="宋体"/>
          <w:vanish/>
          <w:kern w:val="0"/>
          <w:sz w:val="24"/>
          <w:szCs w:val="24"/>
        </w:rPr>
      </w:pPr>
    </w:p>
    <w:tbl>
      <w:tblPr>
        <w:tblStyle w:val="4"/>
        <w:tblW w:w="5000" w:type="pct"/>
        <w:tblInd w:w="0" w:type="dxa"/>
        <w:shd w:val="clear" w:color="auto" w:fill="FFFFFF"/>
        <w:tblLayout w:type="autofit"/>
        <w:tblCellMar>
          <w:top w:w="0" w:type="dxa"/>
          <w:left w:w="0" w:type="dxa"/>
          <w:bottom w:w="0" w:type="dxa"/>
          <w:right w:w="0" w:type="dxa"/>
        </w:tblCellMar>
      </w:tblPr>
      <w:tblGrid>
        <w:gridCol w:w="9952"/>
      </w:tblGrid>
      <w:tr>
        <w:tblPrEx>
          <w:tblCellMar>
            <w:top w:w="0" w:type="dxa"/>
            <w:left w:w="0" w:type="dxa"/>
            <w:bottom w:w="0" w:type="dxa"/>
            <w:right w:w="0" w:type="dxa"/>
          </w:tblCellMar>
        </w:tblPrEx>
        <w:trPr>
          <w:trHeight w:val="2115" w:hRule="atLeast"/>
        </w:trPr>
        <w:tc>
          <w:tcPr>
            <w:tcW w:w="0" w:type="auto"/>
            <w:tcBorders>
              <w:top w:val="nil"/>
              <w:left w:val="nil"/>
              <w:bottom w:val="nil"/>
              <w:right w:val="nil"/>
            </w:tcBorders>
            <w:shd w:val="clear" w:color="auto" w:fill="FFFFFF"/>
            <w:tcMar>
              <w:top w:w="206" w:type="dxa"/>
              <w:left w:w="823" w:type="dxa"/>
              <w:bottom w:w="411" w:type="dxa"/>
              <w:right w:w="823" w:type="dxa"/>
            </w:tcMar>
          </w:tcPr>
          <w:p>
            <w:pPr>
              <w:widowControl/>
              <w:spacing w:line="514" w:lineRule="atLeast"/>
              <w:jc w:val="left"/>
              <w:rPr>
                <w:rFonts w:hint="eastAsia" w:ascii="微软雅黑" w:hAnsi="微软雅黑" w:eastAsia="微软雅黑" w:cs="宋体"/>
                <w:kern w:val="0"/>
                <w:sz w:val="29"/>
                <w:szCs w:val="29"/>
              </w:rPr>
            </w:pPr>
            <w:r>
              <w:rPr>
                <w:rFonts w:hint="eastAsia" w:ascii="微软雅黑" w:hAnsi="微软雅黑" w:eastAsia="微软雅黑" w:cs="宋体"/>
                <w:kern w:val="0"/>
                <w:sz w:val="29"/>
                <w:szCs w:val="29"/>
              </w:rPr>
              <w:t>　　</w:t>
            </w:r>
          </w:p>
          <w:p>
            <w:pPr>
              <w:widowControl/>
              <w:shd w:val="clear" w:color="auto" w:fill="FFFFFF"/>
              <w:spacing w:line="560" w:lineRule="atLeast"/>
              <w:ind w:firstLine="640"/>
              <w:jc w:val="left"/>
              <w:rPr>
                <w:rFonts w:hint="eastAsia" w:ascii="宋体" w:hAnsi="宋体" w:eastAsia="宋体" w:cs="宋体"/>
                <w:kern w:val="0"/>
                <w:sz w:val="24"/>
                <w:szCs w:val="24"/>
              </w:rPr>
            </w:pPr>
            <w:r>
              <w:rPr>
                <w:rFonts w:hint="eastAsia" w:ascii="仿宋_GB2312" w:hAnsi="宋体" w:eastAsia="仿宋_GB2312" w:cs="宋体"/>
                <w:color w:val="000000"/>
                <w:kern w:val="0"/>
                <w:sz w:val="32"/>
                <w:szCs w:val="32"/>
                <w:shd w:val="clear" w:color="auto" w:fill="FFFFFF"/>
              </w:rPr>
              <w:t>为贯彻落实《荣成市人民政府办公室关于印发荣成市全面推行“双随机、一公开”监管改革实施方案的通知》（荣政办发〔2016〕71</w:t>
            </w:r>
            <w:r>
              <w:rPr>
                <w:rFonts w:hint="eastAsia" w:ascii="仿宋_GB2312" w:hAnsi="宋体" w:eastAsia="仿宋_GB2312" w:cs="宋体"/>
                <w:color w:val="000000"/>
                <w:kern w:val="0"/>
                <w:sz w:val="32"/>
              </w:rPr>
              <w:t> </w:t>
            </w:r>
            <w:r>
              <w:rPr>
                <w:rFonts w:hint="eastAsia" w:ascii="仿宋_GB2312" w:hAnsi="宋体" w:eastAsia="仿宋_GB2312" w:cs="宋体"/>
                <w:color w:val="000000"/>
                <w:kern w:val="0"/>
                <w:sz w:val="32"/>
                <w:szCs w:val="32"/>
                <w:shd w:val="clear" w:color="auto" w:fill="FFFFFF"/>
              </w:rPr>
              <w:t>号）要求，推进</w:t>
            </w:r>
            <w:r>
              <w:rPr>
                <w:rFonts w:hint="eastAsia" w:ascii="仿宋_GB2312" w:hAnsi="宋体" w:eastAsia="仿宋_GB2312" w:cs="宋体"/>
                <w:color w:val="000000"/>
                <w:kern w:val="0"/>
                <w:sz w:val="32"/>
                <w:szCs w:val="32"/>
                <w:shd w:val="clear" w:color="auto" w:fill="FFFFFF"/>
                <w:lang w:val="en-US" w:eastAsia="zh-CN"/>
              </w:rPr>
              <w:t>威海市生态环境局荣成分局</w:t>
            </w:r>
            <w:r>
              <w:rPr>
                <w:rFonts w:hint="eastAsia" w:ascii="仿宋_GB2312" w:hAnsi="宋体" w:eastAsia="仿宋_GB2312" w:cs="宋体"/>
                <w:color w:val="000000"/>
                <w:kern w:val="0"/>
                <w:sz w:val="32"/>
                <w:szCs w:val="32"/>
                <w:shd w:val="clear" w:color="auto" w:fill="FFFFFF"/>
              </w:rPr>
              <w:t>“双随机、一公开”工作，增强执法效能，制定本实施方案。</w:t>
            </w:r>
          </w:p>
          <w:p>
            <w:pPr>
              <w:widowControl/>
              <w:shd w:val="clear" w:color="auto" w:fill="FFFFFF"/>
              <w:spacing w:line="560" w:lineRule="atLeast"/>
              <w:ind w:left="640"/>
              <w:jc w:val="left"/>
              <w:rPr>
                <w:rFonts w:ascii="宋体" w:hAnsi="宋体" w:eastAsia="宋体" w:cs="宋体"/>
                <w:kern w:val="0"/>
                <w:sz w:val="24"/>
                <w:szCs w:val="24"/>
              </w:rPr>
            </w:pPr>
            <w:r>
              <w:rPr>
                <w:rFonts w:hint="eastAsia" w:ascii="黑体" w:hAnsi="黑体" w:eastAsia="黑体" w:cs="宋体"/>
                <w:color w:val="000000"/>
                <w:kern w:val="0"/>
                <w:sz w:val="32"/>
                <w:szCs w:val="32"/>
                <w:shd w:val="clear" w:color="auto" w:fill="FFFFFF"/>
              </w:rPr>
              <w:t>一、指导思想</w:t>
            </w:r>
          </w:p>
          <w:p>
            <w:pPr>
              <w:widowControl/>
              <w:shd w:val="clear" w:color="auto" w:fill="FFFFFF"/>
              <w:spacing w:line="560" w:lineRule="atLeast"/>
              <w:ind w:firstLine="640"/>
              <w:jc w:val="left"/>
              <w:rPr>
                <w:rFonts w:ascii="宋体" w:hAnsi="宋体" w:eastAsia="宋体" w:cs="宋体"/>
                <w:kern w:val="0"/>
                <w:sz w:val="24"/>
                <w:szCs w:val="24"/>
              </w:rPr>
            </w:pPr>
            <w:r>
              <w:rPr>
                <w:rFonts w:hint="eastAsia" w:ascii="仿宋_GB2312" w:hAnsi="宋体" w:eastAsia="仿宋_GB2312" w:cs="宋体"/>
                <w:color w:val="000000"/>
                <w:kern w:val="0"/>
                <w:sz w:val="32"/>
                <w:szCs w:val="32"/>
                <w:shd w:val="clear" w:color="auto" w:fill="FFFFFF"/>
              </w:rPr>
              <w:t>为深入贯彻落实《山东省人民政府关于在市场监管领域全面推行部门联合“双随机、一公开”监管的实施意见》（鲁政发〔2019〕10 号）</w:t>
            </w:r>
            <w:r>
              <w:rPr>
                <w:rFonts w:hint="eastAsia" w:ascii="仿宋_GB2312" w:hAnsi="宋体" w:eastAsia="仿宋_GB2312" w:cs="宋体"/>
                <w:color w:val="000000"/>
                <w:kern w:val="0"/>
                <w:sz w:val="32"/>
                <w:szCs w:val="32"/>
                <w:shd w:val="clear" w:color="auto" w:fill="FFFFFF"/>
                <w:lang w:eastAsia="zh-CN"/>
              </w:rPr>
              <w:t>、</w:t>
            </w:r>
            <w:r>
              <w:rPr>
                <w:rFonts w:hint="eastAsia" w:ascii="仿宋_GB2312" w:hAnsi="宋体" w:eastAsia="仿宋_GB2312" w:cs="宋体"/>
                <w:color w:val="000000"/>
                <w:kern w:val="0"/>
                <w:sz w:val="32"/>
                <w:szCs w:val="32"/>
                <w:shd w:val="clear" w:color="auto" w:fill="FFFFFF"/>
              </w:rPr>
              <w:t>山东省生态环境厅关于印发《山东省生态环境厅“双随机、一公开”监管随机抽查事项清单（2023年）》的通知</w:t>
            </w:r>
            <w:r>
              <w:rPr>
                <w:rFonts w:hint="eastAsia" w:ascii="仿宋_GB2312" w:hAnsi="宋体" w:eastAsia="仿宋_GB2312" w:cs="宋体"/>
                <w:color w:val="000000"/>
                <w:kern w:val="0"/>
                <w:sz w:val="32"/>
                <w:szCs w:val="32"/>
                <w:shd w:val="clear" w:color="auto" w:fill="FFFFFF"/>
                <w:lang w:eastAsia="zh-CN"/>
              </w:rPr>
              <w:t>（鲁环字〔202</w:t>
            </w:r>
            <w:r>
              <w:rPr>
                <w:rFonts w:hint="eastAsia" w:ascii="仿宋_GB2312" w:hAnsi="宋体" w:eastAsia="仿宋_GB2312" w:cs="宋体"/>
                <w:color w:val="000000"/>
                <w:kern w:val="0"/>
                <w:sz w:val="32"/>
                <w:szCs w:val="32"/>
                <w:shd w:val="clear" w:color="auto" w:fill="FFFFFF"/>
                <w:lang w:val="en-US" w:eastAsia="zh-CN"/>
              </w:rPr>
              <w:t>3</w:t>
            </w:r>
            <w:r>
              <w:rPr>
                <w:rFonts w:hint="eastAsia" w:ascii="仿宋_GB2312" w:hAnsi="宋体" w:eastAsia="仿宋_GB2312" w:cs="宋体"/>
                <w:color w:val="000000"/>
                <w:kern w:val="0"/>
                <w:sz w:val="32"/>
                <w:szCs w:val="32"/>
                <w:shd w:val="clear" w:color="auto" w:fill="FFFFFF"/>
                <w:lang w:eastAsia="zh-CN"/>
              </w:rPr>
              <w:t>〕</w:t>
            </w:r>
            <w:r>
              <w:rPr>
                <w:rFonts w:hint="eastAsia" w:ascii="仿宋_GB2312" w:hAnsi="宋体" w:eastAsia="仿宋_GB2312" w:cs="宋体"/>
                <w:color w:val="000000"/>
                <w:kern w:val="0"/>
                <w:sz w:val="32"/>
                <w:szCs w:val="32"/>
                <w:shd w:val="clear" w:color="auto" w:fill="FFFFFF"/>
                <w:lang w:val="en-US" w:eastAsia="zh-CN"/>
              </w:rPr>
              <w:t>5</w:t>
            </w:r>
            <w:bookmarkStart w:id="0" w:name="_GoBack"/>
            <w:bookmarkEnd w:id="0"/>
            <w:r>
              <w:rPr>
                <w:rFonts w:hint="eastAsia" w:ascii="仿宋_GB2312" w:hAnsi="宋体" w:eastAsia="仿宋_GB2312" w:cs="宋体"/>
                <w:color w:val="000000"/>
                <w:kern w:val="0"/>
                <w:sz w:val="32"/>
                <w:szCs w:val="32"/>
                <w:shd w:val="clear" w:color="auto" w:fill="FFFFFF"/>
                <w:lang w:eastAsia="zh-CN"/>
              </w:rPr>
              <w:t>号）</w:t>
            </w:r>
            <w:r>
              <w:rPr>
                <w:rFonts w:hint="eastAsia" w:ascii="仿宋_GB2312" w:hAnsi="宋体" w:eastAsia="仿宋_GB2312" w:cs="宋体"/>
                <w:color w:val="000000"/>
                <w:kern w:val="0"/>
                <w:sz w:val="32"/>
                <w:szCs w:val="32"/>
                <w:shd w:val="clear" w:color="auto" w:fill="FFFFFF"/>
                <w:lang w:val="en-US" w:eastAsia="zh-CN"/>
              </w:rPr>
              <w:t>要求</w:t>
            </w:r>
            <w:r>
              <w:rPr>
                <w:rFonts w:hint="eastAsia" w:ascii="仿宋_GB2312" w:hAnsi="宋体" w:eastAsia="仿宋_GB2312" w:cs="宋体"/>
                <w:color w:val="000000"/>
                <w:kern w:val="0"/>
                <w:sz w:val="32"/>
                <w:szCs w:val="32"/>
                <w:shd w:val="clear" w:color="auto" w:fill="FFFFFF"/>
              </w:rPr>
              <w:t>，进一步创新管理方式，规范执法行为，提升监管效能，严格履行法定监管职责，全面推行“双随机、一公开”制度，依法查处违法违规行为，主动接受社会监督。</w:t>
            </w:r>
          </w:p>
          <w:p>
            <w:pPr>
              <w:widowControl/>
              <w:shd w:val="clear" w:color="auto" w:fill="FFFFFF"/>
              <w:spacing w:line="560" w:lineRule="atLeast"/>
              <w:jc w:val="left"/>
              <w:rPr>
                <w:rFonts w:ascii="宋体" w:hAnsi="宋体" w:eastAsia="宋体" w:cs="宋体"/>
                <w:kern w:val="0"/>
                <w:sz w:val="24"/>
                <w:szCs w:val="24"/>
              </w:rPr>
            </w:pPr>
            <w:r>
              <w:rPr>
                <w:rFonts w:hint="eastAsia" w:ascii="宋体" w:hAnsi="宋体" w:eastAsia="宋体" w:cs="宋体"/>
                <w:color w:val="000000"/>
                <w:kern w:val="0"/>
                <w:sz w:val="32"/>
                <w:szCs w:val="32"/>
                <w:shd w:val="clear" w:color="auto" w:fill="FFFFFF"/>
              </w:rPr>
              <w:t> </w:t>
            </w:r>
            <w:r>
              <w:rPr>
                <w:rFonts w:hint="eastAsia" w:ascii="黑体" w:hAnsi="黑体" w:eastAsia="黑体" w:cs="宋体"/>
                <w:color w:val="000000"/>
                <w:kern w:val="0"/>
                <w:sz w:val="32"/>
                <w:szCs w:val="32"/>
                <w:shd w:val="clear" w:color="auto" w:fill="FFFFFF"/>
              </w:rPr>
              <w:t>二、方法步骤</w:t>
            </w:r>
          </w:p>
          <w:p>
            <w:pPr>
              <w:widowControl/>
              <w:shd w:val="clear" w:color="auto" w:fill="FFFFFF"/>
              <w:spacing w:line="560" w:lineRule="atLeast"/>
              <w:jc w:val="left"/>
              <w:rPr>
                <w:rFonts w:ascii="宋体" w:hAnsi="宋体" w:eastAsia="宋体" w:cs="宋体"/>
                <w:kern w:val="0"/>
                <w:sz w:val="24"/>
                <w:szCs w:val="24"/>
              </w:rPr>
            </w:pPr>
            <w:r>
              <w:rPr>
                <w:rFonts w:hint="eastAsia" w:ascii="楷体" w:hAnsi="楷体" w:eastAsia="楷体" w:cs="宋体"/>
                <w:color w:val="000000"/>
                <w:kern w:val="0"/>
                <w:sz w:val="32"/>
                <w:szCs w:val="32"/>
                <w:shd w:val="clear" w:color="auto" w:fill="FFFFFF"/>
              </w:rPr>
              <w:t>（一）建立健全“一单两库”</w:t>
            </w:r>
          </w:p>
          <w:p>
            <w:pPr>
              <w:widowControl/>
              <w:spacing w:line="514" w:lineRule="atLeast"/>
              <w:jc w:val="left"/>
              <w:rPr>
                <w:rFonts w:ascii="宋体" w:hAnsi="宋体" w:eastAsia="宋体" w:cs="宋体"/>
                <w:kern w:val="0"/>
                <w:sz w:val="24"/>
                <w:szCs w:val="24"/>
              </w:rPr>
            </w:pPr>
            <w:r>
              <w:rPr>
                <w:rFonts w:hint="eastAsia" w:ascii="仿宋_GB2312" w:hAnsi="宋体" w:eastAsia="仿宋_GB2312" w:cs="宋体"/>
                <w:color w:val="000000"/>
                <w:kern w:val="0"/>
                <w:sz w:val="32"/>
                <w:szCs w:val="32"/>
                <w:shd w:val="clear" w:color="auto" w:fill="FFFFFF"/>
              </w:rPr>
              <w:t>　</w:t>
            </w:r>
            <w:r>
              <w:rPr>
                <w:rFonts w:hint="eastAsia" w:ascii="仿宋_GB2312" w:hAnsi="宋体" w:eastAsia="仿宋_GB2312" w:cs="宋体"/>
                <w:color w:val="000000"/>
                <w:kern w:val="0"/>
                <w:sz w:val="32"/>
                <w:szCs w:val="32"/>
                <w:shd w:val="clear" w:color="auto" w:fill="FFFFFF"/>
                <w:lang w:val="en-US" w:eastAsia="zh-CN"/>
              </w:rPr>
              <w:t xml:space="preserve"> </w:t>
            </w:r>
            <w:r>
              <w:rPr>
                <w:rFonts w:hint="eastAsia" w:ascii="仿宋_GB2312" w:hAnsi="宋体" w:eastAsia="仿宋_GB2312" w:cs="宋体"/>
                <w:color w:val="000000"/>
                <w:kern w:val="0"/>
                <w:sz w:val="32"/>
                <w:szCs w:val="32"/>
                <w:shd w:val="clear" w:color="auto" w:fill="FFFFFF"/>
              </w:rPr>
              <w:t>⒈建立“双随机”抽查事项清单。依据法律法规规章确定荣成市环保系统随机抽查事项清单，明确抽查内容、抽查依据、抽查方式等。随机抽查事项清单根据法律法规规章制修订情况和工作实际进行动态调整，及时向社会公布。凡是法律法规规章没有规定的，一律不得擅自开展检查。</w:t>
            </w:r>
          </w:p>
          <w:p>
            <w:pPr>
              <w:widowControl/>
              <w:spacing w:line="514" w:lineRule="atLeast"/>
              <w:jc w:val="left"/>
              <w:rPr>
                <w:rFonts w:ascii="宋体" w:hAnsi="宋体" w:eastAsia="宋体" w:cs="宋体"/>
                <w:kern w:val="0"/>
                <w:sz w:val="24"/>
                <w:szCs w:val="24"/>
              </w:rPr>
            </w:pPr>
            <w:r>
              <w:rPr>
                <w:rFonts w:hint="eastAsia" w:ascii="仿宋_GB2312" w:hAnsi="宋体" w:eastAsia="仿宋_GB2312" w:cs="宋体"/>
                <w:color w:val="000000"/>
                <w:kern w:val="0"/>
                <w:sz w:val="32"/>
                <w:szCs w:val="32"/>
                <w:shd w:val="clear" w:color="auto" w:fill="FFFFFF"/>
              </w:rPr>
              <w:t> </w:t>
            </w:r>
            <w:r>
              <w:rPr>
                <w:rFonts w:hint="eastAsia" w:ascii="仿宋_GB2312" w:hAnsi="宋体" w:eastAsia="仿宋_GB2312" w:cs="宋体"/>
                <w:color w:val="000000"/>
                <w:kern w:val="0"/>
                <w:sz w:val="32"/>
                <w:szCs w:val="32"/>
                <w:shd w:val="clear" w:color="auto" w:fill="FFFFFF"/>
                <w:lang w:val="en-US" w:eastAsia="zh-CN"/>
              </w:rPr>
              <w:t xml:space="preserve">  威海</w:t>
            </w:r>
            <w:r>
              <w:rPr>
                <w:rFonts w:hint="eastAsia" w:ascii="仿宋_GB2312" w:hAnsi="宋体" w:eastAsia="仿宋_GB2312" w:cs="宋体"/>
                <w:color w:val="000000"/>
                <w:kern w:val="0"/>
                <w:sz w:val="32"/>
                <w:szCs w:val="32"/>
                <w:shd w:val="clear" w:color="auto" w:fill="FFFFFF"/>
              </w:rPr>
              <w:t>市</w:t>
            </w:r>
            <w:r>
              <w:rPr>
                <w:rFonts w:hint="eastAsia" w:ascii="仿宋_GB2312" w:hAnsi="宋体" w:eastAsia="仿宋_GB2312" w:cs="宋体"/>
                <w:color w:val="000000"/>
                <w:kern w:val="0"/>
                <w:sz w:val="32"/>
                <w:szCs w:val="32"/>
                <w:shd w:val="clear" w:color="auto" w:fill="FFFFFF"/>
                <w:lang w:val="en-US" w:eastAsia="zh-CN"/>
              </w:rPr>
              <w:t>生态环境荣成分</w:t>
            </w:r>
            <w:r>
              <w:rPr>
                <w:rFonts w:hint="eastAsia" w:ascii="仿宋_GB2312" w:hAnsi="宋体" w:eastAsia="仿宋_GB2312" w:cs="宋体"/>
                <w:color w:val="000000"/>
                <w:kern w:val="0"/>
                <w:sz w:val="32"/>
                <w:szCs w:val="32"/>
                <w:shd w:val="clear" w:color="auto" w:fill="FFFFFF"/>
              </w:rPr>
              <w:t>局有监督检查职责的科室、下属事业单位负责制定职责范围内随机抽查事项清单，报分管局领导审定后发布。</w:t>
            </w:r>
          </w:p>
          <w:p>
            <w:pPr>
              <w:widowControl/>
              <w:spacing w:line="514" w:lineRule="atLeast"/>
              <w:jc w:val="left"/>
              <w:rPr>
                <w:rFonts w:ascii="宋体" w:hAnsi="宋体" w:eastAsia="宋体" w:cs="宋体"/>
                <w:kern w:val="0"/>
                <w:sz w:val="24"/>
                <w:szCs w:val="24"/>
              </w:rPr>
            </w:pPr>
            <w:r>
              <w:rPr>
                <w:rFonts w:hint="eastAsia" w:ascii="仿宋_GB2312" w:hAnsi="宋体" w:eastAsia="仿宋_GB2312" w:cs="宋体"/>
                <w:color w:val="000000"/>
                <w:kern w:val="0"/>
                <w:sz w:val="32"/>
                <w:szCs w:val="32"/>
                <w:shd w:val="clear" w:color="auto" w:fill="FFFFFF"/>
              </w:rPr>
              <w:t>  责任主体：</w:t>
            </w:r>
            <w:r>
              <w:rPr>
                <w:rFonts w:hint="eastAsia" w:ascii="仿宋_GB2312" w:hAnsi="宋体" w:eastAsia="仿宋_GB2312" w:cs="宋体"/>
                <w:color w:val="000000"/>
                <w:kern w:val="0"/>
                <w:sz w:val="32"/>
                <w:szCs w:val="32"/>
                <w:shd w:val="clear" w:color="auto" w:fill="FFFFFF"/>
                <w:lang w:val="en-US" w:eastAsia="zh-CN"/>
              </w:rPr>
              <w:t>分</w:t>
            </w:r>
            <w:r>
              <w:rPr>
                <w:rFonts w:hint="eastAsia" w:ascii="仿宋_GB2312" w:hAnsi="宋体" w:eastAsia="仿宋_GB2312" w:cs="宋体"/>
                <w:color w:val="000000"/>
                <w:kern w:val="0"/>
                <w:sz w:val="32"/>
                <w:szCs w:val="32"/>
                <w:shd w:val="clear" w:color="auto" w:fill="FFFFFF"/>
              </w:rPr>
              <w:t>局有监督检查职责的科室、下属事业单位</w:t>
            </w:r>
          </w:p>
          <w:p>
            <w:pPr>
              <w:widowControl/>
              <w:spacing w:line="514" w:lineRule="atLeast"/>
              <w:ind w:firstLine="640"/>
              <w:jc w:val="left"/>
              <w:rPr>
                <w:rFonts w:ascii="宋体" w:hAnsi="宋体" w:eastAsia="宋体" w:cs="宋体"/>
                <w:kern w:val="0"/>
                <w:sz w:val="24"/>
                <w:szCs w:val="24"/>
              </w:rPr>
            </w:pPr>
            <w:r>
              <w:rPr>
                <w:rFonts w:hint="eastAsia" w:ascii="仿宋_GB2312" w:hAnsi="宋体" w:eastAsia="仿宋_GB2312" w:cs="宋体"/>
                <w:color w:val="000000"/>
                <w:kern w:val="0"/>
                <w:sz w:val="32"/>
                <w:szCs w:val="32"/>
                <w:shd w:val="clear" w:color="auto" w:fill="FFFFFF"/>
              </w:rPr>
              <w:t>⒉建立日常监管动态信息库。</w:t>
            </w:r>
            <w:r>
              <w:rPr>
                <w:rFonts w:hint="eastAsia" w:ascii="仿宋_GB2312" w:hAnsi="宋体" w:eastAsia="仿宋_GB2312" w:cs="宋体"/>
                <w:color w:val="000000"/>
                <w:kern w:val="0"/>
                <w:sz w:val="32"/>
                <w:szCs w:val="32"/>
                <w:shd w:val="clear" w:color="auto" w:fill="FFFFFF"/>
                <w:lang w:val="en-US" w:eastAsia="zh-CN"/>
              </w:rPr>
              <w:t>威海</w:t>
            </w:r>
            <w:r>
              <w:rPr>
                <w:rFonts w:hint="eastAsia" w:ascii="仿宋_GB2312" w:hAnsi="宋体" w:eastAsia="仿宋_GB2312" w:cs="宋体"/>
                <w:color w:val="000000"/>
                <w:kern w:val="0"/>
                <w:sz w:val="32"/>
                <w:szCs w:val="32"/>
                <w:shd w:val="clear" w:color="auto" w:fill="FFFFFF"/>
              </w:rPr>
              <w:t>市</w:t>
            </w:r>
            <w:r>
              <w:rPr>
                <w:rFonts w:hint="eastAsia" w:ascii="仿宋_GB2312" w:hAnsi="宋体" w:eastAsia="仿宋_GB2312" w:cs="宋体"/>
                <w:color w:val="000000"/>
                <w:kern w:val="0"/>
                <w:sz w:val="32"/>
                <w:szCs w:val="32"/>
                <w:shd w:val="clear" w:color="auto" w:fill="FFFFFF"/>
                <w:lang w:val="en-US" w:eastAsia="zh-CN"/>
              </w:rPr>
              <w:t>生态环境</w:t>
            </w:r>
            <w:r>
              <w:rPr>
                <w:rFonts w:hint="eastAsia" w:ascii="仿宋_GB2312" w:hAnsi="宋体" w:eastAsia="仿宋_GB2312" w:cs="宋体"/>
                <w:color w:val="000000"/>
                <w:kern w:val="0"/>
                <w:sz w:val="32"/>
                <w:szCs w:val="32"/>
                <w:shd w:val="clear" w:color="auto" w:fill="FFFFFF"/>
              </w:rPr>
              <w:t>局</w:t>
            </w:r>
            <w:r>
              <w:rPr>
                <w:rFonts w:hint="eastAsia" w:ascii="仿宋_GB2312" w:hAnsi="宋体" w:eastAsia="仿宋_GB2312" w:cs="宋体"/>
                <w:color w:val="000000"/>
                <w:kern w:val="0"/>
                <w:sz w:val="32"/>
                <w:szCs w:val="32"/>
                <w:shd w:val="clear" w:color="auto" w:fill="FFFFFF"/>
                <w:lang w:val="en-US" w:eastAsia="zh-CN"/>
              </w:rPr>
              <w:t>荣成分局</w:t>
            </w:r>
            <w:r>
              <w:rPr>
                <w:rFonts w:hint="eastAsia" w:ascii="仿宋_GB2312" w:hAnsi="宋体" w:eastAsia="仿宋_GB2312" w:cs="宋体"/>
                <w:color w:val="000000"/>
                <w:kern w:val="0"/>
                <w:sz w:val="32"/>
                <w:szCs w:val="32"/>
                <w:shd w:val="clear" w:color="auto" w:fill="FFFFFF"/>
              </w:rPr>
              <w:t>有监督检查职责的科室、下属事业单位负责建立本科室、单位的日常监管动态信息库。动态信息库建库及日常更新要做到专人负责，信息库中的信息要做到应填必填。</w:t>
            </w:r>
          </w:p>
          <w:p>
            <w:pPr>
              <w:widowControl/>
              <w:spacing w:line="514" w:lineRule="atLeast"/>
              <w:ind w:firstLine="640"/>
              <w:jc w:val="left"/>
              <w:rPr>
                <w:rFonts w:ascii="宋体" w:hAnsi="宋体" w:eastAsia="宋体" w:cs="宋体"/>
                <w:kern w:val="0"/>
                <w:sz w:val="24"/>
                <w:szCs w:val="24"/>
              </w:rPr>
            </w:pPr>
            <w:r>
              <w:rPr>
                <w:rFonts w:hint="eastAsia" w:ascii="仿宋_GB2312" w:hAnsi="宋体" w:eastAsia="仿宋_GB2312" w:cs="宋体"/>
                <w:color w:val="000000"/>
                <w:kern w:val="0"/>
                <w:sz w:val="32"/>
                <w:szCs w:val="32"/>
                <w:shd w:val="clear" w:color="auto" w:fill="FFFFFF"/>
              </w:rPr>
              <w:t>责任主体：</w:t>
            </w:r>
            <w:r>
              <w:rPr>
                <w:rFonts w:hint="eastAsia" w:ascii="仿宋_GB2312" w:hAnsi="宋体" w:eastAsia="仿宋_GB2312" w:cs="宋体"/>
                <w:color w:val="000000"/>
                <w:kern w:val="0"/>
                <w:sz w:val="32"/>
                <w:szCs w:val="32"/>
                <w:shd w:val="clear" w:color="auto" w:fill="FFFFFF"/>
                <w:lang w:val="en-US" w:eastAsia="zh-CN"/>
              </w:rPr>
              <w:t>分</w:t>
            </w:r>
            <w:r>
              <w:rPr>
                <w:rFonts w:hint="eastAsia" w:ascii="仿宋_GB2312" w:hAnsi="宋体" w:eastAsia="仿宋_GB2312" w:cs="宋体"/>
                <w:color w:val="000000"/>
                <w:kern w:val="0"/>
                <w:sz w:val="32"/>
                <w:szCs w:val="32"/>
                <w:shd w:val="clear" w:color="auto" w:fill="FFFFFF"/>
              </w:rPr>
              <w:t>局有监督检查职责的科室、下属事业单位</w:t>
            </w:r>
          </w:p>
          <w:p>
            <w:pPr>
              <w:widowControl/>
              <w:spacing w:line="514" w:lineRule="atLeast"/>
              <w:ind w:firstLine="640"/>
              <w:jc w:val="left"/>
              <w:rPr>
                <w:rFonts w:ascii="宋体" w:hAnsi="宋体" w:eastAsia="宋体" w:cs="宋体"/>
                <w:kern w:val="0"/>
                <w:sz w:val="24"/>
                <w:szCs w:val="24"/>
              </w:rPr>
            </w:pPr>
            <w:r>
              <w:rPr>
                <w:rFonts w:hint="eastAsia" w:ascii="仿宋_GB2312" w:hAnsi="宋体" w:eastAsia="仿宋_GB2312" w:cs="宋体"/>
                <w:color w:val="000000"/>
                <w:kern w:val="0"/>
                <w:sz w:val="32"/>
                <w:szCs w:val="32"/>
                <w:shd w:val="clear" w:color="auto" w:fill="FFFFFF"/>
              </w:rPr>
              <w:t>⒊建立检查人员名录库。</w:t>
            </w:r>
            <w:r>
              <w:rPr>
                <w:rFonts w:hint="eastAsia" w:ascii="仿宋_GB2312" w:hAnsi="宋体" w:eastAsia="仿宋_GB2312" w:cs="宋体"/>
                <w:color w:val="000000"/>
                <w:kern w:val="0"/>
                <w:sz w:val="32"/>
                <w:szCs w:val="32"/>
                <w:shd w:val="clear" w:color="auto" w:fill="FFFFFF"/>
                <w:lang w:val="en-US" w:eastAsia="zh-CN"/>
              </w:rPr>
              <w:t>分</w:t>
            </w:r>
            <w:r>
              <w:rPr>
                <w:rFonts w:hint="eastAsia" w:ascii="仿宋_GB2312" w:hAnsi="宋体" w:eastAsia="仿宋_GB2312" w:cs="宋体"/>
                <w:color w:val="000000"/>
                <w:kern w:val="0"/>
                <w:sz w:val="32"/>
                <w:szCs w:val="32"/>
                <w:shd w:val="clear" w:color="auto" w:fill="FFFFFF"/>
              </w:rPr>
              <w:t>局有监督检查职责的科室、下属事业单位建立本科室、单位执法检查人员名录库，实施动态管理。执法人员名录库所纳入人员应具备行政执法资格，涵盖部门所有执法检查人员，如有必要可根据相关规定抽调相关业务科室、部门人员纳入。</w:t>
            </w:r>
          </w:p>
          <w:p>
            <w:pPr>
              <w:widowControl/>
              <w:spacing w:line="514" w:lineRule="atLeast"/>
              <w:ind w:firstLine="640"/>
              <w:jc w:val="left"/>
              <w:rPr>
                <w:rFonts w:ascii="宋体" w:hAnsi="宋体" w:eastAsia="宋体" w:cs="宋体"/>
                <w:kern w:val="0"/>
                <w:sz w:val="24"/>
                <w:szCs w:val="24"/>
              </w:rPr>
            </w:pPr>
            <w:r>
              <w:rPr>
                <w:rFonts w:hint="eastAsia" w:ascii="仿宋_GB2312" w:hAnsi="宋体" w:eastAsia="仿宋_GB2312" w:cs="宋体"/>
                <w:color w:val="000000"/>
                <w:kern w:val="0"/>
                <w:sz w:val="32"/>
                <w:szCs w:val="32"/>
                <w:shd w:val="clear" w:color="auto" w:fill="FFFFFF"/>
              </w:rPr>
              <w:t>责任主体：</w:t>
            </w:r>
            <w:r>
              <w:rPr>
                <w:rFonts w:hint="eastAsia" w:ascii="仿宋_GB2312" w:hAnsi="宋体" w:eastAsia="仿宋_GB2312" w:cs="宋体"/>
                <w:color w:val="000000"/>
                <w:kern w:val="0"/>
                <w:sz w:val="32"/>
                <w:szCs w:val="32"/>
                <w:shd w:val="clear" w:color="auto" w:fill="FFFFFF"/>
                <w:lang w:val="en-US" w:eastAsia="zh-CN"/>
              </w:rPr>
              <w:t>分</w:t>
            </w:r>
            <w:r>
              <w:rPr>
                <w:rFonts w:hint="eastAsia" w:ascii="仿宋_GB2312" w:hAnsi="宋体" w:eastAsia="仿宋_GB2312" w:cs="宋体"/>
                <w:color w:val="000000"/>
                <w:kern w:val="0"/>
                <w:sz w:val="32"/>
                <w:szCs w:val="32"/>
                <w:shd w:val="clear" w:color="auto" w:fill="FFFFFF"/>
              </w:rPr>
              <w:t>局有监督检查职责的科室、下属事业单位</w:t>
            </w:r>
          </w:p>
          <w:p>
            <w:pPr>
              <w:widowControl/>
              <w:spacing w:line="514" w:lineRule="atLeast"/>
              <w:ind w:firstLine="640"/>
              <w:jc w:val="left"/>
              <w:rPr>
                <w:rFonts w:ascii="宋体" w:hAnsi="宋体" w:eastAsia="宋体" w:cs="宋体"/>
                <w:kern w:val="0"/>
                <w:sz w:val="24"/>
                <w:szCs w:val="24"/>
              </w:rPr>
            </w:pPr>
            <w:r>
              <w:rPr>
                <w:rFonts w:hint="eastAsia" w:ascii="仿宋_GB2312" w:hAnsi="宋体" w:eastAsia="仿宋_GB2312" w:cs="宋体"/>
                <w:color w:val="000000"/>
                <w:kern w:val="0"/>
                <w:sz w:val="32"/>
                <w:szCs w:val="32"/>
                <w:shd w:val="clear" w:color="auto" w:fill="FFFFFF"/>
              </w:rPr>
              <w:t>⒋实行动态管理。对“双随机”抽查事项清单、污染源日常监管动态信息库、检查人员名录库实行动态管理，及时录入、更新相关信息，确保监管对象齐全、监管人员合格、监管事项合法。</w:t>
            </w:r>
          </w:p>
          <w:p>
            <w:pPr>
              <w:widowControl/>
              <w:spacing w:line="514" w:lineRule="atLeast"/>
              <w:ind w:firstLine="640"/>
              <w:jc w:val="left"/>
              <w:rPr>
                <w:rFonts w:ascii="宋体" w:hAnsi="宋体" w:eastAsia="宋体" w:cs="宋体"/>
                <w:kern w:val="0"/>
                <w:sz w:val="24"/>
                <w:szCs w:val="24"/>
              </w:rPr>
            </w:pPr>
            <w:r>
              <w:rPr>
                <w:rFonts w:hint="eastAsia" w:ascii="仿宋_GB2312" w:hAnsi="宋体" w:eastAsia="仿宋_GB2312" w:cs="宋体"/>
                <w:color w:val="000000"/>
                <w:kern w:val="0"/>
                <w:sz w:val="32"/>
                <w:szCs w:val="32"/>
                <w:shd w:val="clear" w:color="auto" w:fill="FFFFFF"/>
              </w:rPr>
              <w:t>责任主体：</w:t>
            </w:r>
            <w:r>
              <w:rPr>
                <w:rFonts w:hint="eastAsia" w:ascii="仿宋_GB2312" w:hAnsi="宋体" w:eastAsia="仿宋_GB2312" w:cs="宋体"/>
                <w:color w:val="000000"/>
                <w:kern w:val="0"/>
                <w:sz w:val="32"/>
                <w:szCs w:val="32"/>
                <w:shd w:val="clear" w:color="auto" w:fill="FFFFFF"/>
                <w:lang w:val="en-US" w:eastAsia="zh-CN"/>
              </w:rPr>
              <w:t>分</w:t>
            </w:r>
            <w:r>
              <w:rPr>
                <w:rFonts w:hint="eastAsia" w:ascii="仿宋_GB2312" w:hAnsi="宋体" w:eastAsia="仿宋_GB2312" w:cs="宋体"/>
                <w:color w:val="000000"/>
                <w:kern w:val="0"/>
                <w:sz w:val="32"/>
                <w:szCs w:val="32"/>
                <w:shd w:val="clear" w:color="auto" w:fill="FFFFFF"/>
              </w:rPr>
              <w:t>局有监督检查职责的科室、下属事业单位</w:t>
            </w:r>
          </w:p>
          <w:p>
            <w:pPr>
              <w:widowControl/>
              <w:spacing w:line="514" w:lineRule="atLeast"/>
              <w:ind w:firstLine="640"/>
              <w:jc w:val="left"/>
              <w:rPr>
                <w:rFonts w:ascii="宋体" w:hAnsi="宋体" w:eastAsia="宋体" w:cs="宋体"/>
                <w:kern w:val="0"/>
                <w:sz w:val="24"/>
                <w:szCs w:val="24"/>
              </w:rPr>
            </w:pPr>
            <w:r>
              <w:rPr>
                <w:rFonts w:hint="eastAsia" w:ascii="仿宋_GB2312" w:hAnsi="宋体" w:eastAsia="仿宋_GB2312" w:cs="宋体"/>
                <w:color w:val="000000"/>
                <w:kern w:val="0"/>
                <w:sz w:val="32"/>
                <w:szCs w:val="32"/>
                <w:shd w:val="clear" w:color="auto" w:fill="FFFFFF"/>
              </w:rPr>
              <w:t>(二)规范执法检查流程</w:t>
            </w:r>
          </w:p>
          <w:p>
            <w:pPr>
              <w:widowControl/>
              <w:spacing w:line="514" w:lineRule="atLeast"/>
              <w:ind w:firstLine="640"/>
              <w:jc w:val="left"/>
              <w:rPr>
                <w:rFonts w:ascii="宋体" w:hAnsi="宋体" w:eastAsia="宋体" w:cs="宋体"/>
                <w:kern w:val="0"/>
                <w:sz w:val="24"/>
                <w:szCs w:val="24"/>
              </w:rPr>
            </w:pPr>
            <w:r>
              <w:rPr>
                <w:rFonts w:hint="eastAsia" w:ascii="仿宋_GB2312" w:hAnsi="宋体" w:eastAsia="仿宋_GB2312" w:cs="宋体"/>
                <w:color w:val="000000"/>
                <w:kern w:val="0"/>
                <w:sz w:val="32"/>
                <w:szCs w:val="32"/>
                <w:shd w:val="clear" w:color="auto" w:fill="FFFFFF"/>
              </w:rPr>
              <w:t>⒈合理确定抽查比例。各科室、下属事业单位根据相关规定确定抽查比例，没有抽查比例确定依据的，自行合理制定抽查计划并报分管局领导审定后实施。对存在环境违法问题和环境管理问题的监管对象，应适度提高抽查比例。</w:t>
            </w:r>
          </w:p>
          <w:p>
            <w:pPr>
              <w:widowControl/>
              <w:spacing w:line="514" w:lineRule="atLeast"/>
              <w:ind w:firstLine="640"/>
              <w:jc w:val="left"/>
              <w:rPr>
                <w:rFonts w:ascii="宋体" w:hAnsi="宋体" w:eastAsia="宋体" w:cs="宋体"/>
                <w:kern w:val="0"/>
                <w:sz w:val="24"/>
                <w:szCs w:val="24"/>
              </w:rPr>
            </w:pPr>
            <w:r>
              <w:rPr>
                <w:rFonts w:hint="eastAsia" w:ascii="仿宋_GB2312" w:hAnsi="宋体" w:eastAsia="仿宋_GB2312" w:cs="宋体"/>
                <w:color w:val="000000"/>
                <w:kern w:val="0"/>
                <w:sz w:val="32"/>
                <w:szCs w:val="32"/>
                <w:shd w:val="clear" w:color="auto" w:fill="FFFFFF"/>
              </w:rPr>
              <w:t>⒉开展“双随机”抽查。采用摇号等方式从日常监管动态信息库和检查人员名录库随机抽取检查对象和执法检查人员，做到全程留痕。</w:t>
            </w:r>
          </w:p>
          <w:p>
            <w:pPr>
              <w:widowControl/>
              <w:spacing w:line="514" w:lineRule="atLeast"/>
              <w:ind w:firstLine="640"/>
              <w:jc w:val="left"/>
              <w:rPr>
                <w:rFonts w:ascii="宋体" w:hAnsi="宋体" w:eastAsia="宋体" w:cs="宋体"/>
                <w:kern w:val="0"/>
                <w:sz w:val="24"/>
                <w:szCs w:val="24"/>
              </w:rPr>
            </w:pPr>
            <w:r>
              <w:rPr>
                <w:rFonts w:hint="eastAsia" w:ascii="仿宋_GB2312" w:hAnsi="宋体" w:eastAsia="仿宋_GB2312" w:cs="宋体"/>
                <w:color w:val="000000"/>
                <w:kern w:val="0"/>
                <w:sz w:val="32"/>
                <w:szCs w:val="32"/>
                <w:shd w:val="clear" w:color="auto" w:fill="FFFFFF"/>
              </w:rPr>
              <w:t>⒊依法处罚。对随机抽查发现的环境违法行为，发现一起，查处一起，依法处理处罚。　　</w:t>
            </w:r>
          </w:p>
          <w:p>
            <w:pPr>
              <w:widowControl/>
              <w:spacing w:line="514" w:lineRule="atLeast"/>
              <w:ind w:firstLine="640"/>
              <w:jc w:val="left"/>
              <w:rPr>
                <w:rFonts w:ascii="宋体" w:hAnsi="宋体" w:eastAsia="宋体" w:cs="宋体"/>
                <w:kern w:val="0"/>
                <w:sz w:val="24"/>
                <w:szCs w:val="24"/>
              </w:rPr>
            </w:pPr>
            <w:r>
              <w:rPr>
                <w:rFonts w:hint="eastAsia" w:ascii="仿宋_GB2312" w:hAnsi="宋体" w:eastAsia="仿宋_GB2312" w:cs="宋体"/>
                <w:color w:val="000000"/>
                <w:kern w:val="0"/>
                <w:sz w:val="32"/>
                <w:szCs w:val="32"/>
                <w:shd w:val="clear" w:color="auto" w:fill="FFFFFF"/>
              </w:rPr>
              <w:t>⒋及时公开抽查及处理结果。将随机抽查查处结果及时向社会公开，接受社会监督。</w:t>
            </w:r>
          </w:p>
          <w:p>
            <w:pPr>
              <w:widowControl/>
              <w:spacing w:line="514" w:lineRule="atLeast"/>
              <w:ind w:firstLine="640"/>
              <w:jc w:val="left"/>
              <w:rPr>
                <w:rFonts w:ascii="宋体" w:hAnsi="宋体" w:eastAsia="宋体" w:cs="宋体"/>
                <w:kern w:val="0"/>
                <w:sz w:val="24"/>
                <w:szCs w:val="24"/>
              </w:rPr>
            </w:pPr>
            <w:r>
              <w:rPr>
                <w:rFonts w:hint="eastAsia" w:ascii="仿宋_GB2312" w:hAnsi="宋体" w:eastAsia="仿宋_GB2312" w:cs="宋体"/>
                <w:color w:val="000000"/>
                <w:kern w:val="0"/>
                <w:sz w:val="32"/>
                <w:szCs w:val="32"/>
                <w:shd w:val="clear" w:color="auto" w:fill="FFFFFF"/>
              </w:rPr>
              <w:t>三、工作要求</w:t>
            </w:r>
          </w:p>
          <w:p>
            <w:pPr>
              <w:widowControl/>
              <w:spacing w:line="514" w:lineRule="atLeast"/>
              <w:ind w:firstLine="640"/>
              <w:jc w:val="left"/>
              <w:rPr>
                <w:rFonts w:ascii="宋体" w:hAnsi="宋体" w:eastAsia="宋体" w:cs="宋体"/>
                <w:kern w:val="0"/>
                <w:sz w:val="24"/>
                <w:szCs w:val="24"/>
              </w:rPr>
            </w:pPr>
            <w:r>
              <w:rPr>
                <w:rFonts w:hint="eastAsia" w:ascii="仿宋_GB2312" w:hAnsi="宋体" w:eastAsia="仿宋_GB2312" w:cs="宋体"/>
                <w:color w:val="000000"/>
                <w:kern w:val="0"/>
                <w:sz w:val="32"/>
                <w:szCs w:val="32"/>
                <w:shd w:val="clear" w:color="auto" w:fill="FFFFFF"/>
              </w:rPr>
              <w:t>(一)全程留痕制度</w:t>
            </w:r>
          </w:p>
          <w:p>
            <w:pPr>
              <w:widowControl/>
              <w:spacing w:line="514" w:lineRule="atLeast"/>
              <w:ind w:firstLine="640"/>
              <w:jc w:val="left"/>
              <w:rPr>
                <w:rFonts w:ascii="宋体" w:hAnsi="宋体" w:eastAsia="宋体" w:cs="宋体"/>
                <w:kern w:val="0"/>
                <w:sz w:val="24"/>
                <w:szCs w:val="24"/>
              </w:rPr>
            </w:pPr>
            <w:r>
              <w:rPr>
                <w:rFonts w:hint="eastAsia" w:ascii="仿宋_GB2312" w:hAnsi="宋体" w:eastAsia="仿宋_GB2312" w:cs="宋体"/>
                <w:color w:val="000000"/>
                <w:kern w:val="0"/>
                <w:sz w:val="32"/>
                <w:szCs w:val="32"/>
                <w:shd w:val="clear" w:color="auto" w:fill="FFFFFF"/>
              </w:rPr>
              <w:t>开展随机抽查工作时，应严格遵照相关工作制度、工作程序，对列入随机抽查名单中的监管对象进行现场抽查,按照《山东省污染源现场检查工作指南》(鲁环办[2014]45号)</w:t>
            </w:r>
            <w:r>
              <w:rPr>
                <w:rFonts w:hint="eastAsia" w:ascii="仿宋" w:hAnsi="仿宋" w:eastAsia="仿宋" w:cs="宋体"/>
                <w:kern w:val="0"/>
                <w:sz w:val="32"/>
                <w:szCs w:val="32"/>
              </w:rPr>
              <w:t>要求制作《污染源现场监察记录表》。</w:t>
            </w:r>
          </w:p>
          <w:p>
            <w:pPr>
              <w:widowControl/>
              <w:spacing w:line="600" w:lineRule="atLeast"/>
              <w:ind w:firstLine="643"/>
              <w:jc w:val="left"/>
              <w:rPr>
                <w:rFonts w:ascii="宋体" w:hAnsi="宋体" w:eastAsia="宋体" w:cs="宋体"/>
                <w:kern w:val="0"/>
                <w:sz w:val="24"/>
                <w:szCs w:val="24"/>
              </w:rPr>
            </w:pPr>
            <w:r>
              <w:rPr>
                <w:rFonts w:hint="eastAsia" w:ascii="楷体" w:hAnsi="楷体" w:eastAsia="楷体" w:cs="宋体"/>
                <w:kern w:val="0"/>
                <w:sz w:val="32"/>
                <w:szCs w:val="32"/>
              </w:rPr>
              <w:t>(二)依法查处制度</w:t>
            </w:r>
          </w:p>
          <w:p>
            <w:pPr>
              <w:widowControl/>
              <w:spacing w:line="600" w:lineRule="atLeast"/>
              <w:ind w:firstLine="640"/>
              <w:jc w:val="left"/>
              <w:rPr>
                <w:rFonts w:ascii="宋体" w:hAnsi="宋体" w:eastAsia="宋体" w:cs="宋体"/>
                <w:kern w:val="0"/>
                <w:sz w:val="24"/>
                <w:szCs w:val="24"/>
              </w:rPr>
            </w:pPr>
            <w:r>
              <w:rPr>
                <w:rFonts w:hint="eastAsia" w:ascii="仿宋" w:hAnsi="仿宋" w:eastAsia="仿宋" w:cs="宋体"/>
                <w:kern w:val="0"/>
                <w:sz w:val="32"/>
                <w:szCs w:val="32"/>
              </w:rPr>
              <w:t>对市级随机抽查工作中发现的环境违法行为，下发督办单,由市</w:t>
            </w:r>
            <w:r>
              <w:rPr>
                <w:rFonts w:hint="eastAsia" w:ascii="仿宋" w:hAnsi="仿宋" w:eastAsia="仿宋" w:cs="宋体"/>
                <w:kern w:val="0"/>
                <w:sz w:val="32"/>
                <w:szCs w:val="32"/>
                <w:lang w:val="en-US" w:eastAsia="zh-CN"/>
              </w:rPr>
              <w:t>生态环境</w:t>
            </w:r>
            <w:r>
              <w:rPr>
                <w:rFonts w:hint="eastAsia" w:ascii="仿宋" w:hAnsi="仿宋" w:eastAsia="仿宋" w:cs="宋体"/>
                <w:kern w:val="0"/>
                <w:sz w:val="32"/>
                <w:szCs w:val="32"/>
              </w:rPr>
              <w:t>部门依法处理处罚,符合移交条件的,要及时移交公安机关依法处理。市</w:t>
            </w:r>
            <w:r>
              <w:rPr>
                <w:rFonts w:hint="eastAsia" w:ascii="仿宋" w:hAnsi="仿宋" w:eastAsia="仿宋" w:cs="宋体"/>
                <w:kern w:val="0"/>
                <w:sz w:val="32"/>
                <w:szCs w:val="32"/>
                <w:lang w:val="en-US" w:eastAsia="zh-CN"/>
              </w:rPr>
              <w:t>生态环境</w:t>
            </w:r>
            <w:r>
              <w:rPr>
                <w:rFonts w:hint="eastAsia" w:ascii="仿宋" w:hAnsi="仿宋" w:eastAsia="仿宋" w:cs="宋体"/>
                <w:kern w:val="0"/>
                <w:sz w:val="32"/>
                <w:szCs w:val="32"/>
              </w:rPr>
              <w:t>局将对处理处罚情况进行动态跟踪,对处理处罚不及时、不到位的环境违法行为,将按有关规定进行处理。</w:t>
            </w:r>
          </w:p>
          <w:p>
            <w:pPr>
              <w:widowControl/>
              <w:spacing w:line="600" w:lineRule="atLeast"/>
              <w:ind w:firstLine="643"/>
              <w:jc w:val="left"/>
              <w:rPr>
                <w:rFonts w:ascii="宋体" w:hAnsi="宋体" w:eastAsia="宋体" w:cs="宋体"/>
                <w:kern w:val="0"/>
                <w:sz w:val="24"/>
                <w:szCs w:val="24"/>
              </w:rPr>
            </w:pPr>
            <w:r>
              <w:rPr>
                <w:rFonts w:hint="eastAsia" w:ascii="楷体" w:hAnsi="楷体" w:eastAsia="楷体" w:cs="宋体"/>
                <w:kern w:val="0"/>
                <w:sz w:val="32"/>
                <w:szCs w:val="32"/>
              </w:rPr>
              <w:t>(三)廉政保密制度</w:t>
            </w:r>
          </w:p>
          <w:p>
            <w:pPr>
              <w:widowControl/>
              <w:spacing w:line="600" w:lineRule="atLeast"/>
              <w:ind w:firstLine="640"/>
              <w:jc w:val="left"/>
              <w:rPr>
                <w:rFonts w:ascii="宋体" w:hAnsi="宋体" w:eastAsia="宋体" w:cs="宋体"/>
                <w:kern w:val="0"/>
                <w:sz w:val="24"/>
                <w:szCs w:val="24"/>
              </w:rPr>
            </w:pPr>
            <w:r>
              <w:rPr>
                <w:rFonts w:hint="eastAsia" w:ascii="仿宋" w:hAnsi="仿宋" w:eastAsia="仿宋" w:cs="宋体"/>
                <w:kern w:val="0"/>
                <w:sz w:val="32"/>
                <w:szCs w:val="32"/>
              </w:rPr>
              <w:t>环境执法人员开展随机抽查工作,要按照《环境执法人员行为规范》做好廉政和保密工作,随机抽查名单一经确定,不得随意变更;不得接受被抽查企业的财物和宴请;不得向被抽查企业通风报信，对查处的问题不掩盖、不袒护、不虚报,坚决杜绝失密泄密、滥用职权、玩忽职守、徇私舞弊等违法违纪行为发生。</w:t>
            </w:r>
          </w:p>
          <w:p>
            <w:pPr>
              <w:widowControl/>
              <w:spacing w:line="600" w:lineRule="atLeast"/>
              <w:ind w:firstLine="643"/>
              <w:jc w:val="left"/>
              <w:rPr>
                <w:rFonts w:ascii="宋体" w:hAnsi="宋体" w:eastAsia="宋体" w:cs="宋体"/>
                <w:kern w:val="0"/>
                <w:sz w:val="24"/>
                <w:szCs w:val="24"/>
              </w:rPr>
            </w:pPr>
            <w:r>
              <w:rPr>
                <w:rFonts w:hint="eastAsia" w:ascii="楷体" w:hAnsi="楷体" w:eastAsia="楷体" w:cs="宋体"/>
                <w:kern w:val="0"/>
                <w:sz w:val="32"/>
                <w:szCs w:val="32"/>
              </w:rPr>
              <w:t>(四)执法联动制度</w:t>
            </w:r>
          </w:p>
          <w:p>
            <w:pPr>
              <w:widowControl/>
              <w:spacing w:line="600" w:lineRule="atLeast"/>
              <w:ind w:firstLine="640"/>
              <w:jc w:val="left"/>
              <w:rPr>
                <w:rFonts w:ascii="宋体" w:hAnsi="宋体" w:eastAsia="宋体" w:cs="宋体"/>
                <w:kern w:val="0"/>
                <w:sz w:val="24"/>
                <w:szCs w:val="24"/>
              </w:rPr>
            </w:pPr>
            <w:r>
              <w:rPr>
                <w:rFonts w:hint="eastAsia" w:ascii="仿宋" w:hAnsi="仿宋" w:eastAsia="仿宋" w:cs="宋体"/>
                <w:kern w:val="0"/>
                <w:sz w:val="32"/>
                <w:szCs w:val="32"/>
              </w:rPr>
              <w:t>开展抽查工作时,可以实施部门联动，重点加强与公安部门配合，严厉打击涉嫌环境犯罪行为；加强内部科室联动，石岛</w:t>
            </w:r>
            <w:r>
              <w:rPr>
                <w:rFonts w:hint="eastAsia" w:ascii="仿宋" w:hAnsi="仿宋" w:eastAsia="仿宋" w:cs="宋体"/>
                <w:kern w:val="0"/>
                <w:sz w:val="32"/>
                <w:szCs w:val="32"/>
                <w:lang w:val="en-US" w:eastAsia="zh-CN"/>
              </w:rPr>
              <w:t>服务中心</w:t>
            </w:r>
            <w:r>
              <w:rPr>
                <w:rFonts w:hint="eastAsia" w:ascii="仿宋" w:hAnsi="仿宋" w:eastAsia="仿宋" w:cs="宋体"/>
                <w:kern w:val="0"/>
                <w:sz w:val="32"/>
                <w:szCs w:val="32"/>
              </w:rPr>
              <w:t>、好运角</w:t>
            </w:r>
            <w:r>
              <w:rPr>
                <w:rFonts w:hint="eastAsia" w:ascii="仿宋" w:hAnsi="仿宋" w:eastAsia="仿宋" w:cs="宋体"/>
                <w:kern w:val="0"/>
                <w:sz w:val="32"/>
                <w:szCs w:val="32"/>
                <w:lang w:val="en-US" w:eastAsia="zh-CN"/>
              </w:rPr>
              <w:t>服务中心</w:t>
            </w:r>
            <w:r>
              <w:rPr>
                <w:rFonts w:hint="eastAsia" w:ascii="仿宋" w:hAnsi="仿宋" w:eastAsia="仿宋" w:cs="宋体"/>
                <w:kern w:val="0"/>
                <w:sz w:val="32"/>
                <w:szCs w:val="32"/>
              </w:rPr>
              <w:t>、总量、管理、</w:t>
            </w:r>
            <w:r>
              <w:rPr>
                <w:rFonts w:hint="eastAsia" w:ascii="仿宋" w:hAnsi="仿宋" w:eastAsia="仿宋" w:cs="宋体"/>
                <w:kern w:val="0"/>
                <w:sz w:val="32"/>
                <w:szCs w:val="32"/>
                <w:lang w:val="en-US" w:eastAsia="zh-CN"/>
              </w:rPr>
              <w:t>执法大队</w:t>
            </w:r>
            <w:r>
              <w:rPr>
                <w:rFonts w:hint="eastAsia" w:ascii="仿宋" w:hAnsi="仿宋" w:eastAsia="仿宋" w:cs="宋体"/>
                <w:kern w:val="0"/>
                <w:sz w:val="32"/>
                <w:szCs w:val="32"/>
              </w:rPr>
              <w:t>、监</w:t>
            </w:r>
            <w:r>
              <w:rPr>
                <w:rFonts w:hint="eastAsia" w:ascii="仿宋" w:hAnsi="仿宋" w:eastAsia="仿宋" w:cs="宋体"/>
                <w:kern w:val="0"/>
                <w:sz w:val="32"/>
                <w:szCs w:val="32"/>
                <w:lang w:val="en-US" w:eastAsia="zh-CN"/>
              </w:rPr>
              <w:t>控中心</w:t>
            </w:r>
            <w:r>
              <w:rPr>
                <w:rFonts w:hint="eastAsia" w:ascii="仿宋" w:hAnsi="仿宋" w:eastAsia="仿宋" w:cs="宋体"/>
                <w:kern w:val="0"/>
                <w:sz w:val="32"/>
                <w:szCs w:val="32"/>
              </w:rPr>
              <w:t>、生态、法宣等科室可以采取联动执法的方式开展随机抽查；加强与新闻媒体等单位的密切合作，对先进典型予以宣传报道，对严重环境违法违规行为予以曝光。</w:t>
            </w:r>
          </w:p>
          <w:p>
            <w:pPr>
              <w:widowControl/>
              <w:spacing w:line="600" w:lineRule="atLeast"/>
              <w:ind w:firstLine="643"/>
              <w:jc w:val="left"/>
              <w:rPr>
                <w:rFonts w:ascii="宋体" w:hAnsi="宋体" w:eastAsia="宋体" w:cs="宋体"/>
                <w:kern w:val="0"/>
                <w:sz w:val="24"/>
                <w:szCs w:val="24"/>
              </w:rPr>
            </w:pPr>
            <w:r>
              <w:rPr>
                <w:rFonts w:hint="eastAsia" w:ascii="楷体" w:hAnsi="楷体" w:eastAsia="楷体" w:cs="宋体"/>
                <w:kern w:val="0"/>
                <w:sz w:val="32"/>
                <w:szCs w:val="32"/>
              </w:rPr>
              <w:t>(五)定期报告制度</w:t>
            </w:r>
          </w:p>
          <w:p>
            <w:pPr>
              <w:widowControl/>
              <w:shd w:val="clear" w:color="auto" w:fill="FFFFFF"/>
              <w:spacing w:line="560" w:lineRule="atLeast"/>
              <w:ind w:firstLine="640"/>
              <w:rPr>
                <w:rFonts w:ascii="微软雅黑" w:hAnsi="微软雅黑" w:eastAsia="微软雅黑" w:cs="宋体"/>
                <w:kern w:val="0"/>
                <w:sz w:val="29"/>
                <w:szCs w:val="29"/>
              </w:rPr>
            </w:pPr>
            <w:r>
              <w:rPr>
                <w:rFonts w:hint="eastAsia" w:ascii="仿宋" w:hAnsi="仿宋" w:eastAsia="仿宋" w:cs="宋体"/>
                <w:kern w:val="0"/>
                <w:sz w:val="32"/>
                <w:szCs w:val="32"/>
              </w:rPr>
              <w:t>要按相关要求对随机抽查工作进行总结,按时上报相关材料。</w:t>
            </w:r>
          </w:p>
          <w:p>
            <w:pPr>
              <w:widowControl/>
              <w:shd w:val="clear" w:color="auto" w:fill="FFFFFF"/>
              <w:spacing w:line="560" w:lineRule="atLeast"/>
              <w:ind w:firstLine="640"/>
              <w:rPr>
                <w:rFonts w:hint="eastAsia" w:ascii="微软雅黑" w:hAnsi="微软雅黑" w:eastAsia="微软雅黑" w:cs="宋体"/>
                <w:kern w:val="0"/>
                <w:sz w:val="29"/>
                <w:szCs w:val="29"/>
              </w:rPr>
            </w:pPr>
            <w:r>
              <w:rPr>
                <w:rFonts w:hint="eastAsia" w:ascii="黑体" w:hAnsi="黑体" w:eastAsia="黑体" w:cs="宋体"/>
                <w:kern w:val="0"/>
                <w:sz w:val="32"/>
                <w:szCs w:val="32"/>
              </w:rPr>
              <w:t>四、保障措施</w:t>
            </w:r>
          </w:p>
          <w:p>
            <w:pPr>
              <w:widowControl/>
              <w:spacing w:line="600" w:lineRule="atLeast"/>
              <w:ind w:firstLine="643"/>
              <w:jc w:val="left"/>
              <w:rPr>
                <w:rFonts w:hint="eastAsia" w:ascii="宋体" w:hAnsi="宋体" w:eastAsia="宋体" w:cs="宋体"/>
                <w:kern w:val="0"/>
                <w:sz w:val="24"/>
                <w:szCs w:val="24"/>
              </w:rPr>
            </w:pPr>
            <w:r>
              <w:rPr>
                <w:rFonts w:hint="eastAsia" w:ascii="楷体" w:hAnsi="楷体" w:eastAsia="楷体" w:cs="宋体"/>
                <w:kern w:val="0"/>
                <w:sz w:val="32"/>
                <w:szCs w:val="32"/>
              </w:rPr>
              <w:t>(一)加强组织领导,严格落实责任</w:t>
            </w:r>
          </w:p>
          <w:p>
            <w:pPr>
              <w:widowControl/>
              <w:spacing w:line="600" w:lineRule="atLeast"/>
              <w:ind w:firstLine="640"/>
              <w:jc w:val="left"/>
              <w:rPr>
                <w:rFonts w:ascii="宋体" w:hAnsi="宋体" w:eastAsia="宋体" w:cs="宋体"/>
                <w:kern w:val="0"/>
                <w:sz w:val="24"/>
                <w:szCs w:val="24"/>
              </w:rPr>
            </w:pPr>
            <w:r>
              <w:rPr>
                <w:rFonts w:hint="eastAsia" w:ascii="仿宋" w:hAnsi="仿宋" w:eastAsia="仿宋" w:cs="宋体"/>
                <w:kern w:val="0"/>
                <w:sz w:val="32"/>
                <w:szCs w:val="32"/>
              </w:rPr>
              <w:t>市局各部门要充分认识随机抽查工作的重要性和紧迫性,统一思想认识,加强组织领导,服从统一调度，明确抽查工作任务和责任。各相关科室要密切配合，加强协作，确保随机抽查制度落实到位。</w:t>
            </w:r>
          </w:p>
          <w:p>
            <w:pPr>
              <w:widowControl/>
              <w:spacing w:line="600" w:lineRule="atLeast"/>
              <w:ind w:firstLine="643"/>
              <w:jc w:val="left"/>
              <w:rPr>
                <w:rFonts w:ascii="宋体" w:hAnsi="宋体" w:eastAsia="宋体" w:cs="宋体"/>
                <w:kern w:val="0"/>
                <w:sz w:val="24"/>
                <w:szCs w:val="24"/>
              </w:rPr>
            </w:pPr>
            <w:r>
              <w:rPr>
                <w:rFonts w:hint="eastAsia" w:ascii="楷体" w:hAnsi="楷体" w:eastAsia="楷体" w:cs="宋体"/>
                <w:kern w:val="0"/>
                <w:sz w:val="32"/>
                <w:szCs w:val="32"/>
              </w:rPr>
              <w:t>(二)加强宣传教育,营造良好氛围</w:t>
            </w:r>
          </w:p>
          <w:p>
            <w:pPr>
              <w:widowControl/>
              <w:spacing w:line="600" w:lineRule="atLeast"/>
              <w:ind w:firstLine="640"/>
              <w:jc w:val="left"/>
              <w:rPr>
                <w:rFonts w:ascii="宋体" w:hAnsi="宋体" w:eastAsia="宋体" w:cs="宋体"/>
                <w:kern w:val="0"/>
                <w:sz w:val="24"/>
                <w:szCs w:val="24"/>
              </w:rPr>
            </w:pPr>
            <w:r>
              <w:rPr>
                <w:rFonts w:hint="eastAsia" w:ascii="仿宋" w:hAnsi="仿宋" w:eastAsia="仿宋" w:cs="宋体"/>
                <w:kern w:val="0"/>
                <w:sz w:val="32"/>
                <w:szCs w:val="32"/>
                <w:lang w:val="en-US" w:eastAsia="zh-CN"/>
              </w:rPr>
              <w:t>分</w:t>
            </w:r>
            <w:r>
              <w:rPr>
                <w:rFonts w:hint="eastAsia" w:ascii="仿宋" w:hAnsi="仿宋" w:eastAsia="仿宋" w:cs="宋体"/>
                <w:kern w:val="0"/>
                <w:sz w:val="32"/>
                <w:szCs w:val="32"/>
              </w:rPr>
              <w:t>局法宣科及相关职能科室要充分利用报刊、广播、电视、网络、政务微博、微信等媒体,广泛宣传污染源日常环境监管随机抽查制度和法律法规政策，进一步提高公众对环境监管重要性的认识。同时对随机抽查发现的典型环境污染案件,主动在媒体上进行宣传报道和曝光，在全社会营造打击环境违法行为的强大声势。</w:t>
            </w:r>
          </w:p>
          <w:p>
            <w:pPr>
              <w:widowControl/>
              <w:spacing w:line="600" w:lineRule="atLeast"/>
              <w:ind w:firstLine="643"/>
              <w:jc w:val="left"/>
              <w:rPr>
                <w:rFonts w:ascii="宋体" w:hAnsi="宋体" w:eastAsia="宋体" w:cs="宋体"/>
                <w:kern w:val="0"/>
                <w:sz w:val="24"/>
                <w:szCs w:val="24"/>
              </w:rPr>
            </w:pPr>
            <w:r>
              <w:rPr>
                <w:rFonts w:hint="eastAsia" w:ascii="楷体" w:hAnsi="楷体" w:eastAsia="楷体" w:cs="宋体"/>
                <w:kern w:val="0"/>
                <w:sz w:val="32"/>
                <w:szCs w:val="32"/>
              </w:rPr>
              <w:t>(三)加强工作督导,开展监督稽查</w:t>
            </w:r>
          </w:p>
          <w:p>
            <w:pPr>
              <w:widowControl/>
              <w:shd w:val="clear" w:color="auto" w:fill="FFFFFF"/>
              <w:spacing w:line="560" w:lineRule="atLeast"/>
              <w:ind w:firstLine="630"/>
              <w:jc w:val="left"/>
              <w:rPr>
                <w:rFonts w:ascii="宋体" w:hAnsi="宋体" w:eastAsia="宋体" w:cs="宋体"/>
                <w:kern w:val="0"/>
                <w:sz w:val="24"/>
                <w:szCs w:val="24"/>
              </w:rPr>
            </w:pPr>
            <w:r>
              <w:rPr>
                <w:rFonts w:hint="eastAsia" w:ascii="仿宋" w:hAnsi="仿宋" w:eastAsia="仿宋" w:cs="宋体"/>
                <w:kern w:val="0"/>
                <w:sz w:val="32"/>
                <w:szCs w:val="32"/>
                <w:lang w:val="en-US" w:eastAsia="zh-CN"/>
              </w:rPr>
              <w:t>威海市生态环境局荣分局</w:t>
            </w:r>
            <w:r>
              <w:rPr>
                <w:rFonts w:hint="eastAsia" w:ascii="仿宋" w:hAnsi="仿宋" w:eastAsia="仿宋" w:cs="宋体"/>
                <w:kern w:val="0"/>
                <w:sz w:val="32"/>
                <w:szCs w:val="32"/>
              </w:rPr>
              <w:t>负责对各部门环境监管随机抽查工作进行督导，对未能认真履行职责或随机抽查工作开展不力的部门,实行公开通报或行政约谈;对抽查工作中失职渎职、徇私舞弊的人员,依法追究相关责任;对抽查工作落实过程中存在的问题,及时予以协调解决,确保随机抽查工作的各项制度落到实处。</w:t>
            </w: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2010609030101010101"/>
    <w:charset w:val="86"/>
    <w:family w:val="roma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4A5B"/>
    <w:rsid w:val="002B4A5B"/>
    <w:rsid w:val="00CE2CD7"/>
    <w:rsid w:val="347A1FDF"/>
    <w:rsid w:val="54C72F13"/>
    <w:rsid w:val="60695A08"/>
    <w:rsid w:val="615B579D"/>
    <w:rsid w:val="68582A2D"/>
    <w:rsid w:val="6AA50C0B"/>
    <w:rsid w:val="703548E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nhideWhenUsed="0"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4"/>
    <w:basedOn w:val="1"/>
    <w:next w:val="1"/>
    <w:link w:val="7"/>
    <w:qFormat/>
    <w:uiPriority w:val="9"/>
    <w:pPr>
      <w:widowControl/>
      <w:spacing w:before="100" w:beforeAutospacing="1" w:after="100" w:afterAutospacing="1"/>
      <w:jc w:val="left"/>
      <w:outlineLvl w:val="3"/>
    </w:pPr>
    <w:rPr>
      <w:rFonts w:ascii="宋体" w:hAnsi="宋体" w:eastAsia="宋体" w:cs="宋体"/>
      <w:b/>
      <w:bCs/>
      <w:kern w:val="0"/>
      <w:sz w:val="24"/>
      <w:szCs w:val="24"/>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3">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styleId="6">
    <w:name w:val="Strong"/>
    <w:basedOn w:val="5"/>
    <w:qFormat/>
    <w:uiPriority w:val="22"/>
    <w:rPr>
      <w:b/>
    </w:rPr>
  </w:style>
  <w:style w:type="character" w:customStyle="1" w:styleId="7">
    <w:name w:val="标题 4 Char"/>
    <w:basedOn w:val="5"/>
    <w:link w:val="2"/>
    <w:qFormat/>
    <w:uiPriority w:val="9"/>
    <w:rPr>
      <w:rFonts w:ascii="宋体" w:hAnsi="宋体" w:eastAsia="宋体" w:cs="宋体"/>
      <w:b/>
      <w:bCs/>
      <w:kern w:val="0"/>
      <w:sz w:val="24"/>
      <w:szCs w:val="24"/>
    </w:rPr>
  </w:style>
  <w:style w:type="character" w:customStyle="1" w:styleId="8">
    <w:name w:val="apple-converted-space"/>
    <w:basedOn w:val="5"/>
    <w:qFormat/>
    <w:uiPriority w:val="0"/>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Pages>
  <Words>686</Words>
  <Characters>3916</Characters>
  <Lines>32</Lines>
  <Paragraphs>9</Paragraphs>
  <TotalTime>48</TotalTime>
  <ScaleCrop>false</ScaleCrop>
  <LinksUpToDate>false</LinksUpToDate>
  <CharactersWithSpaces>4593</CharactersWithSpaces>
  <Application>WPS Office_11.8.6.11825_F1E327BC-269C-435d-A152-05C5408002CA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2018-06-28T08:52:00Z</dcterms:created>
  <dc:creator>DELL</dc:creator>
  <cp:lastModifiedBy>蔡杰</cp:lastModifiedBy>
  <dcterms:modified xsi:type="dcterms:W3CDTF">2023-11-07T07:29:55Z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2052-11.8.6.11825</vt:lpwstr>
  </property>
  <property fmtid="{D5CDD505-2E9C-101B-9397-08002B2CF9AE}" pid="3" name="ICV">
    <vt:lpwstr>61BEA4995647498D983FA3A38C488D36</vt:lpwstr>
  </property>
</Properties>
</file>