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center"/>
        <w:rPr>
          <w:rFonts w:hint="eastAsia" w:ascii="宋体" w:hAnsi="宋体" w:eastAsia="方正小标宋简体" w:cs="方正小标宋简体"/>
          <w:color w:val="000000"/>
          <w:kern w:val="0"/>
          <w:sz w:val="44"/>
          <w:szCs w:val="44"/>
        </w:rPr>
      </w:pPr>
      <w:r>
        <w:rPr>
          <w:rFonts w:hint="eastAsia" w:ascii="宋体" w:hAnsi="宋体" w:eastAsia="方正小标宋简体" w:cs="方正小标宋简体"/>
          <w:color w:val="000000"/>
          <w:kern w:val="0"/>
          <w:sz w:val="44"/>
          <w:szCs w:val="44"/>
        </w:rPr>
        <w:t>现代果园有机质提升激励资金申报细则</w:t>
      </w:r>
    </w:p>
    <w:p>
      <w:pPr>
        <w:spacing w:line="560" w:lineRule="exact"/>
        <w:rPr>
          <w:rFonts w:hint="eastAsia" w:ascii="宋体" w:hAnsi="宋体" w:eastAsia="仿宋_GB2312" w:cs="仿宋_GB2312"/>
          <w:kern w:val="0"/>
          <w:sz w:val="32"/>
          <w:szCs w:val="32"/>
        </w:rPr>
      </w:pP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黑体" w:cs="黑体"/>
          <w:color w:val="000000"/>
          <w:sz w:val="32"/>
          <w:szCs w:val="32"/>
        </w:rPr>
      </w:pPr>
      <w:r>
        <w:rPr>
          <w:rFonts w:eastAsia="黑体" w:cs="黑体"/>
          <w:color w:val="000000"/>
          <w:sz w:val="32"/>
          <w:szCs w:val="32"/>
        </w:rPr>
        <w:t>一、补贴标准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仿宋_GB2312" w:cs="仿宋_GB2312"/>
          <w:color w:val="000000"/>
          <w:sz w:val="32"/>
          <w:szCs w:val="32"/>
        </w:rPr>
      </w:pPr>
      <w:r>
        <w:rPr>
          <w:rFonts w:eastAsia="仿宋_GB2312" w:cs="仿宋_GB2312"/>
          <w:color w:val="000000"/>
          <w:sz w:val="32"/>
          <w:szCs w:val="32"/>
        </w:rPr>
        <w:t>推进现代果园有机质提升，以种植规模200亩以上园区为重点，对当年有机肥施用量达到5立方米/亩以上，且果园土壤有机质含量达到15g/kg以上的示范园区，择优确定10个，每个给予不超过20万元补助。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黑体" w:cs="黑体"/>
          <w:color w:val="000000"/>
          <w:sz w:val="32"/>
          <w:szCs w:val="32"/>
        </w:rPr>
      </w:pPr>
      <w:r>
        <w:rPr>
          <w:rFonts w:eastAsia="黑体" w:cs="黑体"/>
          <w:color w:val="000000"/>
          <w:sz w:val="32"/>
          <w:szCs w:val="32"/>
        </w:rPr>
        <w:t>二、申报条件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仿宋_GB2312" w:cs="仿宋_GB2312"/>
          <w:color w:val="000000"/>
          <w:sz w:val="32"/>
          <w:szCs w:val="32"/>
        </w:rPr>
      </w:pPr>
      <w:r>
        <w:rPr>
          <w:rFonts w:eastAsia="仿宋_GB2312" w:cs="仿宋_GB2312"/>
          <w:color w:val="000000"/>
          <w:sz w:val="32"/>
          <w:szCs w:val="32"/>
        </w:rPr>
        <w:t>1.具有独立法人资格，种植规模200亩及以上，采用矮化密植、水肥一体化等现代栽培模式的家庭农场、农民专业合作社、企业等现代果园生产主体。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仿宋_GB2312" w:cs="仿宋_GB2312"/>
          <w:color w:val="000000"/>
          <w:sz w:val="32"/>
          <w:szCs w:val="32"/>
        </w:rPr>
      </w:pPr>
      <w:r>
        <w:rPr>
          <w:rFonts w:eastAsia="仿宋_GB2312" w:cs="仿宋_GB2312"/>
          <w:color w:val="000000"/>
          <w:sz w:val="32"/>
          <w:szCs w:val="32"/>
        </w:rPr>
        <w:t>2.土地边界清晰，权属明确，有合法的使用权和经营权，证明文件齐全。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仿宋_GB2312" w:cs="仿宋_GB2312"/>
          <w:color w:val="000000"/>
          <w:sz w:val="32"/>
          <w:szCs w:val="32"/>
        </w:rPr>
      </w:pPr>
      <w:r>
        <w:rPr>
          <w:rFonts w:eastAsia="仿宋_GB2312" w:cs="仿宋_GB2312"/>
          <w:color w:val="000000"/>
          <w:sz w:val="32"/>
          <w:szCs w:val="32"/>
        </w:rPr>
        <w:t>3.生产运营采用投入品减量替代、田园生态系统建设、农业废弃物资源化利用、绿色健康种养殖等技术。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仿宋_GB2312" w:cs="仿宋_GB2312"/>
          <w:color w:val="000000"/>
          <w:sz w:val="32"/>
          <w:szCs w:val="32"/>
        </w:rPr>
      </w:pPr>
      <w:r>
        <w:rPr>
          <w:rFonts w:eastAsia="仿宋_GB2312" w:cs="仿宋_GB2312"/>
          <w:color w:val="000000"/>
          <w:sz w:val="32"/>
          <w:szCs w:val="32"/>
        </w:rPr>
        <w:t>4.农产品质量符合相应食品安全国家标准，近3年各级农产品质量安全监测结果未发现不合格。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仿宋_GB2312" w:cs="仿宋_GB2312"/>
          <w:color w:val="000000"/>
          <w:sz w:val="32"/>
          <w:szCs w:val="32"/>
        </w:rPr>
      </w:pPr>
      <w:r>
        <w:rPr>
          <w:rFonts w:eastAsia="仿宋_GB2312" w:cs="仿宋_GB2312"/>
          <w:color w:val="000000"/>
          <w:sz w:val="32"/>
          <w:szCs w:val="32"/>
        </w:rPr>
        <w:t>5.未有不配合或拒绝开展农产品质量安全监测行为。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仿宋_GB2312" w:cs="仿宋_GB2312"/>
          <w:color w:val="000000"/>
          <w:sz w:val="32"/>
          <w:szCs w:val="32"/>
        </w:rPr>
      </w:pPr>
      <w:r>
        <w:rPr>
          <w:rFonts w:eastAsia="仿宋_GB2312" w:cs="仿宋_GB2312"/>
          <w:color w:val="000000"/>
          <w:sz w:val="32"/>
          <w:szCs w:val="32"/>
        </w:rPr>
        <w:t>6.未发生过生态环境破坏事件和农产品质量安全事件。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仿宋_GB2312" w:cs="仿宋_GB2312"/>
          <w:color w:val="000000"/>
          <w:sz w:val="32"/>
          <w:szCs w:val="32"/>
        </w:rPr>
      </w:pPr>
      <w:r>
        <w:rPr>
          <w:rFonts w:eastAsia="仿宋_GB2312" w:cs="仿宋_GB2312"/>
          <w:color w:val="000000"/>
          <w:sz w:val="32"/>
          <w:szCs w:val="32"/>
        </w:rPr>
        <w:t>7.投入品购买、使用和生产管理操作记录完整，相关记录台账完善（至少保存两年）。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仿宋_GB2312" w:cs="仿宋_GB2312"/>
          <w:color w:val="000000"/>
          <w:sz w:val="32"/>
          <w:szCs w:val="32"/>
        </w:rPr>
      </w:pPr>
      <w:r>
        <w:rPr>
          <w:rFonts w:eastAsia="仿宋_GB2312" w:cs="仿宋_GB2312"/>
          <w:color w:val="000000"/>
          <w:sz w:val="32"/>
          <w:szCs w:val="32"/>
        </w:rPr>
        <w:t>8.有机肥施用量达到5立方米/亩及以上，所用有机肥需符合《有机肥料》（NY/T525-2021）等相关标准。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仿宋_GB2312" w:cs="仿宋_GB2312"/>
          <w:color w:val="000000"/>
          <w:sz w:val="32"/>
          <w:szCs w:val="32"/>
        </w:rPr>
      </w:pPr>
      <w:r>
        <w:rPr>
          <w:rFonts w:eastAsia="仿宋_GB2312" w:cs="仿宋_GB2312"/>
          <w:color w:val="000000"/>
          <w:sz w:val="32"/>
          <w:szCs w:val="32"/>
        </w:rPr>
        <w:t>9.果园土壤有机质含量达到15g/kg（即1.5%）以上。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仿宋_GB2312" w:cs="仿宋_GB2312"/>
          <w:color w:val="000000"/>
          <w:sz w:val="32"/>
          <w:szCs w:val="32"/>
        </w:rPr>
      </w:pPr>
      <w:r>
        <w:rPr>
          <w:rFonts w:eastAsia="仿宋_GB2312" w:cs="仿宋_GB2312"/>
          <w:color w:val="000000"/>
          <w:sz w:val="32"/>
          <w:szCs w:val="32"/>
        </w:rPr>
        <w:t>10.无不良信用、严重违法记录。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黑体" w:cs="黑体"/>
          <w:color w:val="000000"/>
          <w:sz w:val="32"/>
          <w:szCs w:val="32"/>
        </w:rPr>
      </w:pPr>
      <w:r>
        <w:rPr>
          <w:rFonts w:eastAsia="黑体" w:cs="黑体"/>
          <w:color w:val="000000"/>
          <w:sz w:val="32"/>
          <w:szCs w:val="32"/>
        </w:rPr>
        <w:t>三、申报程序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仿宋_GB2312"/>
          <w:color w:val="000000"/>
          <w:sz w:val="32"/>
          <w:szCs w:val="32"/>
        </w:rPr>
      </w:pPr>
      <w:r>
        <w:rPr>
          <w:rFonts w:hint="default" w:eastAsia="仿宋_GB2312"/>
          <w:color w:val="000000"/>
          <w:sz w:val="32"/>
          <w:szCs w:val="32"/>
        </w:rPr>
        <w:t>补助主体认定按照主体自愿申报、区市审查推荐、市级复核认定等程序开展。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hint="default" w:eastAsia="仿宋_GB2312"/>
          <w:color w:val="000000"/>
          <w:sz w:val="32"/>
          <w:szCs w:val="32"/>
        </w:rPr>
      </w:pPr>
      <w:r>
        <w:rPr>
          <w:rFonts w:eastAsia="楷体_GB2312" w:cs="楷体_GB2312"/>
          <w:color w:val="000000"/>
          <w:sz w:val="32"/>
          <w:szCs w:val="32"/>
        </w:rPr>
        <w:t>（一）主体自愿申报。</w:t>
      </w:r>
      <w:r>
        <w:rPr>
          <w:rFonts w:hint="default" w:eastAsia="仿宋_GB2312"/>
          <w:color w:val="000000"/>
          <w:sz w:val="32"/>
          <w:szCs w:val="32"/>
        </w:rPr>
        <w:t>符合申报条件的主体，准备申报材料，自愿向当地农业农村主管部门提出申请。</w:t>
      </w:r>
    </w:p>
    <w:p>
      <w:pPr>
        <w:ind w:firstLine="640" w:firstLineChars="200"/>
        <w:jc w:val="left"/>
        <w:rPr>
          <w:rFonts w:ascii="宋体" w:hAnsi="宋体" w:eastAsia="方正小标宋简体" w:cs="方正小标宋简体"/>
          <w:color w:val="000000"/>
          <w:kern w:val="0"/>
          <w:sz w:val="40"/>
          <w:szCs w:val="40"/>
        </w:rPr>
      </w:pPr>
      <w:r>
        <w:rPr>
          <w:rFonts w:eastAsia="楷体_GB2312" w:cs="楷体_GB2312"/>
          <w:color w:val="000000"/>
          <w:sz w:val="32"/>
          <w:szCs w:val="32"/>
        </w:rPr>
        <w:t>（二）</w:t>
      </w:r>
      <w:r>
        <w:rPr>
          <w:rFonts w:hint="eastAsia" w:eastAsia="楷体_GB2312" w:cs="楷体_GB2312"/>
          <w:color w:val="000000"/>
          <w:sz w:val="32"/>
          <w:szCs w:val="32"/>
        </w:rPr>
        <w:t>县</w:t>
      </w:r>
      <w:r>
        <w:rPr>
          <w:rFonts w:hint="eastAsia" w:ascii="宋体" w:hAnsi="宋体" w:eastAsia="楷体_GB2312" w:cs="楷体_GB2312"/>
          <w:color w:val="000000"/>
          <w:kern w:val="0"/>
          <w:sz w:val="32"/>
          <w:szCs w:val="32"/>
        </w:rPr>
        <w:t>市审查推荐。</w:t>
      </w:r>
      <w:r>
        <w:rPr>
          <w:rFonts w:eastAsia="仿宋_GB2312" w:cs="仿宋_GB2312"/>
          <w:color w:val="000000"/>
          <w:sz w:val="32"/>
          <w:szCs w:val="32"/>
        </w:rPr>
        <w:t>荣成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市农业农村</w:t>
      </w:r>
      <w:r>
        <w:rPr>
          <w:rFonts w:eastAsia="仿宋_GB2312" w:cs="仿宋_GB2312"/>
          <w:color w:val="000000"/>
          <w:sz w:val="32"/>
          <w:szCs w:val="32"/>
        </w:rPr>
        <w:t>局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主管单位对提交的申报材料进行完整性、真实性、一致性审查，并对申请主体进行实地考察，查验相关申报材料原件。请于4月2</w:t>
      </w:r>
      <w:r>
        <w:rPr>
          <w:rFonts w:eastAsia="仿宋_GB2312" w:cs="仿宋_GB2312"/>
          <w:color w:val="000000"/>
          <w:sz w:val="32"/>
          <w:szCs w:val="32"/>
        </w:rPr>
        <w:t>4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日</w:t>
      </w:r>
      <w:r>
        <w:rPr>
          <w:rFonts w:hint="eastAsia" w:ascii="宋体" w:hAnsi="宋体" w:eastAsia="仿宋_GB2312" w:cs="仿宋_GB2312"/>
          <w:sz w:val="32"/>
          <w:szCs w:val="32"/>
        </w:rPr>
        <w:t>（星期五）上午10点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前将申报材料</w:t>
      </w:r>
      <w:r>
        <w:rPr>
          <w:rFonts w:hint="eastAsia" w:ascii="宋体" w:hAnsi="宋体" w:eastAsia="仿宋_GB2312" w:cs="仿宋_GB2312"/>
          <w:sz w:val="32"/>
          <w:szCs w:val="32"/>
        </w:rPr>
        <w:t>（纸质版4份，同时提供电子版）、项目申报（分配）审批表（纸质版4份，同时提供电子版）、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现代果园有机质提升项目申报表（纸质版），并提供相关证明材料，逾期不予受理。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仿宋_GB2312" w:cs="仿宋_GB2312"/>
          <w:color w:val="000000"/>
          <w:sz w:val="32"/>
          <w:szCs w:val="32"/>
        </w:rPr>
      </w:pPr>
      <w:r>
        <w:rPr>
          <w:rFonts w:eastAsia="楷体_GB2312" w:cs="楷体_GB2312"/>
          <w:color w:val="000000"/>
          <w:sz w:val="32"/>
          <w:szCs w:val="32"/>
        </w:rPr>
        <w:t>（三）市级复核认定。</w:t>
      </w:r>
      <w:r>
        <w:rPr>
          <w:rFonts w:eastAsia="仿宋_GB2312" w:cs="仿宋_GB2312"/>
          <w:color w:val="000000"/>
          <w:sz w:val="32"/>
          <w:szCs w:val="32"/>
        </w:rPr>
        <w:t>对县市审查推荐的申报主体相关信息和申报材料进行审核或评审，必要时进行现场复核，确定拟认定名单，通过威海市农业农村局网站向社会公示。与生态农业项目补助不同时享受。</w:t>
      </w:r>
    </w:p>
    <w:p>
      <w:pPr>
        <w:spacing w:line="560" w:lineRule="exact"/>
        <w:ind w:firstLine="640" w:firstLineChars="200"/>
        <w:rPr>
          <w:rFonts w:hint="eastAsia" w:ascii="宋体" w:hAnsi="宋体" w:eastAsia="黑体" w:cs="黑体"/>
          <w:color w:val="000000"/>
          <w:sz w:val="32"/>
          <w:szCs w:val="32"/>
        </w:rPr>
      </w:pPr>
      <w:r>
        <w:rPr>
          <w:rFonts w:hint="eastAsia" w:ascii="宋体" w:hAnsi="宋体" w:eastAsia="黑体" w:cs="黑体"/>
          <w:color w:val="000000"/>
          <w:sz w:val="32"/>
          <w:szCs w:val="32"/>
        </w:rPr>
        <w:t>四、申报材料</w:t>
      </w: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仿宋_GB2312" w:cs="仿宋_GB2312"/>
          <w:color w:val="000000"/>
          <w:sz w:val="32"/>
          <w:szCs w:val="32"/>
        </w:rPr>
      </w:pPr>
      <w:r>
        <w:rPr>
          <w:rFonts w:eastAsia="仿宋_GB2312" w:cs="仿宋_GB2312"/>
          <w:color w:val="000000"/>
          <w:sz w:val="32"/>
          <w:szCs w:val="32"/>
        </w:rPr>
        <w:t>包括但不限于以下材料：申报主体提供果园简介、法人资格证明（营业执照、合作社登记证等）、土地流转合同复印件（加盖公章）、有机肥购买或自制堆沤证明及有机肥收货单及出库单、果园施肥照片、土壤有机质检测报告等材料。</w:t>
      </w:r>
    </w:p>
    <w:p>
      <w:pPr>
        <w:pStyle w:val="4"/>
        <w:widowControl/>
        <w:spacing w:line="560" w:lineRule="exact"/>
        <w:jc w:val="both"/>
        <w:rPr>
          <w:rFonts w:hint="default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宋体" w:hAnsi="宋体" w:eastAsia="仿宋_GB2312" w:cs="仿宋_GB2312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联系</w:t>
      </w:r>
      <w:r>
        <w:rPr>
          <w:rFonts w:hint="eastAsia" w:eastAsia="仿宋_GB2312" w:cs="仿宋_GB2312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电话：</w:t>
      </w:r>
      <w:r>
        <w:rPr>
          <w:rFonts w:hint="eastAsia" w:ascii="宋体" w:hAnsi="宋体" w:eastAsia="仿宋_GB2312" w:cs="仿宋_GB2312"/>
          <w:b w:val="0"/>
          <w:bCs w:val="0"/>
          <w:color w:val="000000"/>
          <w:kern w:val="2"/>
          <w:sz w:val="32"/>
          <w:szCs w:val="32"/>
          <w:lang w:val="en-US" w:eastAsia="zh-CN" w:bidi="ar-SA"/>
        </w:rPr>
        <w:t>7571668</w:t>
      </w:r>
      <w:r>
        <w:rPr>
          <w:rFonts w:eastAsia="仿宋_GB2312" w:cs="仿宋_GB2312"/>
          <w:color w:val="000000"/>
          <w:sz w:val="32"/>
          <w:szCs w:val="32"/>
        </w:rPr>
        <w:t>。</w:t>
      </w:r>
      <w:bookmarkStart w:id="0" w:name="_GoBack"/>
      <w:bookmarkEnd w:id="0"/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仿宋_GB2312" w:cs="仿宋_GB2312"/>
          <w:color w:val="000000"/>
          <w:sz w:val="32"/>
          <w:szCs w:val="32"/>
        </w:rPr>
      </w:pPr>
    </w:p>
    <w:p>
      <w:pPr>
        <w:pStyle w:val="4"/>
        <w:widowControl/>
        <w:spacing w:line="560" w:lineRule="exact"/>
        <w:ind w:firstLine="640" w:firstLineChars="200"/>
        <w:jc w:val="both"/>
        <w:rPr>
          <w:rFonts w:eastAsia="仿宋_GB2312" w:cs="仿宋_GB2312"/>
          <w:color w:val="000000"/>
          <w:sz w:val="32"/>
          <w:szCs w:val="32"/>
        </w:rPr>
      </w:pPr>
    </w:p>
    <w:p>
      <w:pPr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>
      <w:pPr>
        <w:jc w:val="center"/>
        <w:rPr>
          <w:rFonts w:hint="eastAsia" w:ascii="宋体" w:hAnsi="宋体" w:eastAsia="方正小标宋简体" w:cs="方正小标宋简体"/>
          <w:color w:val="000000"/>
          <w:kern w:val="0"/>
          <w:sz w:val="40"/>
          <w:szCs w:val="40"/>
        </w:rPr>
      </w:pPr>
      <w:r>
        <w:rPr>
          <w:rFonts w:hint="eastAsia" w:ascii="宋体" w:hAnsi="宋体" w:eastAsia="方正小标宋简体" w:cs="方正小标宋简体"/>
          <w:color w:val="000000"/>
          <w:kern w:val="0"/>
          <w:sz w:val="40"/>
          <w:szCs w:val="40"/>
        </w:rPr>
        <w:t>现代果园有机质提升项目申报表</w:t>
      </w:r>
    </w:p>
    <w:p>
      <w:pPr>
        <w:jc w:val="left"/>
        <w:rPr>
          <w:rFonts w:hint="eastAsia" w:ascii="仿宋_GB2312" w:hAnsi="仿宋_GB2312" w:eastAsia="仿宋_GB2312" w:cs="仿宋_GB2312"/>
          <w:color w:val="000000"/>
          <w:kern w:val="0"/>
          <w:sz w:val="24"/>
        </w:rPr>
      </w:pPr>
    </w:p>
    <w:p>
      <w:pPr>
        <w:jc w:val="left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申报单位（盖章）：           联系人：       联系电话：</w:t>
      </w:r>
    </w:p>
    <w:tbl>
      <w:tblPr>
        <w:tblStyle w:val="8"/>
        <w:tblW w:w="859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1"/>
        <w:gridCol w:w="1721"/>
        <w:gridCol w:w="1217"/>
        <w:gridCol w:w="1683"/>
        <w:gridCol w:w="32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1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721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  <w:t>主体名称</w:t>
            </w:r>
          </w:p>
        </w:tc>
        <w:tc>
          <w:tcPr>
            <w:tcW w:w="1217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  <w:t>地址</w:t>
            </w:r>
          </w:p>
        </w:tc>
        <w:tc>
          <w:tcPr>
            <w:tcW w:w="1683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  <w:t>负责人及联系方式</w:t>
            </w:r>
          </w:p>
        </w:tc>
        <w:tc>
          <w:tcPr>
            <w:tcW w:w="3265" w:type="dxa"/>
            <w:vAlign w:val="center"/>
          </w:tcPr>
          <w:p>
            <w:pPr>
              <w:spacing w:line="320" w:lineRule="exact"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  <w:t>基本情况简介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71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72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21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68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326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71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72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21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68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326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71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721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217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1683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  <w:tc>
          <w:tcPr>
            <w:tcW w:w="3265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</w:p>
        </w:tc>
      </w:tr>
    </w:tbl>
    <w:p>
      <w:pPr>
        <w:spacing w:line="400" w:lineRule="exact"/>
        <w:jc w:val="left"/>
        <w:rPr>
          <w:rFonts w:hint="eastAsia" w:ascii="仿宋_GB2312" w:hAnsi="仿宋_GB2312" w:eastAsia="仿宋_GB2312" w:cs="仿宋_GB2312"/>
          <w:color w:val="000000"/>
          <w:kern w:val="0"/>
          <w:sz w:val="24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4"/>
        </w:rPr>
        <w:t>填表说明：如有获得过的荣誉，要在基本情况简介中一并体现。</w:t>
      </w:r>
    </w:p>
    <w:p>
      <w:pPr>
        <w:widowControl/>
        <w:suppressAutoHyphens w:val="0"/>
        <w:jc w:val="left"/>
        <w:rPr>
          <w:rFonts w:ascii="宋体" w:hAnsi="宋体" w:eastAsia="仿宋_GB2312" w:cs="仿宋_GB2312"/>
          <w:color w:val="000000"/>
          <w:kern w:val="0"/>
          <w:sz w:val="32"/>
          <w:szCs w:val="32"/>
        </w:rPr>
      </w:pPr>
      <w:r>
        <w:rPr>
          <w:rFonts w:eastAsia="仿宋_GB2312" w:cs="仿宋_GB2312"/>
          <w:color w:val="000000"/>
          <w:sz w:val="32"/>
          <w:szCs w:val="32"/>
        </w:rPr>
        <w:br w:type="page"/>
      </w:r>
    </w:p>
    <w:p>
      <w:pPr>
        <w:spacing w:line="600" w:lineRule="exact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>
      <w:pPr>
        <w:spacing w:afterLines="50" w:line="580" w:lineRule="exact"/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ascii="Times New Roman" w:hAnsi="Times New Roman" w:eastAsia="方正小标宋简体"/>
          <w:sz w:val="44"/>
          <w:szCs w:val="44"/>
        </w:rPr>
        <w:t>项目申报（分配）审批表</w:t>
      </w:r>
    </w:p>
    <w:p>
      <w:pPr>
        <w:spacing w:afterLines="50" w:line="580" w:lineRule="exact"/>
        <w:jc w:val="right"/>
        <w:rPr>
          <w:rFonts w:ascii="Times New Roman" w:hAnsi="Times New Roman" w:eastAsia="仿宋_GB2312"/>
          <w:sz w:val="28"/>
          <w:szCs w:val="28"/>
        </w:rPr>
      </w:pPr>
      <w:r>
        <w:rPr>
          <w:rFonts w:ascii="Times New Roman" w:hAnsi="Times New Roman" w:eastAsia="仿宋_GB2312"/>
          <w:sz w:val="28"/>
          <w:szCs w:val="28"/>
        </w:rPr>
        <w:t>单位：万元</w:t>
      </w:r>
    </w:p>
    <w:tbl>
      <w:tblPr>
        <w:tblStyle w:val="7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单位或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注册资本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黑体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单位地址</w:t>
            </w:r>
          </w:p>
        </w:tc>
        <w:tc>
          <w:tcPr>
            <w:tcW w:w="2835" w:type="dxa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信用等级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（</w:t>
            </w:r>
            <w:r>
              <w:rPr>
                <w:rFonts w:ascii="Times New Roman" w:hAnsi="Times New Roman" w:eastAsia="仿宋_GB2312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）</w:t>
            </w:r>
            <w:r>
              <w:rPr>
                <w:rFonts w:ascii="Times New Roman" w:hAnsi="Times New Roman" w:eastAsia="仿宋_GB2312"/>
                <w:sz w:val="28"/>
                <w:szCs w:val="28"/>
              </w:rPr>
              <w:t>金额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</w:tcPr>
          <w:p>
            <w:pPr>
              <w:spacing w:line="400" w:lineRule="exact"/>
              <w:jc w:val="left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</w:tcPr>
          <w:p>
            <w:pPr>
              <w:jc w:val="left"/>
              <w:rPr>
                <w:rFonts w:ascii="Times New Roman" w:hAnsi="Times New Roman" w:eastAsia="黑体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所属区镇（街道）或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主管部门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主办单位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 xml:space="preserve">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社会</w:t>
            </w:r>
            <w:r>
              <w:rPr>
                <w:rFonts w:ascii="Times New Roman" w:hAnsi="Times New Roman" w:eastAsia="仿宋_GB2312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财政局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 xml:space="preserve">        年  月  日</w:t>
            </w:r>
          </w:p>
        </w:tc>
      </w:tr>
    </w:tbl>
    <w:p>
      <w:pPr>
        <w:ind w:firstLine="480" w:firstLineChars="200"/>
        <w:jc w:val="left"/>
        <w:rPr>
          <w:rFonts w:ascii="Times New Roman" w:hAnsi="Times New Roman" w:eastAsia="仿宋_GB2312"/>
          <w:sz w:val="24"/>
        </w:rPr>
      </w:pPr>
      <w:r>
        <w:rPr>
          <w:rFonts w:ascii="Times New Roman" w:hAnsi="Times New Roman" w:eastAsia="仿宋_GB2312"/>
          <w:sz w:val="24"/>
        </w:rPr>
        <w:t>注：1</w:t>
      </w:r>
      <w:r>
        <w:rPr>
          <w:rFonts w:hint="eastAsia" w:ascii="Times New Roman" w:hAnsi="Times New Roman" w:eastAsia="仿宋_GB2312"/>
          <w:sz w:val="24"/>
        </w:rPr>
        <w:t>.</w:t>
      </w:r>
      <w:r>
        <w:rPr>
          <w:rFonts w:ascii="Times New Roman" w:hAnsi="Times New Roman" w:eastAsia="仿宋_GB2312"/>
          <w:sz w:val="24"/>
        </w:rPr>
        <w:t>信用等级由市</w:t>
      </w:r>
      <w:r>
        <w:rPr>
          <w:rFonts w:hint="eastAsia" w:ascii="Times New Roman" w:hAnsi="Times New Roman" w:eastAsia="仿宋_GB2312"/>
          <w:sz w:val="24"/>
        </w:rPr>
        <w:t>社会</w:t>
      </w:r>
      <w:r>
        <w:rPr>
          <w:rFonts w:ascii="Times New Roman" w:hAnsi="Times New Roman" w:eastAsia="仿宋_GB2312"/>
          <w:sz w:val="24"/>
        </w:rPr>
        <w:t>信用中心负责填写。2</w:t>
      </w:r>
      <w:r>
        <w:rPr>
          <w:rFonts w:hint="eastAsia" w:ascii="Times New Roman" w:hAnsi="Times New Roman" w:eastAsia="仿宋_GB2312"/>
          <w:sz w:val="24"/>
        </w:rPr>
        <w:t>.</w:t>
      </w:r>
      <w:r>
        <w:rPr>
          <w:rFonts w:ascii="Times New Roman" w:hAnsi="Times New Roman" w:eastAsia="仿宋_GB2312"/>
          <w:sz w:val="24"/>
        </w:rPr>
        <w:t>原市属企业由</w:t>
      </w:r>
      <w:r>
        <w:rPr>
          <w:rFonts w:hint="eastAsia" w:ascii="Times New Roman" w:hAnsi="Times New Roman" w:eastAsia="仿宋_GB2312"/>
          <w:sz w:val="24"/>
        </w:rPr>
        <w:t>市</w:t>
      </w:r>
      <w:r>
        <w:rPr>
          <w:rFonts w:ascii="Times New Roman" w:hAnsi="Times New Roman" w:eastAsia="仿宋_GB2312"/>
          <w:sz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/>
          <w:sz w:val="24"/>
        </w:rPr>
        <w:t>.</w:t>
      </w:r>
      <w:r>
        <w:rPr>
          <w:rFonts w:ascii="Times New Roman" w:hAnsi="Times New Roman" w:eastAsia="仿宋_GB2312"/>
          <w:sz w:val="24"/>
        </w:rPr>
        <w:t>本表一式</w:t>
      </w:r>
      <w:r>
        <w:rPr>
          <w:rFonts w:hint="eastAsia" w:ascii="Times New Roman" w:hAnsi="Times New Roman" w:eastAsia="仿宋_GB2312"/>
          <w:sz w:val="24"/>
        </w:rPr>
        <w:t>四</w:t>
      </w:r>
      <w:r>
        <w:rPr>
          <w:rFonts w:ascii="Times New Roman" w:hAnsi="Times New Roman" w:eastAsia="仿宋_GB2312"/>
          <w:sz w:val="24"/>
        </w:rPr>
        <w:t>份，申报单位或个人、主办单位、财政局</w:t>
      </w:r>
      <w:r>
        <w:rPr>
          <w:rFonts w:hint="eastAsia" w:ascii="Times New Roman" w:hAnsi="Times New Roman" w:eastAsia="仿宋_GB2312"/>
          <w:sz w:val="24"/>
        </w:rPr>
        <w:t>、政府办</w:t>
      </w:r>
      <w:r>
        <w:rPr>
          <w:rFonts w:ascii="Times New Roman" w:hAnsi="Times New Roman" w:eastAsia="仿宋_GB2312"/>
          <w:sz w:val="24"/>
        </w:rPr>
        <w:t>存档各一份。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0000600000000000000"/>
    <w:charset w:val="86"/>
    <w:family w:val="script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3FC1"/>
    <w:rsid w:val="00110569"/>
    <w:rsid w:val="0098401F"/>
    <w:rsid w:val="00E83FC1"/>
    <w:rsid w:val="19DB33A2"/>
    <w:rsid w:val="43C2009A"/>
    <w:rsid w:val="7A3E1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nhideWhenUsed="0" w:uiPriority="0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semiHidden/>
    <w:unhideWhenUsed/>
    <w:uiPriority w:val="99"/>
    <w:pPr>
      <w:tabs>
        <w:tab w:val="center" w:pos="4153"/>
        <w:tab w:val="right" w:pos="8306"/>
      </w:tabs>
      <w:suppressAutoHyphens w:val="0"/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9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uppressAutoHyphens w:val="0"/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TML Preformatted"/>
    <w:basedOn w:val="1"/>
    <w:link w:val="1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/>
      <w:kern w:val="0"/>
      <w:sz w:val="24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table" w:styleId="8">
    <w:name w:val="Table Grid"/>
    <w:basedOn w:val="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10">
    <w:name w:val="页脚 Char"/>
    <w:basedOn w:val="5"/>
    <w:link w:val="2"/>
    <w:semiHidden/>
    <w:uiPriority w:val="99"/>
    <w:rPr>
      <w:sz w:val="18"/>
      <w:szCs w:val="18"/>
    </w:rPr>
  </w:style>
  <w:style w:type="character" w:customStyle="1" w:styleId="11">
    <w:name w:val="HTML 预设格式 Char"/>
    <w:basedOn w:val="5"/>
    <w:link w:val="4"/>
    <w:uiPriority w:val="0"/>
    <w:rPr>
      <w:rFonts w:ascii="宋体" w:hAnsi="宋体" w:eastAsia="宋体" w:cs="Times New Roman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719</Words>
  <Characters>762</Characters>
  <Lines>10</Lines>
  <Paragraphs>3</Paragraphs>
  <TotalTime>8</TotalTime>
  <ScaleCrop>false</ScaleCrop>
  <LinksUpToDate>false</LinksUpToDate>
  <CharactersWithSpaces>762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2026-04-22T11:52:00Z</dcterms:created>
  <dc:creator>1</dc:creator>
  <cp:lastModifiedBy>zcc</cp:lastModifiedBy>
  <dcterms:modified xsi:type="dcterms:W3CDTF">2026-04-22T23:54:02Z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eyJoZGlkIjoiMzM5MTllMzQ0MzhlZmEyNjBjNzA0NmI4ZDY1ZGE3Y2YiLCJ1c2VySWQiOiI2MTkzMzc2NTgifQ==</vt:lpwstr>
  </property>
  <property fmtid="{D5CDD505-2E9C-101B-9397-08002B2CF9AE}" pid="3" name="KSOProductBuildVer">
    <vt:lpwstr>2052-11.8.2.7978</vt:lpwstr>
  </property>
  <property fmtid="{D5CDD505-2E9C-101B-9397-08002B2CF9AE}" pid="4" name="ICV">
    <vt:lpwstr>2DA8D5967047491AA1F30B2BA7D8F0DA_13</vt:lpwstr>
  </property>
</Properties>
</file>