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财政局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2020年度行政执法总体情况说明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2020年，荣成市财政局共进行一次会计信息质量检查，检查对象为荣成市城市资产经营有限公司，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该企业财务管理整体质量较好，但仍存在一定的不足。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一、存在的问题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（一）部分资金拨付到位时间较长。</w:t>
      </w:r>
      <w:r>
        <w:rPr>
          <w:rFonts w:hint="eastAsia" w:ascii="仿宋_GB2312" w:eastAsia="仿宋_GB2312"/>
          <w:sz w:val="32"/>
          <w:szCs w:val="32"/>
          <w:shd w:val="clear" w:color="auto" w:fill="FFFFFF"/>
          <w:lang w:val="en-US" w:eastAsia="zh-CN"/>
        </w:rPr>
        <w:t>根据了解及与相关部门核实，棚户区改造项目建设资金的拨付，需在施工企业提起申请后，经市建设局和财政局审核确认后，再经市政府审批同意后，才能进行拨付，一般需1-2个月。但个别批次的小额资金，明显存在攒数、攒类别，等金额较大后再统一上报审批的情况，整体拨付流程时间较长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shd w:val="clear" w:color="auto" w:fill="FFFFFF"/>
          <w:lang w:val="en-US" w:eastAsia="zh-CN"/>
        </w:rPr>
        <w:t>（二）档案文件没有及时归档，存在滞后性。</w:t>
      </w:r>
      <w:r>
        <w:rPr>
          <w:rFonts w:hint="eastAsia" w:ascii="仿宋_GB2312" w:eastAsia="仿宋_GB2312"/>
          <w:sz w:val="32"/>
          <w:szCs w:val="32"/>
          <w:shd w:val="clear" w:color="auto" w:fill="FFFFFF"/>
          <w:lang w:val="en-US" w:eastAsia="zh-CN"/>
        </w:rPr>
        <w:t>资金拨付的相关凭证、文件，能做到及时整理、归档建册。但在项目建设资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料方面，存在分类不明细、归档不及时、缺乏专人管理等情况。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二、整改建议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（一）强化为民服务理念。除客观因素外，要全力提高资金审核的工作效率，尽量压缩资金拨付流程的时间，加快资金拨付的进度，以更好的质量服务于实体经济。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（二）树立规范工作观念。要树立当日事、当日结的观念，及时将项目建设和资金拨付的相关资料编制索引，分门别类的归档建册，由专人负责管理，分管领导不定期检查，确保资料的齐全性、准确性。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9C6E93"/>
    <w:rsid w:val="3A024225"/>
    <w:rsid w:val="44763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2021-12-08T01:09:45Z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75A197AB7ED6497AAEE920825D7F3455</vt:lpwstr>
  </property>
</Properties>
</file>