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64D567">
      <w:pPr>
        <w:jc w:val="center"/>
        <w:rPr>
          <w:rFonts w:ascii="宋体" w:hAnsi="宋体" w:eastAsia="宋体" w:cs="宋体"/>
          <w:b/>
          <w:bCs/>
          <w:color w:val="333333"/>
          <w:kern w:val="0"/>
          <w:sz w:val="34"/>
          <w:szCs w:val="34"/>
        </w:rPr>
      </w:pPr>
      <w:r>
        <w:rPr>
          <w:rFonts w:hint="eastAsia" w:ascii="宋体" w:hAnsi="宋体" w:eastAsia="宋体" w:cs="宋体"/>
          <w:b/>
          <w:bCs/>
          <w:color w:val="333333"/>
          <w:kern w:val="0"/>
          <w:sz w:val="34"/>
          <w:szCs w:val="34"/>
          <w:lang w:eastAsia="zh-CN"/>
        </w:rPr>
        <w:t>202</w:t>
      </w:r>
      <w:r>
        <w:rPr>
          <w:rFonts w:hint="eastAsia" w:ascii="宋体" w:hAnsi="宋体" w:eastAsia="宋体" w:cs="宋体"/>
          <w:b/>
          <w:bCs/>
          <w:color w:val="333333"/>
          <w:kern w:val="0"/>
          <w:sz w:val="34"/>
          <w:szCs w:val="34"/>
          <w:lang w:val="en-US" w:eastAsia="zh-CN"/>
        </w:rPr>
        <w:t>6</w:t>
      </w:r>
      <w:r>
        <w:rPr>
          <w:rFonts w:hint="eastAsia" w:ascii="宋体" w:hAnsi="宋体" w:eastAsia="宋体" w:cs="宋体"/>
          <w:b/>
          <w:bCs/>
          <w:color w:val="333333"/>
          <w:kern w:val="0"/>
          <w:sz w:val="34"/>
          <w:szCs w:val="34"/>
          <w:lang w:eastAsia="zh-CN"/>
        </w:rPr>
        <w:t>年</w:t>
      </w:r>
      <w:r>
        <w:rPr>
          <w:rFonts w:hint="eastAsia" w:ascii="宋体" w:hAnsi="宋体" w:eastAsia="宋体" w:cs="宋体"/>
          <w:b/>
          <w:bCs/>
          <w:color w:val="333333"/>
          <w:kern w:val="0"/>
          <w:sz w:val="34"/>
          <w:szCs w:val="34"/>
          <w:lang w:val="en-US" w:eastAsia="zh-CN"/>
        </w:rPr>
        <w:t>4</w:t>
      </w:r>
      <w:r>
        <w:rPr>
          <w:rFonts w:hint="eastAsia" w:ascii="宋体" w:hAnsi="宋体" w:eastAsia="宋体" w:cs="宋体"/>
          <w:b/>
          <w:bCs/>
          <w:color w:val="333333"/>
          <w:kern w:val="0"/>
          <w:sz w:val="34"/>
          <w:szCs w:val="34"/>
          <w:lang w:eastAsia="zh-CN"/>
        </w:rPr>
        <w:t>月</w:t>
      </w:r>
      <w:r>
        <w:rPr>
          <w:rFonts w:hint="eastAsia" w:ascii="宋体" w:hAnsi="宋体" w:eastAsia="宋体" w:cs="宋体"/>
          <w:b/>
          <w:bCs/>
          <w:color w:val="333333"/>
          <w:kern w:val="0"/>
          <w:sz w:val="34"/>
          <w:szCs w:val="34"/>
          <w:lang w:val="en-US" w:eastAsia="zh-CN"/>
        </w:rPr>
        <w:t>8</w:t>
      </w:r>
      <w:r>
        <w:rPr>
          <w:rFonts w:hint="eastAsia" w:ascii="宋体" w:hAnsi="宋体" w:eastAsia="宋体" w:cs="宋体"/>
          <w:b/>
          <w:bCs/>
          <w:color w:val="333333"/>
          <w:kern w:val="0"/>
          <w:sz w:val="34"/>
          <w:szCs w:val="34"/>
          <w:lang w:eastAsia="zh-CN"/>
        </w:rPr>
        <w:t>日</w:t>
      </w:r>
      <w:r>
        <w:rPr>
          <w:rFonts w:hint="eastAsia" w:ascii="宋体" w:hAnsi="宋体" w:eastAsia="宋体" w:cs="宋体"/>
          <w:b/>
          <w:bCs/>
          <w:color w:val="333333"/>
          <w:kern w:val="0"/>
          <w:sz w:val="34"/>
          <w:szCs w:val="34"/>
        </w:rPr>
        <w:t>建设项目（辐射类）环境影响评价文件审查公示</w:t>
      </w:r>
    </w:p>
    <w:p w14:paraId="58F2B904">
      <w:pPr>
        <w:ind w:firstLine="380" w:firstLineChars="200"/>
      </w:pPr>
      <w:r>
        <w:rPr>
          <w:rFonts w:hint="eastAsia"/>
          <w:color w:val="333333"/>
          <w:sz w:val="19"/>
          <w:szCs w:val="19"/>
          <w:shd w:val="clear" w:color="auto" w:fill="FAFAFA"/>
        </w:rPr>
        <w:t>按照《建设项目环境影响评价政府信息公开指南（试行）》的要求，经审查，我局拟对国网山东省电力公司威海供电公司威海荣成港中110</w:t>
      </w:r>
      <w:r>
        <w:rPr>
          <w:rFonts w:hint="eastAsia"/>
          <w:color w:val="333333"/>
          <w:sz w:val="19"/>
          <w:szCs w:val="19"/>
          <w:shd w:val="clear" w:color="auto" w:fill="FAFAFA"/>
          <w:lang w:val="en-US" w:eastAsia="zh-CN"/>
        </w:rPr>
        <w:t>千伏</w:t>
      </w:r>
      <w:r>
        <w:rPr>
          <w:rFonts w:hint="eastAsia"/>
          <w:color w:val="333333"/>
          <w:sz w:val="19"/>
          <w:szCs w:val="19"/>
          <w:shd w:val="clear" w:color="auto" w:fill="FAFAFA"/>
        </w:rPr>
        <w:t>变电站1号主变增容工程环境影响评价文件作出审查意见。</w:t>
      </w:r>
    </w:p>
    <w:p w14:paraId="68902460">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为保证此次审查工作的严肃性和公正性，现将拟作出审批意见的环境影响评价文件基本情况予以公示，公示期为</w:t>
      </w:r>
      <w:r>
        <w:rPr>
          <w:rFonts w:hint="eastAsia" w:ascii="宋体" w:hAnsi="宋体" w:eastAsia="宋体" w:cs="宋体"/>
          <w:color w:val="333333"/>
          <w:kern w:val="0"/>
          <w:sz w:val="19"/>
          <w:szCs w:val="19"/>
          <w:lang w:eastAsia="zh-CN"/>
        </w:rPr>
        <w:t>202</w:t>
      </w:r>
      <w:r>
        <w:rPr>
          <w:rFonts w:hint="eastAsia" w:ascii="宋体" w:hAnsi="宋体" w:eastAsia="宋体" w:cs="宋体"/>
          <w:color w:val="333333"/>
          <w:kern w:val="0"/>
          <w:sz w:val="19"/>
          <w:szCs w:val="19"/>
          <w:lang w:val="en-US" w:eastAsia="zh-CN"/>
        </w:rPr>
        <w:t>6</w:t>
      </w:r>
      <w:r>
        <w:rPr>
          <w:rFonts w:hint="eastAsia" w:ascii="宋体" w:hAnsi="宋体" w:eastAsia="宋体" w:cs="宋体"/>
          <w:color w:val="333333"/>
          <w:kern w:val="0"/>
          <w:sz w:val="19"/>
          <w:szCs w:val="19"/>
          <w:lang w:eastAsia="zh-CN"/>
        </w:rPr>
        <w:t>年</w:t>
      </w:r>
      <w:r>
        <w:rPr>
          <w:rFonts w:hint="eastAsia" w:ascii="宋体" w:hAnsi="宋体" w:eastAsia="宋体" w:cs="宋体"/>
          <w:color w:val="333333"/>
          <w:kern w:val="0"/>
          <w:sz w:val="19"/>
          <w:szCs w:val="19"/>
          <w:lang w:val="en-US" w:eastAsia="zh-CN"/>
        </w:rPr>
        <w:t>4</w:t>
      </w:r>
      <w:r>
        <w:rPr>
          <w:rFonts w:hint="eastAsia" w:ascii="宋体" w:hAnsi="宋体" w:eastAsia="宋体" w:cs="宋体"/>
          <w:color w:val="333333"/>
          <w:kern w:val="0"/>
          <w:sz w:val="19"/>
          <w:szCs w:val="19"/>
          <w:lang w:eastAsia="zh-CN"/>
        </w:rPr>
        <w:t>月</w:t>
      </w:r>
      <w:r>
        <w:rPr>
          <w:rFonts w:hint="eastAsia" w:ascii="宋体" w:hAnsi="宋体" w:eastAsia="宋体" w:cs="宋体"/>
          <w:color w:val="333333"/>
          <w:kern w:val="0"/>
          <w:sz w:val="19"/>
          <w:szCs w:val="19"/>
          <w:lang w:val="en-US" w:eastAsia="zh-CN"/>
        </w:rPr>
        <w:t>8</w:t>
      </w:r>
      <w:r>
        <w:rPr>
          <w:rFonts w:hint="eastAsia" w:ascii="宋体" w:hAnsi="宋体" w:eastAsia="宋体" w:cs="宋体"/>
          <w:color w:val="333333"/>
          <w:kern w:val="0"/>
          <w:sz w:val="19"/>
          <w:szCs w:val="19"/>
          <w:lang w:eastAsia="zh-CN"/>
        </w:rPr>
        <w:t>日</w:t>
      </w:r>
      <w:r>
        <w:rPr>
          <w:rFonts w:hint="eastAsia" w:ascii="宋体" w:hAnsi="宋体" w:eastAsia="宋体" w:cs="宋体"/>
          <w:color w:val="333333"/>
          <w:kern w:val="0"/>
          <w:sz w:val="19"/>
          <w:szCs w:val="19"/>
        </w:rPr>
        <w:t>－202</w:t>
      </w:r>
      <w:r>
        <w:rPr>
          <w:rFonts w:hint="eastAsia" w:ascii="宋体" w:hAnsi="宋体" w:eastAsia="宋体" w:cs="宋体"/>
          <w:color w:val="333333"/>
          <w:kern w:val="0"/>
          <w:sz w:val="19"/>
          <w:szCs w:val="19"/>
          <w:lang w:val="en-US" w:eastAsia="zh-CN"/>
        </w:rPr>
        <w:t>6</w:t>
      </w:r>
      <w:r>
        <w:rPr>
          <w:rFonts w:hint="eastAsia" w:ascii="宋体" w:hAnsi="宋体" w:eastAsia="宋体" w:cs="宋体"/>
          <w:color w:val="333333"/>
          <w:kern w:val="0"/>
          <w:sz w:val="19"/>
          <w:szCs w:val="19"/>
        </w:rPr>
        <w:t>年</w:t>
      </w:r>
      <w:r>
        <w:rPr>
          <w:rFonts w:hint="eastAsia" w:ascii="宋体" w:hAnsi="宋体" w:eastAsia="宋体" w:cs="宋体"/>
          <w:color w:val="333333"/>
          <w:kern w:val="0"/>
          <w:sz w:val="19"/>
          <w:szCs w:val="19"/>
          <w:lang w:val="en-US" w:eastAsia="zh-CN"/>
        </w:rPr>
        <w:t>4</w:t>
      </w:r>
      <w:r>
        <w:rPr>
          <w:rFonts w:hint="eastAsia" w:ascii="宋体" w:hAnsi="宋体" w:eastAsia="宋体" w:cs="宋体"/>
          <w:color w:val="333333"/>
          <w:kern w:val="0"/>
          <w:sz w:val="19"/>
          <w:szCs w:val="19"/>
        </w:rPr>
        <w:t>月</w:t>
      </w:r>
      <w:r>
        <w:rPr>
          <w:rFonts w:hint="eastAsia" w:ascii="宋体" w:hAnsi="宋体" w:eastAsia="宋体" w:cs="宋体"/>
          <w:color w:val="333333"/>
          <w:kern w:val="0"/>
          <w:sz w:val="19"/>
          <w:szCs w:val="19"/>
          <w:lang w:val="en-US" w:eastAsia="zh-CN"/>
        </w:rPr>
        <w:t>14</w:t>
      </w:r>
      <w:r>
        <w:rPr>
          <w:rFonts w:hint="eastAsia" w:ascii="宋体" w:hAnsi="宋体" w:eastAsia="宋体" w:cs="宋体"/>
          <w:color w:val="333333"/>
          <w:kern w:val="0"/>
          <w:sz w:val="19"/>
          <w:szCs w:val="19"/>
        </w:rPr>
        <w:t>日(5个工作日)。</w:t>
      </w:r>
    </w:p>
    <w:p w14:paraId="2412A219">
      <w:pPr>
        <w:widowControl/>
        <w:shd w:val="clear" w:color="auto" w:fill="FAFAFA"/>
        <w:ind w:firstLine="38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听证权利告知：依据《中华人民共和国行政许可法》，自公示起五日内申请人、利害关系人可对以下拟作出的建设项目环境影响评价文件审批意见要求听证。</w:t>
      </w:r>
    </w:p>
    <w:p w14:paraId="4C5640D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联系方式</w:t>
      </w:r>
    </w:p>
    <w:p w14:paraId="53CDC799">
      <w:pPr>
        <w:widowControl/>
        <w:shd w:val="clear" w:color="auto" w:fill="FAFAFA"/>
        <w:jc w:val="left"/>
        <w:rPr>
          <w:rFonts w:hint="default"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rPr>
        <w:t>威海市生态环境局荣成分局：</w:t>
      </w:r>
      <w:r>
        <w:rPr>
          <w:rFonts w:hint="eastAsia" w:ascii="宋体" w:hAnsi="宋体" w:eastAsia="宋体" w:cs="宋体"/>
          <w:color w:val="333333"/>
          <w:kern w:val="0"/>
          <w:sz w:val="19"/>
          <w:szCs w:val="19"/>
          <w:lang w:val="en-US" w:eastAsia="zh-CN"/>
        </w:rPr>
        <w:t>0631-7591987</w:t>
      </w:r>
    </w:p>
    <w:p w14:paraId="0FCD525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电子信箱：rcshbjstk@wh.shandong.com</w:t>
      </w:r>
    </w:p>
    <w:p w14:paraId="6F774BB5">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通讯地址：荣成市观海东路28号威海市生态环境局荣成分局</w:t>
      </w:r>
    </w:p>
    <w:p w14:paraId="09BC533E">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邮编：264300</w:t>
      </w:r>
    </w:p>
    <w:p w14:paraId="00D62506">
      <w:pPr>
        <w:widowControl/>
        <w:shd w:val="clear" w:color="auto" w:fill="FAFAFA"/>
        <w:jc w:val="center"/>
        <w:rPr>
          <w:rFonts w:ascii="宋体" w:hAnsi="宋体" w:eastAsia="宋体" w:cs="宋体"/>
          <w:color w:val="333333"/>
          <w:kern w:val="0"/>
          <w:sz w:val="19"/>
          <w:szCs w:val="19"/>
        </w:rPr>
      </w:pPr>
      <w:r>
        <w:rPr>
          <w:rFonts w:hint="eastAsia" w:ascii="宋体" w:hAnsi="宋体" w:eastAsia="宋体" w:cs="宋体"/>
          <w:b/>
          <w:bCs/>
          <w:color w:val="333333"/>
          <w:kern w:val="0"/>
          <w:sz w:val="19"/>
          <w:lang w:eastAsia="zh-CN"/>
        </w:rPr>
        <w:t>202</w:t>
      </w:r>
      <w:r>
        <w:rPr>
          <w:rFonts w:hint="eastAsia" w:ascii="宋体" w:hAnsi="宋体" w:eastAsia="宋体" w:cs="宋体"/>
          <w:b/>
          <w:bCs/>
          <w:color w:val="333333"/>
          <w:kern w:val="0"/>
          <w:sz w:val="19"/>
          <w:lang w:val="en-US" w:eastAsia="zh-CN"/>
        </w:rPr>
        <w:t>6</w:t>
      </w:r>
      <w:r>
        <w:rPr>
          <w:rFonts w:hint="eastAsia" w:ascii="宋体" w:hAnsi="宋体" w:eastAsia="宋体" w:cs="宋体"/>
          <w:b/>
          <w:bCs/>
          <w:color w:val="333333"/>
          <w:kern w:val="0"/>
          <w:sz w:val="19"/>
          <w:lang w:eastAsia="zh-CN"/>
        </w:rPr>
        <w:t>年</w:t>
      </w:r>
      <w:r>
        <w:rPr>
          <w:rFonts w:hint="eastAsia" w:ascii="宋体" w:hAnsi="宋体" w:eastAsia="宋体" w:cs="宋体"/>
          <w:b/>
          <w:bCs/>
          <w:color w:val="333333"/>
          <w:kern w:val="0"/>
          <w:sz w:val="19"/>
          <w:lang w:val="en-US" w:eastAsia="zh-CN"/>
        </w:rPr>
        <w:t>4</w:t>
      </w:r>
      <w:r>
        <w:rPr>
          <w:rFonts w:hint="eastAsia" w:ascii="宋体" w:hAnsi="宋体" w:eastAsia="宋体" w:cs="宋体"/>
          <w:b/>
          <w:bCs/>
          <w:color w:val="333333"/>
          <w:kern w:val="0"/>
          <w:sz w:val="19"/>
          <w:lang w:eastAsia="zh-CN"/>
        </w:rPr>
        <w:t>月</w:t>
      </w:r>
      <w:r>
        <w:rPr>
          <w:rFonts w:hint="eastAsia" w:ascii="宋体" w:hAnsi="宋体" w:eastAsia="宋体" w:cs="宋体"/>
          <w:b/>
          <w:bCs/>
          <w:color w:val="333333"/>
          <w:kern w:val="0"/>
          <w:sz w:val="19"/>
          <w:lang w:val="en-US" w:eastAsia="zh-CN"/>
        </w:rPr>
        <w:t>8</w:t>
      </w:r>
      <w:r>
        <w:rPr>
          <w:rFonts w:hint="eastAsia" w:ascii="宋体" w:hAnsi="宋体" w:eastAsia="宋体" w:cs="宋体"/>
          <w:b/>
          <w:bCs/>
          <w:color w:val="333333"/>
          <w:kern w:val="0"/>
          <w:sz w:val="19"/>
          <w:lang w:eastAsia="zh-CN"/>
        </w:rPr>
        <w:t>日</w:t>
      </w:r>
      <w:r>
        <w:rPr>
          <w:rFonts w:hint="eastAsia" w:ascii="宋体" w:hAnsi="宋体" w:eastAsia="宋体" w:cs="宋体"/>
          <w:b/>
          <w:bCs/>
          <w:color w:val="333333"/>
          <w:kern w:val="0"/>
          <w:sz w:val="19"/>
        </w:rPr>
        <w:t>拟批准的建设项目环境影响报告表</w:t>
      </w:r>
    </w:p>
    <w:tbl>
      <w:tblPr>
        <w:tblStyle w:val="11"/>
        <w:tblW w:w="10881" w:type="dxa"/>
        <w:jc w:val="center"/>
        <w:tblBorders>
          <w:top w:val="outset" w:color="auto" w:sz="6" w:space="0"/>
          <w:left w:val="outset" w:color="auto" w:sz="6" w:space="0"/>
          <w:bottom w:val="outset" w:color="auto" w:sz="6" w:space="0"/>
          <w:right w:val="outset" w:color="auto" w:sz="6" w:space="0"/>
          <w:insideH w:val="none" w:color="auto" w:sz="0" w:space="0"/>
          <w:insideV w:val="none" w:color="auto" w:sz="0" w:space="0"/>
        </w:tblBorders>
        <w:tblLayout w:type="autofit"/>
        <w:tblCellMar>
          <w:top w:w="0" w:type="dxa"/>
          <w:left w:w="0" w:type="dxa"/>
          <w:bottom w:w="0" w:type="dxa"/>
          <w:right w:w="0" w:type="dxa"/>
        </w:tblCellMar>
      </w:tblPr>
      <w:tblGrid>
        <w:gridCol w:w="394"/>
        <w:gridCol w:w="734"/>
        <w:gridCol w:w="1083"/>
        <w:gridCol w:w="578"/>
        <w:gridCol w:w="551"/>
        <w:gridCol w:w="2635"/>
        <w:gridCol w:w="3747"/>
        <w:gridCol w:w="455"/>
        <w:gridCol w:w="704"/>
      </w:tblGrid>
      <w:tr w14:paraId="3C6C13C2">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tblHeader/>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5423BA50">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序号</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0C6ACBAE">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项目名称</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63B7891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建设地点</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DBBE03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10E4C016">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环境影响评价机构</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EBFE74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项目概况</w:t>
            </w: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6F5A774">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主要环境影响及预防或者减轻不良环境影响的对策和措施</w:t>
            </w: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BE163B3">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公众参与情况</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4DD378E7">
            <w:pPr>
              <w:widowControl/>
              <w:snapToGrid w:val="0"/>
              <w:ind w:left="0" w:leftChars="0" w:right="0" w:rightChars="0" w:firstLine="0" w:firstLineChars="0"/>
              <w:jc w:val="center"/>
              <w:rPr>
                <w:b/>
                <w:color w:val="333333"/>
                <w:sz w:val="19"/>
                <w:szCs w:val="19"/>
                <w:shd w:val="clear" w:color="auto" w:fill="FAFAFA"/>
              </w:rPr>
            </w:pPr>
            <w:r>
              <w:rPr>
                <w:rFonts w:hint="eastAsia"/>
                <w:b/>
                <w:color w:val="333333"/>
                <w:sz w:val="19"/>
                <w:szCs w:val="19"/>
                <w:shd w:val="clear" w:color="auto" w:fill="FAFAFA"/>
              </w:rPr>
              <w:t>建设单位或地方政府所作出的相关环境保护措施承诺文件</w:t>
            </w:r>
          </w:p>
        </w:tc>
      </w:tr>
      <w:tr w14:paraId="0F54398F">
        <w:tblPrEx>
          <w:tblBorders>
            <w:top w:val="outset" w:color="auto" w:sz="6" w:space="0"/>
            <w:left w:val="outset" w:color="auto" w:sz="6" w:space="0"/>
            <w:bottom w:val="outset" w:color="auto" w:sz="6" w:space="0"/>
            <w:right w:val="outset" w:color="auto" w:sz="6" w:space="0"/>
            <w:insideH w:val="none" w:color="auto" w:sz="0" w:space="0"/>
            <w:insideV w:val="none" w:color="auto" w:sz="0" w:space="0"/>
          </w:tblBorders>
          <w:tblCellMar>
            <w:top w:w="0" w:type="dxa"/>
            <w:left w:w="0" w:type="dxa"/>
            <w:bottom w:w="0" w:type="dxa"/>
            <w:right w:w="0" w:type="dxa"/>
          </w:tblCellMar>
        </w:tblPrEx>
        <w:trPr>
          <w:trHeight w:val="0" w:hRule="atLeast"/>
          <w:jc w:val="center"/>
        </w:trPr>
        <w:tc>
          <w:tcPr>
            <w:tcW w:w="394" w:type="dxa"/>
            <w:tcBorders>
              <w:top w:val="single" w:color="auto" w:sz="6" w:space="0"/>
              <w:left w:val="single" w:color="auto" w:sz="6" w:space="0"/>
              <w:bottom w:val="single" w:color="auto" w:sz="6" w:space="0"/>
              <w:right w:val="single" w:color="auto" w:sz="6" w:space="0"/>
            </w:tcBorders>
            <w:shd w:val="clear" w:color="auto" w:fill="auto"/>
            <w:tcMar>
              <w:top w:w="0" w:type="dxa"/>
              <w:left w:w="95" w:type="dxa"/>
              <w:bottom w:w="0" w:type="dxa"/>
              <w:right w:w="95" w:type="dxa"/>
            </w:tcMar>
            <w:vAlign w:val="center"/>
          </w:tcPr>
          <w:p w14:paraId="34E1AE9E">
            <w:pPr>
              <w:widowControl/>
              <w:snapToGrid w:val="0"/>
              <w:ind w:left="0" w:leftChars="0" w:right="0" w:rightChars="0" w:firstLine="0" w:firstLineChars="0"/>
              <w:jc w:val="center"/>
              <w:rPr>
                <w:rFonts w:hint="default"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1</w:t>
            </w:r>
          </w:p>
        </w:tc>
        <w:tc>
          <w:tcPr>
            <w:tcW w:w="73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2955CCD4">
            <w:pPr>
              <w:spacing w:line="360" w:lineRule="auto"/>
              <w:jc w:val="center"/>
              <w:rPr>
                <w:rFonts w:hint="eastAsia"/>
                <w:color w:val="333333"/>
                <w:sz w:val="19"/>
                <w:szCs w:val="19"/>
                <w:shd w:val="clear" w:color="auto" w:fill="FAFAFA"/>
              </w:rPr>
            </w:pPr>
            <w:r>
              <w:rPr>
                <w:rFonts w:hint="eastAsia" w:asciiTheme="majorEastAsia" w:hAnsiTheme="majorEastAsia" w:eastAsiaTheme="majorEastAsia" w:cstheme="majorEastAsia"/>
                <w:kern w:val="0"/>
                <w:sz w:val="21"/>
                <w:szCs w:val="21"/>
                <w:lang w:val="en-US" w:eastAsia="zh-CN"/>
              </w:rPr>
              <w:t>威海荣成港中110千伏变电站1号主变增容工程</w:t>
            </w:r>
          </w:p>
        </w:tc>
        <w:tc>
          <w:tcPr>
            <w:tcW w:w="1083"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A245325">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eastAsia" w:asciiTheme="majorEastAsia" w:hAnsiTheme="majorEastAsia" w:eastAsiaTheme="majorEastAsia" w:cstheme="majorEastAsia"/>
                <w:kern w:val="0"/>
                <w:sz w:val="21"/>
                <w:szCs w:val="21"/>
                <w:lang w:eastAsia="zh-CN"/>
              </w:rPr>
              <w:t>山东省</w:t>
            </w:r>
            <w:r>
              <w:rPr>
                <w:rFonts w:hint="eastAsia" w:asciiTheme="majorEastAsia" w:hAnsiTheme="majorEastAsia" w:eastAsiaTheme="majorEastAsia" w:cstheme="majorEastAsia"/>
                <w:kern w:val="0"/>
                <w:sz w:val="21"/>
                <w:szCs w:val="21"/>
                <w:lang w:eastAsia="zh"/>
              </w:rPr>
              <w:t>荣成市港西成大西路881号</w:t>
            </w:r>
          </w:p>
        </w:tc>
        <w:tc>
          <w:tcPr>
            <w:tcW w:w="578"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09EEA037">
            <w:pPr>
              <w:widowControl/>
              <w:snapToGrid w:val="0"/>
              <w:ind w:left="0" w:leftChars="0" w:right="0" w:rightChars="0" w:firstLine="0" w:firstLineChars="0"/>
              <w:jc w:val="center"/>
              <w:rPr>
                <w:rFonts w:hint="eastAsia"/>
                <w:color w:val="333333"/>
                <w:sz w:val="19"/>
                <w:szCs w:val="19"/>
                <w:shd w:val="clear" w:color="auto" w:fill="FAFAFA"/>
              </w:rPr>
            </w:pPr>
            <w:r>
              <w:rPr>
                <w:rFonts w:hint="eastAsia" w:asciiTheme="majorEastAsia" w:hAnsiTheme="majorEastAsia" w:eastAsiaTheme="majorEastAsia" w:cstheme="majorEastAsia"/>
                <w:kern w:val="0"/>
                <w:sz w:val="21"/>
                <w:szCs w:val="21"/>
              </w:rPr>
              <w:t>国网山东省电力公司</w:t>
            </w:r>
            <w:r>
              <w:rPr>
                <w:rFonts w:hint="eastAsia" w:asciiTheme="majorEastAsia" w:hAnsiTheme="majorEastAsia" w:eastAsiaTheme="majorEastAsia" w:cstheme="majorEastAsia"/>
                <w:kern w:val="0"/>
                <w:sz w:val="21"/>
                <w:szCs w:val="21"/>
                <w:lang w:val="en-US" w:eastAsia="zh-CN"/>
              </w:rPr>
              <w:t>威海</w:t>
            </w:r>
            <w:r>
              <w:rPr>
                <w:rFonts w:hint="eastAsia" w:asciiTheme="majorEastAsia" w:hAnsiTheme="majorEastAsia" w:eastAsiaTheme="majorEastAsia" w:cstheme="majorEastAsia"/>
                <w:kern w:val="0"/>
                <w:sz w:val="21"/>
                <w:szCs w:val="21"/>
              </w:rPr>
              <w:t>供电公司</w:t>
            </w:r>
          </w:p>
        </w:tc>
        <w:tc>
          <w:tcPr>
            <w:tcW w:w="551"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5557BAA0">
            <w:pPr>
              <w:widowControl/>
              <w:snapToGrid w:val="0"/>
              <w:ind w:left="0" w:leftChars="0" w:right="0" w:rightChars="0" w:firstLine="0" w:firstLineChars="0"/>
              <w:jc w:val="center"/>
              <w:rPr>
                <w:rFonts w:hint="eastAsia" w:asciiTheme="majorEastAsia" w:hAnsiTheme="majorEastAsia" w:eastAsiaTheme="majorEastAsia" w:cstheme="majorEastAsia"/>
                <w:kern w:val="0"/>
                <w:sz w:val="21"/>
                <w:szCs w:val="21"/>
              </w:rPr>
            </w:pPr>
            <w:r>
              <w:rPr>
                <w:rFonts w:hint="eastAsia" w:asciiTheme="majorEastAsia" w:hAnsiTheme="majorEastAsia" w:eastAsiaTheme="majorEastAsia" w:cstheme="majorEastAsia"/>
                <w:kern w:val="0"/>
                <w:sz w:val="21"/>
                <w:szCs w:val="21"/>
                <w:lang w:val="en-US" w:eastAsia="zh-CN"/>
              </w:rPr>
              <w:t>山东省环科院环境检测有限公司</w:t>
            </w:r>
          </w:p>
        </w:tc>
        <w:tc>
          <w:tcPr>
            <w:tcW w:w="263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31B48FD4">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威海荣成港中110千伏变电站1号主变增容工程主要包括1#主变增容。变电站站址位于山东省荣成市港西镇工业园区中心。变电站规划主变规模3×63MVA，本期将现有1号主变（容量31.5MVA）拆除，在现有1号主变位置新建1台63MVA，主变户外，110kV配电装置户外AIS布置。工程总投资845万元，其中环保投资70万元。</w:t>
            </w:r>
          </w:p>
          <w:p w14:paraId="7916F8DE">
            <w:pPr>
              <w:widowControl/>
              <w:snapToGrid w:val="0"/>
              <w:ind w:left="0" w:leftChars="0" w:right="0" w:rightChars="0" w:firstLine="0" w:firstLineChars="0"/>
              <w:jc w:val="left"/>
              <w:rPr>
                <w:rFonts w:hint="default" w:ascii="宋体" w:hAnsi="宋体" w:eastAsia="宋体" w:cs="宋体"/>
                <w:color w:val="333333"/>
                <w:kern w:val="0"/>
                <w:sz w:val="19"/>
                <w:szCs w:val="19"/>
                <w:lang w:val="en-US" w:eastAsia="zh-CN"/>
              </w:rPr>
            </w:pPr>
          </w:p>
        </w:tc>
        <w:tc>
          <w:tcPr>
            <w:tcW w:w="3747"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2A7EE54E">
            <w:pPr>
              <w:widowControl/>
              <w:numPr>
                <w:ilvl w:val="0"/>
                <w:numId w:val="0"/>
              </w:numPr>
              <w:snapToGrid w:val="0"/>
              <w:ind w:left="0" w:leftChars="0" w:right="0" w:right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bidi="ar-SA"/>
              </w:rPr>
              <w:t>一、</w:t>
            </w:r>
            <w:r>
              <w:rPr>
                <w:rFonts w:hint="default" w:ascii="宋体" w:hAnsi="宋体" w:eastAsia="宋体" w:cs="宋体"/>
                <w:color w:val="333333"/>
                <w:kern w:val="0"/>
                <w:sz w:val="19"/>
                <w:szCs w:val="19"/>
              </w:rPr>
              <w:t>主要环境影响</w:t>
            </w:r>
          </w:p>
          <w:p w14:paraId="7D4E5CDC">
            <w:pPr>
              <w:widowControl/>
              <w:snapToGrid w:val="0"/>
              <w:ind w:left="0" w:leftChars="0" w:right="0" w:rightChars="0" w:firstLine="0" w:firstLineChars="0"/>
              <w:jc w:val="left"/>
              <w:rPr>
                <w:rFonts w:hint="eastAsia" w:ascii="宋体" w:hAnsi="宋体" w:eastAsia="宋体" w:cs="宋体"/>
                <w:color w:val="333333"/>
                <w:kern w:val="0"/>
                <w:sz w:val="19"/>
                <w:szCs w:val="19"/>
                <w:lang w:val="en-US" w:eastAsia="zh-CN"/>
              </w:rPr>
            </w:pPr>
            <w:r>
              <w:rPr>
                <w:rFonts w:hint="eastAsia" w:ascii="宋体" w:hAnsi="宋体" w:eastAsia="宋体" w:cs="宋体"/>
                <w:color w:val="333333"/>
                <w:kern w:val="0"/>
                <w:sz w:val="19"/>
                <w:szCs w:val="19"/>
                <w:lang w:val="en-US" w:eastAsia="zh-CN"/>
              </w:rPr>
              <w:t>（一）</w:t>
            </w:r>
            <w:r>
              <w:rPr>
                <w:rFonts w:hint="eastAsia" w:ascii="宋体" w:hAnsi="宋体" w:eastAsia="宋体" w:cs="宋体"/>
                <w:color w:val="333333"/>
                <w:kern w:val="0"/>
                <w:sz w:val="19"/>
                <w:szCs w:val="19"/>
              </w:rPr>
              <w:t>施工期</w:t>
            </w:r>
            <w:r>
              <w:rPr>
                <w:rFonts w:hint="eastAsia" w:ascii="宋体" w:hAnsi="宋体" w:eastAsia="宋体" w:cs="宋体"/>
                <w:color w:val="333333"/>
                <w:kern w:val="0"/>
                <w:sz w:val="19"/>
                <w:szCs w:val="19"/>
                <w:lang w:val="en-US" w:eastAsia="zh-CN"/>
              </w:rPr>
              <w:t>环境影响</w:t>
            </w:r>
          </w:p>
          <w:p w14:paraId="4A13FDF6">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项目施工期产生</w:t>
            </w:r>
            <w:r>
              <w:rPr>
                <w:rFonts w:hint="default" w:ascii="宋体" w:hAnsi="宋体" w:eastAsia="宋体" w:cs="宋体"/>
                <w:color w:val="333333"/>
                <w:kern w:val="0"/>
                <w:sz w:val="19"/>
                <w:szCs w:val="19"/>
                <w:lang w:val="en-US" w:eastAsia="zh-CN"/>
              </w:rPr>
              <w:t>的</w:t>
            </w:r>
            <w:r>
              <w:rPr>
                <w:rFonts w:hint="default" w:ascii="宋体" w:hAnsi="宋体" w:eastAsia="宋体" w:cs="宋体"/>
                <w:color w:val="333333"/>
                <w:kern w:val="0"/>
                <w:sz w:val="19"/>
                <w:szCs w:val="19"/>
              </w:rPr>
              <w:t>施工噪声</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扬尘、废水、固体废物等会对周围环境造成影响，但这些影响都将随着工程的完工而自然消失。</w:t>
            </w:r>
            <w:r>
              <w:rPr>
                <w:rFonts w:hint="default" w:ascii="宋体" w:hAnsi="宋体" w:eastAsia="宋体" w:cs="宋体"/>
                <w:color w:val="333333"/>
                <w:kern w:val="0"/>
                <w:sz w:val="19"/>
                <w:szCs w:val="19"/>
                <w:lang w:val="en-US" w:eastAsia="zh-CN"/>
              </w:rPr>
              <w:t>拆除的原1号主变压器由国网山东省电力公司威海供电公司统一处置，</w:t>
            </w:r>
            <w:r>
              <w:rPr>
                <w:rFonts w:hint="default" w:ascii="宋体" w:hAnsi="宋体" w:eastAsia="宋体" w:cs="宋体"/>
                <w:color w:val="333333"/>
                <w:kern w:val="0"/>
                <w:sz w:val="19"/>
                <w:szCs w:val="19"/>
              </w:rPr>
              <w:t>对周围环境无影响</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lang w:val="en-US" w:eastAsia="zh-CN"/>
              </w:rPr>
              <w:t>原1号主变拆除过程中产生的废变压器油委托有资质单位处置</w:t>
            </w:r>
            <w:r>
              <w:rPr>
                <w:rFonts w:hint="default" w:ascii="宋体" w:hAnsi="宋体" w:eastAsia="宋体" w:cs="宋体"/>
                <w:color w:val="333333"/>
                <w:kern w:val="0"/>
                <w:sz w:val="19"/>
                <w:szCs w:val="19"/>
              </w:rPr>
              <w:t xml:space="preserve">。切实做好防护工作，合理安排施工，使其对环境的影响减至最低限度，以尽量减少对环境的影响和对周围居民的干扰。 </w:t>
            </w:r>
          </w:p>
          <w:p w14:paraId="31ED7142">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bidi="ar-SA"/>
              </w:rPr>
              <w:t>（二）</w:t>
            </w:r>
            <w:r>
              <w:rPr>
                <w:rFonts w:hint="default" w:ascii="宋体" w:hAnsi="宋体" w:eastAsia="宋体" w:cs="宋体"/>
                <w:color w:val="333333"/>
                <w:kern w:val="0"/>
                <w:sz w:val="19"/>
                <w:szCs w:val="19"/>
              </w:rPr>
              <w:t>运营期间环境影响</w:t>
            </w:r>
          </w:p>
          <w:p w14:paraId="0CBB5EFF">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（1）电磁环境</w:t>
            </w:r>
            <w:r>
              <w:rPr>
                <w:rFonts w:hint="eastAsia" w:ascii="宋体" w:hAnsi="宋体" w:eastAsia="宋体" w:cs="宋体"/>
                <w:color w:val="333333"/>
                <w:kern w:val="0"/>
                <w:sz w:val="19"/>
                <w:szCs w:val="19"/>
                <w:lang w:val="en-US" w:eastAsia="zh-CN"/>
              </w:rPr>
              <w:t>影响</w:t>
            </w:r>
          </w:p>
          <w:p w14:paraId="678BA835">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根据类比</w:t>
            </w:r>
            <w:r>
              <w:rPr>
                <w:rFonts w:hint="default" w:ascii="宋体" w:hAnsi="宋体" w:eastAsia="宋体" w:cs="宋体"/>
                <w:color w:val="333333"/>
                <w:kern w:val="0"/>
                <w:sz w:val="19"/>
                <w:szCs w:val="19"/>
                <w:lang w:val="en-US" w:eastAsia="zh-CN"/>
              </w:rPr>
              <w:t>分析</w:t>
            </w:r>
            <w:r>
              <w:rPr>
                <w:rFonts w:hint="default" w:ascii="宋体" w:hAnsi="宋体" w:eastAsia="宋体" w:cs="宋体"/>
                <w:color w:val="333333"/>
                <w:kern w:val="0"/>
                <w:sz w:val="19"/>
                <w:szCs w:val="19"/>
              </w:rPr>
              <w:t>可知，变电站建成</w:t>
            </w:r>
            <w:r>
              <w:rPr>
                <w:rFonts w:hint="default" w:ascii="宋体" w:hAnsi="宋体" w:eastAsia="宋体" w:cs="宋体"/>
                <w:color w:val="333333"/>
                <w:kern w:val="0"/>
                <w:sz w:val="19"/>
                <w:szCs w:val="19"/>
                <w:lang w:val="en-US" w:eastAsia="zh-CN"/>
              </w:rPr>
              <w:t>运行</w:t>
            </w:r>
            <w:r>
              <w:rPr>
                <w:rFonts w:hint="default" w:ascii="宋体" w:hAnsi="宋体" w:eastAsia="宋体" w:cs="宋体"/>
                <w:color w:val="333333"/>
                <w:kern w:val="0"/>
                <w:sz w:val="19"/>
                <w:szCs w:val="19"/>
              </w:rPr>
              <w:t>后</w:t>
            </w:r>
            <w:r>
              <w:rPr>
                <w:rFonts w:hint="default" w:ascii="宋体" w:hAnsi="宋体" w:eastAsia="宋体" w:cs="宋体"/>
                <w:color w:val="333333"/>
                <w:kern w:val="0"/>
                <w:sz w:val="19"/>
                <w:szCs w:val="19"/>
                <w:lang w:val="en-US" w:eastAsia="zh-CN"/>
              </w:rPr>
              <w:t>站址周边及环境敏感目标</w:t>
            </w:r>
            <w:r>
              <w:rPr>
                <w:rFonts w:hint="default" w:ascii="宋体" w:hAnsi="宋体" w:eastAsia="宋体" w:cs="宋体"/>
                <w:color w:val="333333"/>
                <w:kern w:val="0"/>
                <w:sz w:val="19"/>
                <w:szCs w:val="19"/>
              </w:rPr>
              <w:t>的工频电场强度、工频磁感应强度均</w:t>
            </w:r>
            <w:r>
              <w:rPr>
                <w:rFonts w:hint="default" w:ascii="宋体" w:hAnsi="宋体" w:eastAsia="宋体" w:cs="宋体"/>
                <w:color w:val="333333"/>
                <w:kern w:val="0"/>
                <w:sz w:val="19"/>
                <w:szCs w:val="19"/>
                <w:lang w:val="en-US" w:eastAsia="zh-CN"/>
              </w:rPr>
              <w:t>满足</w:t>
            </w:r>
            <w:r>
              <w:rPr>
                <w:rFonts w:hint="default" w:ascii="宋体" w:hAnsi="宋体" w:eastAsia="宋体" w:cs="宋体"/>
                <w:color w:val="333333"/>
                <w:kern w:val="0"/>
                <w:sz w:val="19"/>
                <w:szCs w:val="19"/>
              </w:rPr>
              <w:t>《电磁环境控制限值》</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GB8702-2014</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频率为50Hz时电场强度为 4000V/m、磁感应强度为100μT的公众曝露控制限值</w:t>
            </w:r>
            <w:r>
              <w:rPr>
                <w:rFonts w:hint="default" w:ascii="宋体" w:hAnsi="宋体" w:eastAsia="宋体" w:cs="宋体"/>
                <w:color w:val="333333"/>
                <w:kern w:val="0"/>
                <w:sz w:val="19"/>
                <w:szCs w:val="19"/>
                <w:lang w:val="en-US" w:eastAsia="zh-CN"/>
              </w:rPr>
              <w:t>要求</w:t>
            </w:r>
            <w:r>
              <w:rPr>
                <w:rFonts w:hint="default" w:ascii="宋体" w:hAnsi="宋体" w:eastAsia="宋体" w:cs="宋体"/>
                <w:color w:val="333333"/>
                <w:kern w:val="0"/>
                <w:sz w:val="19"/>
                <w:szCs w:val="19"/>
              </w:rPr>
              <w:t>。</w:t>
            </w:r>
          </w:p>
          <w:p w14:paraId="434B70BF">
            <w:pPr>
              <w:widowControl/>
              <w:numPr>
                <w:ilvl w:val="0"/>
                <w:numId w:val="0"/>
              </w:numPr>
              <w:snapToGrid w:val="0"/>
              <w:ind w:left="0" w:leftChars="0" w:right="0" w:rightChars="0" w:firstLine="0" w:firstLine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（2）声环境影响</w:t>
            </w:r>
          </w:p>
          <w:p w14:paraId="25F031B3">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根据理论预测可知，</w:t>
            </w:r>
            <w:r>
              <w:rPr>
                <w:rFonts w:hint="default" w:ascii="宋体" w:hAnsi="宋体" w:eastAsia="宋体" w:cs="宋体"/>
                <w:color w:val="333333"/>
                <w:kern w:val="0"/>
                <w:sz w:val="19"/>
                <w:szCs w:val="19"/>
                <w:lang w:eastAsia="zh-CN"/>
              </w:rPr>
              <w:t>1</w:t>
            </w:r>
            <w:r>
              <w:rPr>
                <w:rFonts w:hint="default" w:ascii="宋体" w:hAnsi="宋体" w:eastAsia="宋体" w:cs="宋体"/>
                <w:color w:val="333333"/>
                <w:kern w:val="0"/>
                <w:sz w:val="19"/>
                <w:szCs w:val="19"/>
                <w:lang w:val="en-US" w:eastAsia="zh-CN"/>
              </w:rPr>
              <w:t>号主变增容工程</w:t>
            </w:r>
            <w:r>
              <w:rPr>
                <w:rFonts w:hint="default" w:ascii="宋体" w:hAnsi="宋体" w:eastAsia="宋体" w:cs="宋体"/>
                <w:color w:val="333333"/>
                <w:kern w:val="0"/>
                <w:sz w:val="19"/>
                <w:szCs w:val="19"/>
              </w:rPr>
              <w:t>建成运行后，变电站各厂界的</w:t>
            </w:r>
            <w:r>
              <w:rPr>
                <w:rFonts w:hint="default" w:ascii="宋体" w:hAnsi="宋体" w:eastAsia="宋体" w:cs="宋体"/>
                <w:color w:val="333333"/>
                <w:kern w:val="0"/>
                <w:sz w:val="19"/>
                <w:szCs w:val="19"/>
                <w:lang w:val="en-US" w:eastAsia="zh-CN"/>
              </w:rPr>
              <w:t>噪声预测值</w:t>
            </w:r>
            <w:r>
              <w:rPr>
                <w:rFonts w:hint="default" w:ascii="宋体" w:hAnsi="宋体" w:eastAsia="宋体" w:cs="宋体"/>
                <w:color w:val="333333"/>
                <w:kern w:val="0"/>
                <w:sz w:val="19"/>
                <w:szCs w:val="19"/>
              </w:rPr>
              <w:t>符合《工业企业厂界环境噪声排放标准》</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GB12348-2008</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lang w:val="en-US" w:eastAsia="zh-CN"/>
              </w:rPr>
              <w:t>2</w:t>
            </w:r>
            <w:r>
              <w:rPr>
                <w:rFonts w:hint="default" w:ascii="宋体" w:hAnsi="宋体" w:eastAsia="宋体" w:cs="宋体"/>
                <w:color w:val="333333"/>
                <w:kern w:val="0"/>
                <w:sz w:val="19"/>
                <w:szCs w:val="19"/>
              </w:rPr>
              <w:t>类区标准限值要求。</w:t>
            </w:r>
          </w:p>
          <w:p w14:paraId="543567DE">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val="en-US" w:eastAsia="zh-CN"/>
              </w:rPr>
              <w:t>根据理论预测可知，</w:t>
            </w:r>
            <w:r>
              <w:rPr>
                <w:rFonts w:hint="default" w:ascii="宋体" w:hAnsi="宋体" w:eastAsia="宋体" w:cs="宋体"/>
                <w:color w:val="333333"/>
                <w:kern w:val="0"/>
                <w:sz w:val="19"/>
                <w:szCs w:val="19"/>
                <w:lang w:eastAsia="zh-CN"/>
              </w:rPr>
              <w:t>1</w:t>
            </w:r>
            <w:r>
              <w:rPr>
                <w:rFonts w:hint="default" w:ascii="宋体" w:hAnsi="宋体" w:eastAsia="宋体" w:cs="宋体"/>
                <w:color w:val="333333"/>
                <w:kern w:val="0"/>
                <w:sz w:val="19"/>
                <w:szCs w:val="19"/>
                <w:lang w:val="en-US" w:eastAsia="zh-CN"/>
              </w:rPr>
              <w:t>号主变增容工程</w:t>
            </w:r>
            <w:r>
              <w:rPr>
                <w:rFonts w:hint="default" w:ascii="宋体" w:hAnsi="宋体" w:eastAsia="宋体" w:cs="宋体"/>
                <w:color w:val="333333"/>
                <w:kern w:val="0"/>
                <w:sz w:val="19"/>
                <w:szCs w:val="19"/>
              </w:rPr>
              <w:t>建成运行后，</w:t>
            </w:r>
            <w:r>
              <w:rPr>
                <w:rFonts w:hint="default" w:ascii="宋体" w:hAnsi="宋体" w:eastAsia="宋体" w:cs="宋体"/>
                <w:color w:val="333333"/>
                <w:kern w:val="0"/>
                <w:sz w:val="19"/>
                <w:szCs w:val="19"/>
                <w:lang w:val="en-US" w:eastAsia="zh-CN"/>
              </w:rPr>
              <w:t>声环境敏感目标处的预测值符合</w:t>
            </w:r>
            <w:r>
              <w:rPr>
                <w:rFonts w:hint="default" w:ascii="宋体" w:hAnsi="宋体" w:eastAsia="宋体" w:cs="宋体"/>
                <w:color w:val="333333"/>
                <w:kern w:val="0"/>
                <w:sz w:val="19"/>
                <w:szCs w:val="19"/>
              </w:rPr>
              <w:t>《</w:t>
            </w:r>
            <w:r>
              <w:rPr>
                <w:rFonts w:hint="default" w:ascii="宋体" w:hAnsi="宋体" w:eastAsia="宋体" w:cs="宋体"/>
                <w:color w:val="333333"/>
                <w:kern w:val="0"/>
                <w:sz w:val="19"/>
                <w:szCs w:val="19"/>
                <w:lang w:val="en-US" w:eastAsia="zh-CN"/>
              </w:rPr>
              <w:t>声环境质量标准</w:t>
            </w:r>
            <w:r>
              <w:rPr>
                <w:rFonts w:hint="default" w:ascii="宋体" w:hAnsi="宋体" w:eastAsia="宋体" w:cs="宋体"/>
                <w:color w:val="333333"/>
                <w:kern w:val="0"/>
                <w:sz w:val="19"/>
                <w:szCs w:val="19"/>
              </w:rPr>
              <w:t>》</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rPr>
              <w:t>GB</w:t>
            </w:r>
            <w:r>
              <w:rPr>
                <w:rFonts w:hint="default" w:ascii="宋体" w:hAnsi="宋体" w:eastAsia="宋体" w:cs="宋体"/>
                <w:color w:val="333333"/>
                <w:kern w:val="0"/>
                <w:sz w:val="19"/>
                <w:szCs w:val="19"/>
                <w:lang w:val="en-US" w:eastAsia="zh-CN"/>
              </w:rPr>
              <w:t>3096-</w:t>
            </w:r>
            <w:r>
              <w:rPr>
                <w:rFonts w:hint="default" w:ascii="宋体" w:hAnsi="宋体" w:eastAsia="宋体" w:cs="宋体"/>
                <w:color w:val="333333"/>
                <w:kern w:val="0"/>
                <w:sz w:val="19"/>
                <w:szCs w:val="19"/>
              </w:rPr>
              <w:t>2008</w:t>
            </w:r>
            <w:r>
              <w:rPr>
                <w:rFonts w:hint="default" w:ascii="宋体" w:hAnsi="宋体" w:eastAsia="宋体" w:cs="宋体"/>
                <w:color w:val="333333"/>
                <w:kern w:val="0"/>
                <w:sz w:val="19"/>
                <w:szCs w:val="19"/>
                <w:lang w:eastAsia="zh-CN"/>
              </w:rPr>
              <w:t>）</w:t>
            </w:r>
            <w:r>
              <w:rPr>
                <w:rFonts w:hint="default" w:ascii="宋体" w:hAnsi="宋体" w:eastAsia="宋体" w:cs="宋体"/>
                <w:color w:val="333333"/>
                <w:kern w:val="0"/>
                <w:sz w:val="19"/>
                <w:szCs w:val="19"/>
                <w:lang w:val="en-US" w:eastAsia="zh-CN"/>
              </w:rPr>
              <w:t>2</w:t>
            </w:r>
            <w:r>
              <w:rPr>
                <w:rFonts w:hint="default" w:ascii="宋体" w:hAnsi="宋体" w:eastAsia="宋体" w:cs="宋体"/>
                <w:color w:val="333333"/>
                <w:kern w:val="0"/>
                <w:sz w:val="19"/>
                <w:szCs w:val="19"/>
              </w:rPr>
              <w:t>类区标准限值要求。</w:t>
            </w:r>
          </w:p>
          <w:p w14:paraId="0BB15709">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eastAsia="zh-CN"/>
              </w:rPr>
              <w:t>（3）</w:t>
            </w:r>
            <w:r>
              <w:rPr>
                <w:rFonts w:hint="default" w:ascii="宋体" w:hAnsi="宋体" w:eastAsia="宋体" w:cs="宋体"/>
                <w:color w:val="333333"/>
                <w:kern w:val="0"/>
                <w:sz w:val="19"/>
                <w:szCs w:val="19"/>
              </w:rPr>
              <w:t xml:space="preserve">水环境影响 </w:t>
            </w:r>
          </w:p>
          <w:p w14:paraId="086011FC">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变电站为无人值守，巡检人员产生的生活污水经化粪池处理后定期清运，不外排，对周围水环境影响较小。</w:t>
            </w:r>
          </w:p>
          <w:p w14:paraId="6A7E72BD">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eastAsia="zh-CN"/>
              </w:rPr>
              <w:t>（4）</w:t>
            </w:r>
            <w:r>
              <w:rPr>
                <w:rFonts w:hint="default" w:ascii="宋体" w:hAnsi="宋体" w:eastAsia="宋体" w:cs="宋体"/>
                <w:color w:val="333333"/>
                <w:kern w:val="0"/>
                <w:sz w:val="19"/>
                <w:szCs w:val="19"/>
              </w:rPr>
              <w:t>固体废物影响</w:t>
            </w:r>
          </w:p>
          <w:p w14:paraId="1DFCF37A">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rPr>
              <w:t>变电站产生的固体废物主要是巡检人员的生活垃圾，经收集后由环卫部门统一</w:t>
            </w:r>
            <w:r>
              <w:rPr>
                <w:rFonts w:hint="default" w:ascii="宋体" w:hAnsi="宋体" w:eastAsia="宋体" w:cs="宋体"/>
                <w:color w:val="333333"/>
                <w:kern w:val="0"/>
                <w:sz w:val="19"/>
                <w:szCs w:val="19"/>
                <w:lang w:val="en-US" w:eastAsia="zh-CN"/>
              </w:rPr>
              <w:t>清运</w:t>
            </w:r>
            <w:r>
              <w:rPr>
                <w:rFonts w:hint="default" w:ascii="宋体" w:hAnsi="宋体" w:eastAsia="宋体" w:cs="宋体"/>
                <w:color w:val="333333"/>
                <w:kern w:val="0"/>
                <w:sz w:val="19"/>
                <w:szCs w:val="19"/>
              </w:rPr>
              <w:t>。变电站产生的废变压器油和废旧蓄电池为危险废物，统一收集后，交有相应危险废物处置资质的单位统一处置</w:t>
            </w:r>
            <w:r>
              <w:rPr>
                <w:rFonts w:hint="default" w:ascii="宋体" w:hAnsi="宋体" w:eastAsia="宋体" w:cs="宋体"/>
                <w:color w:val="333333"/>
                <w:kern w:val="0"/>
                <w:sz w:val="19"/>
                <w:szCs w:val="19"/>
                <w:lang w:eastAsia="zh-CN"/>
              </w:rPr>
              <w:t>。</w:t>
            </w:r>
          </w:p>
          <w:p w14:paraId="19690642">
            <w:pPr>
              <w:widowControl/>
              <w:numPr>
                <w:ilvl w:val="0"/>
                <w:numId w:val="0"/>
              </w:numPr>
              <w:snapToGrid w:val="0"/>
              <w:ind w:leftChars="0" w:right="0" w:right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eastAsia="zh-CN"/>
              </w:rPr>
              <w:t>（5）</w:t>
            </w:r>
            <w:r>
              <w:rPr>
                <w:rFonts w:hint="default" w:ascii="宋体" w:hAnsi="宋体" w:eastAsia="宋体" w:cs="宋体"/>
                <w:color w:val="333333"/>
                <w:kern w:val="0"/>
                <w:sz w:val="19"/>
                <w:szCs w:val="19"/>
                <w:lang w:val="en-US" w:eastAsia="zh-CN"/>
              </w:rPr>
              <w:t>环境风险</w:t>
            </w:r>
          </w:p>
          <w:p w14:paraId="5E4622BB">
            <w:pPr>
              <w:widowControl/>
              <w:numPr>
                <w:ilvl w:val="0"/>
                <w:numId w:val="0"/>
              </w:numPr>
              <w:snapToGrid w:val="0"/>
              <w:ind w:leftChars="0" w:right="0" w:right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本项目严格按规范要求设计，</w:t>
            </w:r>
            <w:r>
              <w:rPr>
                <w:rFonts w:hint="default" w:ascii="宋体" w:hAnsi="宋体" w:eastAsia="宋体" w:cs="宋体"/>
                <w:color w:val="333333"/>
                <w:kern w:val="0"/>
                <w:sz w:val="19"/>
                <w:szCs w:val="19"/>
              </w:rPr>
              <w:t>采取有效的事故防范措施，制定相应的应急预案，</w:t>
            </w:r>
            <w:r>
              <w:rPr>
                <w:rFonts w:hint="default" w:ascii="宋体" w:hAnsi="宋体" w:eastAsia="宋体" w:cs="宋体"/>
                <w:color w:val="333333"/>
                <w:kern w:val="0"/>
                <w:sz w:val="19"/>
                <w:szCs w:val="19"/>
                <w:lang w:eastAsia="zh-CN"/>
              </w:rPr>
              <w:t>本工程</w:t>
            </w:r>
            <w:r>
              <w:rPr>
                <w:rFonts w:hint="default" w:ascii="宋体" w:hAnsi="宋体" w:eastAsia="宋体" w:cs="宋体"/>
                <w:color w:val="333333"/>
                <w:kern w:val="0"/>
                <w:sz w:val="19"/>
                <w:szCs w:val="19"/>
              </w:rPr>
              <w:t>运行后潜在的环境风险是可以接受的。</w:t>
            </w:r>
          </w:p>
          <w:p w14:paraId="257692A4">
            <w:pPr>
              <w:widowControl/>
              <w:snapToGrid w:val="0"/>
              <w:ind w:left="0" w:leftChars="0" w:right="0" w:rightChars="0" w:firstLine="0" w:firstLineChars="0"/>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lang w:val="en-US" w:eastAsia="zh-CN"/>
              </w:rPr>
              <w:t>二</w:t>
            </w:r>
            <w:r>
              <w:rPr>
                <w:rFonts w:hint="eastAsia" w:ascii="宋体" w:hAnsi="宋体" w:eastAsia="宋体" w:cs="宋体"/>
                <w:color w:val="333333"/>
                <w:kern w:val="0"/>
                <w:sz w:val="19"/>
                <w:szCs w:val="19"/>
              </w:rPr>
              <w:t>、其他安全设施及措施</w:t>
            </w:r>
          </w:p>
          <w:p w14:paraId="4C3779EB">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eastAsia="zh-CN"/>
              </w:rPr>
              <w:t>（1）</w:t>
            </w:r>
            <w:r>
              <w:rPr>
                <w:rFonts w:hint="default" w:ascii="宋体" w:hAnsi="宋体" w:eastAsia="宋体" w:cs="宋体"/>
                <w:color w:val="333333"/>
                <w:kern w:val="0"/>
                <w:sz w:val="19"/>
                <w:szCs w:val="19"/>
              </w:rPr>
              <w:t>建设过</w:t>
            </w:r>
            <w:r>
              <w:rPr>
                <w:rFonts w:hint="default" w:ascii="宋体" w:hAnsi="宋体" w:eastAsia="宋体" w:cs="宋体"/>
                <w:color w:val="333333"/>
                <w:kern w:val="0"/>
                <w:sz w:val="19"/>
                <w:szCs w:val="19"/>
                <w:lang w:eastAsia="zh-CN"/>
              </w:rPr>
              <w:t>程中</w:t>
            </w:r>
            <w:r>
              <w:rPr>
                <w:rFonts w:hint="default" w:ascii="宋体" w:hAnsi="宋体" w:eastAsia="宋体" w:cs="宋体"/>
                <w:color w:val="333333"/>
                <w:kern w:val="0"/>
                <w:sz w:val="19"/>
                <w:szCs w:val="19"/>
              </w:rPr>
              <w:t>要加</w:t>
            </w:r>
            <w:r>
              <w:rPr>
                <w:rFonts w:hint="default" w:ascii="宋体" w:hAnsi="宋体" w:eastAsia="宋体" w:cs="宋体"/>
                <w:color w:val="333333"/>
                <w:kern w:val="0"/>
                <w:sz w:val="19"/>
                <w:szCs w:val="19"/>
                <w:lang w:eastAsia="zh-CN"/>
              </w:rPr>
              <w:t>强对</w:t>
            </w:r>
            <w:r>
              <w:rPr>
                <w:rFonts w:hint="default" w:ascii="宋体" w:hAnsi="宋体" w:eastAsia="宋体" w:cs="宋体"/>
                <w:color w:val="333333"/>
                <w:kern w:val="0"/>
                <w:sz w:val="19"/>
                <w:szCs w:val="19"/>
              </w:rPr>
              <w:t>施工队伍的教育和监管，落实周围植被的保护措施。施工期应尽可能避开雨季，工程完工后要尽快恢复原地貌，减少水土流失。</w:t>
            </w:r>
          </w:p>
          <w:p w14:paraId="4C502A27">
            <w:pPr>
              <w:widowControl/>
              <w:numPr>
                <w:ilvl w:val="0"/>
                <w:numId w:val="0"/>
              </w:numPr>
              <w:snapToGrid w:val="0"/>
              <w:ind w:leftChars="0" w:right="0" w:rightChars="0"/>
              <w:jc w:val="left"/>
              <w:rPr>
                <w:rFonts w:hint="default" w:ascii="宋体" w:hAnsi="宋体" w:eastAsia="宋体" w:cs="宋体"/>
                <w:color w:val="333333"/>
                <w:kern w:val="0"/>
                <w:sz w:val="19"/>
                <w:szCs w:val="19"/>
              </w:rPr>
            </w:pPr>
            <w:r>
              <w:rPr>
                <w:rFonts w:hint="default" w:ascii="宋体" w:hAnsi="宋体" w:eastAsia="宋体" w:cs="宋体"/>
                <w:color w:val="333333"/>
                <w:kern w:val="0"/>
                <w:sz w:val="19"/>
                <w:szCs w:val="19"/>
                <w:lang w:eastAsia="zh-CN"/>
              </w:rPr>
              <w:t>（2）本项目</w:t>
            </w:r>
            <w:r>
              <w:rPr>
                <w:rFonts w:hint="default" w:ascii="宋体" w:hAnsi="宋体" w:eastAsia="宋体" w:cs="宋体"/>
                <w:color w:val="333333"/>
                <w:kern w:val="0"/>
                <w:sz w:val="19"/>
                <w:szCs w:val="19"/>
                <w:lang w:val="en-US" w:eastAsia="zh-CN"/>
              </w:rPr>
              <w:t>在现有变电站内建设，距离</w:t>
            </w:r>
            <w:r>
              <w:rPr>
                <w:rFonts w:hint="default" w:ascii="宋体" w:hAnsi="宋体" w:eastAsia="宋体" w:cs="宋体"/>
                <w:color w:val="333333"/>
                <w:kern w:val="0"/>
                <w:sz w:val="19"/>
                <w:szCs w:val="19"/>
              </w:rPr>
              <w:t>居民区等环境敏感目标</w:t>
            </w:r>
            <w:r>
              <w:rPr>
                <w:rFonts w:hint="default" w:ascii="宋体" w:hAnsi="宋体" w:eastAsia="宋体" w:cs="宋体"/>
                <w:color w:val="333333"/>
                <w:kern w:val="0"/>
                <w:sz w:val="19"/>
                <w:szCs w:val="19"/>
                <w:lang w:val="en-US" w:eastAsia="zh-CN"/>
              </w:rPr>
              <w:t>较远</w:t>
            </w:r>
            <w:r>
              <w:rPr>
                <w:rFonts w:hint="default" w:ascii="宋体" w:hAnsi="宋体" w:eastAsia="宋体" w:cs="宋体"/>
                <w:color w:val="333333"/>
                <w:kern w:val="0"/>
                <w:sz w:val="19"/>
                <w:szCs w:val="19"/>
              </w:rPr>
              <w:t>。</w:t>
            </w:r>
          </w:p>
          <w:p w14:paraId="04C25150">
            <w:pPr>
              <w:widowControl/>
              <w:numPr>
                <w:ilvl w:val="0"/>
                <w:numId w:val="0"/>
              </w:numPr>
              <w:snapToGrid w:val="0"/>
              <w:ind w:leftChars="0" w:right="0" w:rightChars="0"/>
              <w:jc w:val="left"/>
              <w:rPr>
                <w:rFonts w:hint="default" w:ascii="宋体" w:hAnsi="宋体" w:eastAsia="宋体" w:cs="宋体"/>
                <w:color w:val="333333"/>
                <w:kern w:val="0"/>
                <w:sz w:val="19"/>
                <w:szCs w:val="19"/>
                <w:lang w:val="en-US" w:eastAsia="zh-CN"/>
              </w:rPr>
            </w:pPr>
            <w:r>
              <w:rPr>
                <w:rFonts w:hint="default" w:ascii="宋体" w:hAnsi="宋体" w:eastAsia="宋体" w:cs="宋体"/>
                <w:color w:val="333333"/>
                <w:kern w:val="0"/>
                <w:sz w:val="19"/>
                <w:szCs w:val="19"/>
                <w:lang w:val="en-US" w:eastAsia="zh-CN"/>
              </w:rPr>
              <w:t>（3）选用低噪声主变，建设单位要求在设备招投标时距主变1m处的噪声源强不大于60dB（A）。</w:t>
            </w:r>
          </w:p>
          <w:p w14:paraId="7E9326FD">
            <w:pPr>
              <w:widowControl/>
              <w:numPr>
                <w:ilvl w:val="0"/>
                <w:numId w:val="0"/>
              </w:numPr>
              <w:snapToGrid w:val="0"/>
              <w:ind w:leftChars="0" w:right="0" w:rightChars="0"/>
              <w:jc w:val="left"/>
              <w:rPr>
                <w:rFonts w:hint="default" w:ascii="宋体" w:hAnsi="宋体" w:eastAsia="宋体" w:cs="宋体"/>
                <w:color w:val="333333"/>
                <w:kern w:val="0"/>
                <w:sz w:val="19"/>
                <w:szCs w:val="19"/>
                <w:lang w:val="en-US"/>
              </w:rPr>
            </w:pPr>
            <w:r>
              <w:rPr>
                <w:rFonts w:hint="eastAsia" w:ascii="宋体" w:hAnsi="宋体" w:eastAsia="宋体" w:cs="宋体"/>
                <w:color w:val="333333"/>
                <w:kern w:val="0"/>
                <w:sz w:val="19"/>
                <w:szCs w:val="19"/>
                <w:lang w:eastAsia="zh-CN"/>
              </w:rPr>
              <w:t>（</w:t>
            </w:r>
            <w:r>
              <w:rPr>
                <w:rFonts w:hint="eastAsia" w:ascii="宋体" w:hAnsi="宋体" w:eastAsia="宋体" w:cs="宋体"/>
                <w:color w:val="333333"/>
                <w:kern w:val="0"/>
                <w:sz w:val="19"/>
                <w:szCs w:val="19"/>
                <w:lang w:val="en-US" w:eastAsia="zh-CN"/>
              </w:rPr>
              <w:t>4）</w:t>
            </w:r>
            <w:r>
              <w:rPr>
                <w:rFonts w:hint="default" w:ascii="宋体" w:hAnsi="宋体" w:eastAsia="宋体" w:cs="宋体"/>
                <w:color w:val="333333"/>
                <w:kern w:val="0"/>
                <w:sz w:val="19"/>
                <w:szCs w:val="19"/>
              </w:rPr>
              <w:t>在</w:t>
            </w:r>
            <w:r>
              <w:rPr>
                <w:rFonts w:hint="default" w:ascii="宋体" w:hAnsi="宋体" w:eastAsia="宋体" w:cs="宋体"/>
                <w:color w:val="333333"/>
                <w:kern w:val="0"/>
                <w:sz w:val="19"/>
                <w:szCs w:val="19"/>
                <w:lang w:val="en-US" w:eastAsia="zh-CN"/>
              </w:rPr>
              <w:t>变电站围墙上方等危险位置</w:t>
            </w:r>
            <w:r>
              <w:rPr>
                <w:rFonts w:hint="default" w:ascii="宋体" w:hAnsi="宋体" w:eastAsia="宋体" w:cs="宋体"/>
                <w:color w:val="333333"/>
                <w:kern w:val="0"/>
                <w:sz w:val="19"/>
                <w:szCs w:val="19"/>
              </w:rPr>
              <w:t>建立各种警告、防护标识，避免意外事故。对当地群众进行有关高压设备方面的环境宣传工作，帮助群众建立环境保护意识和自我防护意识，减少在</w:t>
            </w:r>
            <w:r>
              <w:rPr>
                <w:rFonts w:hint="default" w:ascii="宋体" w:hAnsi="宋体" w:eastAsia="宋体" w:cs="宋体"/>
                <w:color w:val="333333"/>
                <w:kern w:val="0"/>
                <w:sz w:val="19"/>
                <w:szCs w:val="19"/>
                <w:lang w:val="en-US" w:eastAsia="zh-CN"/>
              </w:rPr>
              <w:t>变电站</w:t>
            </w:r>
            <w:r>
              <w:rPr>
                <w:rFonts w:hint="default" w:ascii="宋体" w:hAnsi="宋体" w:eastAsia="宋体" w:cs="宋体"/>
                <w:color w:val="333333"/>
                <w:kern w:val="0"/>
                <w:sz w:val="19"/>
                <w:szCs w:val="19"/>
              </w:rPr>
              <w:t>周围的停留时间。</w:t>
            </w:r>
          </w:p>
          <w:p w14:paraId="14388774">
            <w:pPr>
              <w:widowControl/>
              <w:numPr>
                <w:ilvl w:val="0"/>
                <w:numId w:val="0"/>
              </w:numPr>
              <w:snapToGrid w:val="0"/>
              <w:ind w:leftChars="0" w:right="0" w:rightChars="0"/>
              <w:jc w:val="left"/>
              <w:rPr>
                <w:rFonts w:hint="default" w:ascii="宋体" w:hAnsi="宋体" w:eastAsia="宋体" w:cs="宋体"/>
                <w:color w:val="333333"/>
                <w:kern w:val="0"/>
                <w:sz w:val="19"/>
                <w:szCs w:val="19"/>
              </w:rPr>
            </w:pPr>
          </w:p>
        </w:tc>
        <w:tc>
          <w:tcPr>
            <w:tcW w:w="455"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278ABFB2">
            <w:pPr>
              <w:widowControl/>
              <w:snapToGrid w:val="0"/>
              <w:ind w:left="0" w:leftChars="0" w:right="0" w:rightChars="0" w:firstLine="0" w:firstLineChars="0"/>
              <w:jc w:val="center"/>
              <w:rPr>
                <w:rFonts w:hint="default" w:ascii="宋体" w:eastAsia="宋体"/>
                <w:color w:val="333333"/>
                <w:sz w:val="19"/>
                <w:szCs w:val="19"/>
                <w:shd w:val="clear" w:color="auto" w:fill="FAFAFA"/>
                <w:lang w:val="en-US" w:eastAsia="zh-CN"/>
              </w:rPr>
            </w:pPr>
            <w:r>
              <w:rPr>
                <w:rFonts w:hint="eastAsia" w:ascii="宋体" w:eastAsia="宋体"/>
                <w:color w:val="333333"/>
                <w:sz w:val="19"/>
                <w:szCs w:val="19"/>
                <w:shd w:val="clear" w:color="auto" w:fill="FAFAFA"/>
                <w:lang w:val="en-US" w:eastAsia="zh-CN"/>
              </w:rPr>
              <w:t>无</w:t>
            </w:r>
          </w:p>
        </w:tc>
        <w:tc>
          <w:tcPr>
            <w:tcW w:w="704" w:type="dxa"/>
            <w:tcBorders>
              <w:top w:val="single" w:color="auto" w:sz="6" w:space="0"/>
              <w:left w:val="nil"/>
              <w:bottom w:val="single" w:color="auto" w:sz="6" w:space="0"/>
              <w:right w:val="single" w:color="auto" w:sz="6" w:space="0"/>
            </w:tcBorders>
            <w:shd w:val="clear" w:color="auto" w:fill="auto"/>
            <w:tcMar>
              <w:top w:w="0" w:type="dxa"/>
              <w:left w:w="95" w:type="dxa"/>
              <w:bottom w:w="0" w:type="dxa"/>
              <w:right w:w="95" w:type="dxa"/>
            </w:tcMar>
            <w:vAlign w:val="center"/>
          </w:tcPr>
          <w:p w14:paraId="741730CA">
            <w:pPr>
              <w:widowControl/>
              <w:snapToGrid w:val="0"/>
              <w:ind w:left="0" w:leftChars="0" w:right="0" w:rightChars="0" w:firstLine="0" w:firstLineChars="0"/>
              <w:jc w:val="center"/>
              <w:rPr>
                <w:rFonts w:hint="default" w:ascii="宋体" w:eastAsia="宋体"/>
                <w:color w:val="333333"/>
                <w:sz w:val="19"/>
                <w:szCs w:val="19"/>
                <w:shd w:val="clear" w:color="auto" w:fill="FAFAFA"/>
                <w:lang w:val="en-US" w:eastAsia="zh-CN"/>
              </w:rPr>
            </w:pPr>
            <w:r>
              <w:rPr>
                <w:rFonts w:hint="eastAsia" w:ascii="宋体" w:eastAsia="宋体"/>
                <w:color w:val="333333"/>
                <w:sz w:val="19"/>
                <w:szCs w:val="19"/>
                <w:shd w:val="clear" w:color="auto" w:fill="FAFAFA"/>
                <w:lang w:val="en-US" w:eastAsia="zh-CN"/>
              </w:rPr>
              <w:t>无</w:t>
            </w:r>
            <w:bookmarkStart w:id="0" w:name="_GoBack"/>
            <w:bookmarkEnd w:id="0"/>
          </w:p>
        </w:tc>
      </w:tr>
    </w:tbl>
    <w:p w14:paraId="0684419B">
      <w:pPr>
        <w:widowControl/>
        <w:shd w:val="clear" w:color="auto" w:fill="FAFAFA"/>
        <w:jc w:val="left"/>
        <w:rPr>
          <w:rFonts w:ascii="宋体" w:hAnsi="宋体" w:eastAsia="宋体" w:cs="宋体"/>
          <w:color w:val="333333"/>
          <w:kern w:val="0"/>
          <w:sz w:val="19"/>
          <w:szCs w:val="19"/>
        </w:rPr>
      </w:pPr>
      <w:r>
        <w:rPr>
          <w:rFonts w:hint="eastAsia" w:ascii="宋体" w:hAnsi="宋体" w:eastAsia="宋体" w:cs="宋体"/>
          <w:color w:val="333333"/>
          <w:kern w:val="0"/>
          <w:sz w:val="19"/>
          <w:szCs w:val="19"/>
        </w:rPr>
        <w:t> </w:t>
      </w:r>
    </w:p>
    <w:sectPr>
      <w:pgSz w:w="11906" w:h="16838"/>
      <w:pgMar w:top="567" w:right="284" w:bottom="567" w:left="28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A49F52D"/>
    <w:multiLevelType w:val="singleLevel"/>
    <w:tmpl w:val="6A49F52D"/>
    <w:lvl w:ilvl="0" w:tentative="0">
      <w:start w:val="1"/>
      <w:numFmt w:val="bullet"/>
      <w:pStyle w:val="4"/>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0EC9"/>
    <w:rsid w:val="00141194"/>
    <w:rsid w:val="001A3623"/>
    <w:rsid w:val="00290245"/>
    <w:rsid w:val="002B4A3E"/>
    <w:rsid w:val="002C536F"/>
    <w:rsid w:val="002C6440"/>
    <w:rsid w:val="0039710E"/>
    <w:rsid w:val="003E08FA"/>
    <w:rsid w:val="004378C6"/>
    <w:rsid w:val="004628E8"/>
    <w:rsid w:val="004634D4"/>
    <w:rsid w:val="004F5448"/>
    <w:rsid w:val="00536A0D"/>
    <w:rsid w:val="00693A23"/>
    <w:rsid w:val="0075375F"/>
    <w:rsid w:val="008F6A3E"/>
    <w:rsid w:val="00923A38"/>
    <w:rsid w:val="00A06678"/>
    <w:rsid w:val="00B411B8"/>
    <w:rsid w:val="00C90EC9"/>
    <w:rsid w:val="00E938DD"/>
    <w:rsid w:val="00EC3AE1"/>
    <w:rsid w:val="00ED7DF2"/>
    <w:rsid w:val="00FB3B23"/>
    <w:rsid w:val="0DE05E1E"/>
    <w:rsid w:val="3BFC6ACD"/>
    <w:rsid w:val="5CF70577"/>
    <w:rsid w:val="5E5238CE"/>
    <w:rsid w:val="5F7B4286"/>
    <w:rsid w:val="6AD5790C"/>
    <w:rsid w:val="6DEE7FD1"/>
    <w:rsid w:val="FFBB76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nhideWhenUsed="0" w:uiPriority="0" w:semiHidden="0" w:name="Body Text First Indent"/>
    <w:lsdException w:qFormat="1" w:uiPriority="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4"/>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4"/>
    <w:qFormat/>
    <w:uiPriority w:val="1"/>
    <w:pPr>
      <w:ind w:left="103"/>
    </w:pPr>
    <w:rPr>
      <w:rFonts w:ascii="宋体" w:hAnsi="宋体" w:eastAsia="宋体" w:cs="宋体"/>
      <w:sz w:val="24"/>
      <w:szCs w:val="24"/>
      <w:lang w:val="zh-CN" w:eastAsia="zh-CN" w:bidi="zh-CN"/>
    </w:rPr>
  </w:style>
  <w:style w:type="paragraph" w:styleId="4">
    <w:name w:val="List Bullet 5"/>
    <w:basedOn w:val="1"/>
    <w:semiHidden/>
    <w:unhideWhenUsed/>
    <w:uiPriority w:val="99"/>
    <w:pPr>
      <w:numPr>
        <w:ilvl w:val="0"/>
        <w:numId w:val="1"/>
      </w:numPr>
    </w:pPr>
  </w:style>
  <w:style w:type="paragraph" w:styleId="5">
    <w:name w:val="Body Text Indent"/>
    <w:basedOn w:val="1"/>
    <w:next w:val="6"/>
    <w:qFormat/>
    <w:uiPriority w:val="99"/>
    <w:pPr>
      <w:spacing w:after="120"/>
      <w:ind w:left="420" w:leftChars="200"/>
    </w:pPr>
  </w:style>
  <w:style w:type="paragraph" w:styleId="6">
    <w:name w:val="toc 4"/>
    <w:next w:val="1"/>
    <w:qFormat/>
    <w:uiPriority w:val="0"/>
    <w:pPr>
      <w:wordWrap w:val="0"/>
      <w:ind w:left="850"/>
      <w:jc w:val="both"/>
    </w:pPr>
    <w:rPr>
      <w:rFonts w:ascii="宋体" w:hAnsi="宋体" w:eastAsia="宋体" w:cs="宋体"/>
      <w:sz w:val="21"/>
      <w:lang w:val="en-US" w:eastAsia="zh-CN" w:bidi="ar-SA"/>
    </w:rPr>
  </w:style>
  <w:style w:type="paragraph" w:styleId="7">
    <w:name w:val="Plain Text"/>
    <w:basedOn w:val="1"/>
    <w:qFormat/>
    <w:uiPriority w:val="0"/>
    <w:rPr>
      <w:rFonts w:ascii="宋体" w:hAnsi="Courier New" w:eastAsia="仿宋_GB2312"/>
      <w:sz w:val="28"/>
      <w:szCs w:val="20"/>
    </w:rPr>
  </w:style>
  <w:style w:type="paragraph" w:styleId="8">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9">
    <w:name w:val="Body Text First Indent"/>
    <w:basedOn w:val="3"/>
    <w:uiPriority w:val="0"/>
    <w:pPr>
      <w:adjustRightInd w:val="0"/>
      <w:snapToGrid w:val="0"/>
      <w:spacing w:line="500" w:lineRule="exact"/>
      <w:ind w:firstLine="480" w:firstLineChars="200"/>
    </w:pPr>
    <w:rPr>
      <w:rFonts w:ascii="宋体" w:hAnsi="宋体"/>
      <w:kern w:val="2"/>
      <w:sz w:val="24"/>
      <w:szCs w:val="18"/>
      <w:lang w:val="en-US" w:eastAsia="zh-CN" w:bidi="ar-SA"/>
    </w:rPr>
  </w:style>
  <w:style w:type="paragraph" w:styleId="10">
    <w:name w:val="Body Text First Indent 2"/>
    <w:basedOn w:val="5"/>
    <w:next w:val="1"/>
    <w:semiHidden/>
    <w:unhideWhenUsed/>
    <w:qFormat/>
    <w:uiPriority w:val="0"/>
    <w:pPr>
      <w:ind w:firstLine="420" w:firstLineChars="200"/>
    </w:pPr>
  </w:style>
  <w:style w:type="character" w:styleId="13">
    <w:name w:val="Strong"/>
    <w:basedOn w:val="12"/>
    <w:qFormat/>
    <w:uiPriority w:val="22"/>
    <w:rPr>
      <w:b/>
      <w:bCs/>
    </w:rPr>
  </w:style>
  <w:style w:type="character" w:customStyle="1" w:styleId="14">
    <w:name w:val="标题 2 Char"/>
    <w:basedOn w:val="12"/>
    <w:link w:val="2"/>
    <w:qFormat/>
    <w:uiPriority w:val="9"/>
    <w:rPr>
      <w:rFonts w:ascii="宋体" w:hAnsi="宋体" w:eastAsia="宋体" w:cs="宋体"/>
      <w:b/>
      <w:bCs/>
      <w:kern w:val="0"/>
      <w:sz w:val="36"/>
      <w:szCs w:val="36"/>
    </w:rPr>
  </w:style>
  <w:style w:type="paragraph" w:styleId="15">
    <w:name w:val="List Paragraph"/>
    <w:basedOn w:val="1"/>
    <w:qFormat/>
    <w:uiPriority w:val="1"/>
    <w:pPr>
      <w:ind w:left="103" w:firstLine="480"/>
    </w:pPr>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2501</Words>
  <Characters>2854</Characters>
  <Lines>20</Lines>
  <Paragraphs>5</Paragraphs>
  <TotalTime>0</TotalTime>
  <ScaleCrop>false</ScaleCrop>
  <LinksUpToDate>false</LinksUpToDate>
  <CharactersWithSpaces>2864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2021-03-04T22:48:00Z</dcterms:created>
  <dc:creator>LENOVO</dc:creator>
  <cp:lastModifiedBy>月夜殇</cp:lastModifiedBy>
  <dcterms:modified xsi:type="dcterms:W3CDTF">2026-04-07T02:56:58Z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63EB915F6D1B405B81DF4B412122A21B_13</vt:lpwstr>
  </property>
  <property fmtid="{D5CDD505-2E9C-101B-9397-08002B2CF9AE}" pid="4" name="KSOTemplateDocerSaveRecord">
    <vt:lpwstr>eyJoZGlkIjoiZjBlMzBiOGNmZGQ0YjViZDc3NzM1YmU5ZDgxZDI5ZjAiLCJ1c2VySWQiOiIyNTg0ODIyNTAifQ==</vt:lpwstr>
  </property>
</Properties>
</file>