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荣成市市场监督管理局</w:t>
      </w:r>
    </w:p>
    <w:p>
      <w:pPr>
        <w:jc w:val="center"/>
        <w:rPr>
          <w:rFonts w:ascii="黑体" w:hAnsi="黑体" w:eastAsia="黑体"/>
          <w:sz w:val="44"/>
          <w:szCs w:val="44"/>
        </w:rPr>
      </w:pPr>
      <w:r>
        <w:pict>
          <v:shape id="直接箭头连接符 6" o:spid="_x0000_s1026" o:spt="32" type="#_x0000_t32" style="position:absolute;left:0pt;margin-left:34.5pt;margin-top:48.75pt;height:36.75pt;width:0.05pt;z-index:251662336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  <w:r>
        <w:pict>
          <v:line id="直接连接符 5" o:spid="_x0000_s1027" o:spt="20" style="position:absolute;left:0pt;flip:x;margin-left:33.75pt;margin-top:48pt;height:0.05pt;width:133.5pt;z-index:251661312;mso-width-relative:page;mso-height-relative:page;" o:preferrelative="t" coordsize="21600,21600">
            <v:path arrowok="t"/>
            <v:fill focussize="0,0"/>
            <v:stroke weight="0.5pt" miterlimit="2"/>
            <v:imagedata o:title=""/>
            <o:lock v:ext="edit"/>
          </v:line>
        </w:pict>
      </w:r>
      <w:r>
        <w:rPr>
          <w:rFonts w:hint="eastAsia" w:ascii="黑体" w:hAnsi="黑体" w:eastAsia="黑体"/>
          <w:sz w:val="44"/>
          <w:szCs w:val="44"/>
        </w:rPr>
        <w:t>行政处罚类流程图</w:t>
      </w:r>
    </w:p>
    <w:tbl>
      <w:tblPr>
        <w:tblStyle w:val="4"/>
        <w:tblW w:w="4948" w:type="dxa"/>
        <w:tblInd w:w="33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" w:hRule="atLeast"/>
        </w:trPr>
        <w:tc>
          <w:tcPr>
            <w:tcW w:w="4948" w:type="dxa"/>
          </w:tcPr>
          <w:p>
            <w:r>
              <w:pict>
                <v:shape id="直接箭头连接符 3" o:spid="_x0000_s1028" o:spt="32" type="#_x0000_t32" style="position:absolute;left:0pt;margin-left:124.6pt;margin-top:31.3pt;height:16.5pt;width:0.05pt;z-index:251660288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pict>
                <v:shape id="直接箭头连接符 1" o:spid="_x0000_s1029" o:spt="32" type="#_x0000_t32" style="position:absolute;left:0pt;margin-left:114.85pt;margin-top:31pt;height:0.05pt;width:0.05pt;z-index:251659264;mso-width-relative:page;mso-height-relative:page;" filled="t" o:preferrelative="t" stroked="t" coordsize="21600,21600">
                  <v:path arrowok="t"/>
                  <v:fill on="t" focussize="0,0"/>
                  <v:stroke weight="0.5pt" color="#5B9BD5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案件来源：依据检查职权或通过投诉、举报、上级机关交办或者其他机关移送等途径发现违法行为线索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margin" w:tblpXSpec="right" w:tblpY="324"/>
        <w:tblW w:w="49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</w:trPr>
        <w:tc>
          <w:tcPr>
            <w:tcW w:w="4932" w:type="dxa"/>
          </w:tcPr>
          <w:p>
            <w:r>
              <w:pict>
                <v:shape id="直接箭头连接符 10" o:spid="_x0000_s1030" o:spt="32" type="#_x0000_t32" style="position:absolute;left:0pt;margin-left:73.1pt;margin-top:31.65pt;height:11.25pt;width:0.05pt;z-index:251663360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核查：办案机构在</w:t>
            </w:r>
            <w:r>
              <w:t>15</w:t>
            </w:r>
            <w:r>
              <w:rPr>
                <w:rFonts w:hint="eastAsia"/>
              </w:rPr>
              <w:t>个工作日内予以核查，决定是否立案，特殊情况下可延长</w:t>
            </w:r>
            <w:r>
              <w:t>15</w:t>
            </w:r>
            <w:r>
              <w:rPr>
                <w:rFonts w:hint="eastAsia"/>
              </w:rPr>
              <w:t>个工作日</w:t>
            </w:r>
          </w:p>
        </w:tc>
      </w:tr>
    </w:tbl>
    <w:p>
      <w:pPr>
        <w:ind w:firstLine="840" w:firstLineChars="400"/>
      </w:pPr>
      <w:r>
        <w:rPr>
          <w:rFonts w:hint="eastAsia"/>
        </w:rPr>
        <w:t>简易程序</w:t>
      </w:r>
      <w:r>
        <w:t xml:space="preserve">  </w:t>
      </w:r>
    </w:p>
    <w:tbl>
      <w:tblPr>
        <w:tblStyle w:val="4"/>
        <w:tblpPr w:leftFromText="180" w:rightFromText="180" w:vertAnchor="text" w:horzAnchor="margin" w:tblpY="117"/>
        <w:tblOverlap w:val="never"/>
        <w:tblW w:w="14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1425" w:type="dxa"/>
          </w:tcPr>
          <w:p>
            <w:pPr>
              <w:ind w:left="-60"/>
            </w:pPr>
            <w:r>
              <w:rPr>
                <w:rFonts w:hint="eastAsia"/>
              </w:rPr>
              <w:t>出示执法证，调查取证，</w:t>
            </w:r>
          </w:p>
          <w:p>
            <w:pPr>
              <w:ind w:left="-60"/>
            </w:pPr>
            <w:r>
              <w:rPr>
                <w:rFonts w:hint="eastAsia"/>
              </w:rPr>
              <w:t>告知违法事实和处罚依据，听取陈述申辩意见</w:t>
            </w:r>
          </w:p>
        </w:tc>
      </w:tr>
    </w:tbl>
    <w:p/>
    <w:p>
      <w:pPr>
        <w:ind w:firstLine="630" w:firstLineChars="300"/>
      </w:pPr>
      <w:r>
        <w:rPr>
          <w:rFonts w:hint="eastAsia"/>
        </w:rPr>
        <w:t>一般程序</w:t>
      </w:r>
    </w:p>
    <w:tbl>
      <w:tblPr>
        <w:tblStyle w:val="4"/>
        <w:tblpPr w:leftFromText="180" w:rightFromText="180" w:vertAnchor="text" w:horzAnchor="page" w:tblpX="5833" w:tblpY="303"/>
        <w:tblW w:w="42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</w:trPr>
        <w:tc>
          <w:tcPr>
            <w:tcW w:w="4248" w:type="dxa"/>
          </w:tcPr>
          <w:p>
            <w:r>
              <w:rPr>
                <w:rFonts w:hint="eastAsia"/>
              </w:rPr>
              <w:t>立案：填写立案审批表，附相关材料、报告，经部门负责人批准予以立案，办案机构负责人指定两名以上办案人员</w:t>
            </w:r>
          </w:p>
        </w:tc>
      </w:tr>
    </w:tbl>
    <w:p/>
    <w:p/>
    <w:p/>
    <w:p>
      <w:r>
        <w:pict>
          <v:shape id="直接箭头连接符 13" o:spid="_x0000_s1031" o:spt="32" type="#_x0000_t32" style="position:absolute;left:0pt;margin-left:162pt;margin-top:11.75pt;height:12.75pt;width:0.05pt;z-index:251664384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tbl>
      <w:tblPr>
        <w:tblStyle w:val="4"/>
        <w:tblpPr w:leftFromText="180" w:rightFromText="180" w:vertAnchor="text" w:horzAnchor="page" w:tblpX="4666" w:tblpY="195"/>
        <w:tblW w:w="8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8" w:hRule="atLeast"/>
        </w:trPr>
        <w:tc>
          <w:tcPr>
            <w:tcW w:w="855" w:type="dxa"/>
          </w:tcPr>
          <w:p>
            <w:r>
              <w:pict>
                <v:shape id="直接箭头连接符 21" o:spid="_x0000_s1032" o:spt="32" type="#_x0000_t32" style="position:absolute;left:0pt;margin-left:36.85pt;margin-top:82.5pt;height:0.05pt;width:30pt;z-index:251667456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pict>
                <v:shape id="直接箭头连接符 20" o:spid="_x0000_s1033" o:spt="32" type="#_x0000_t32" style="position:absolute;left:0pt;margin-left:36.75pt;margin-top:43.35pt;height:0.05pt;width:29.25pt;z-index:251666432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pict>
                <v:shape id="直接箭头连接符 16" o:spid="_x0000_s1034" o:spt="32" type="#_x0000_t32" style="position:absolute;left:0pt;margin-left:36.35pt;margin-top:7.65pt;height:0.05pt;width:30pt;z-index:251665408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调查取证：办案人员进行调查，收集、调取证据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6013" w:tblpY="163"/>
        <w:tblW w:w="430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</w:trPr>
        <w:tc>
          <w:tcPr>
            <w:tcW w:w="4302" w:type="dxa"/>
          </w:tcPr>
          <w:p>
            <w:pPr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</w:rPr>
              <w:t>认为违法事实不存在，予以销案</w:t>
            </w:r>
            <w:r>
              <w:rPr>
                <w:rFonts w:hint="eastAsia"/>
                <w:lang w:eastAsia="zh-CN"/>
              </w:rPr>
              <w:t>或调查终结</w:t>
            </w:r>
          </w:p>
        </w:tc>
      </w:tr>
    </w:tbl>
    <w:p>
      <w:pPr>
        <w:rPr>
          <w:vanish/>
        </w:rPr>
      </w:pPr>
    </w:p>
    <w:p>
      <w:pPr>
        <w:rPr>
          <w:vanish/>
        </w:rPr>
      </w:pPr>
    </w:p>
    <w:p>
      <w:r>
        <w:pict>
          <v:shape id="_x0000_s1035" o:spid="_x0000_s1035" o:spt="32" type="#_x0000_t32" style="position:absolute;left:0pt;margin-left:27pt;margin-top:5.05pt;height:26.25pt;width:0pt;z-index:251681792;mso-width-relative:page;mso-height-relative:page;" o:connectortype="straight" filled="f" coordsize="21600,21600">
            <v:path arrowok="t"/>
            <v:fill on="f" focussize="0,0"/>
            <v:stroke miterlimit="2" endarrow="block"/>
            <v:imagedata o:title=""/>
            <o:lock v:ext="edit"/>
          </v:shape>
        </w:pict>
      </w:r>
    </w:p>
    <w:tbl>
      <w:tblPr>
        <w:tblStyle w:val="4"/>
        <w:tblpPr w:leftFromText="180" w:rightFromText="180" w:vertAnchor="text" w:horzAnchor="page" w:tblpX="1396" w:tblpY="213"/>
        <w:tblW w:w="16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695" w:type="dxa"/>
          </w:tcPr>
          <w:p>
            <w:r>
              <w:pict>
                <v:shape id="直接箭头连接符 52" o:spid="_x0000_s1036" o:spt="32" type="#_x0000_t32" style="position:absolute;left:0pt;margin-left:53.1pt;margin-top:31.65pt;height:23.25pt;width:0.05pt;z-index:251678720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pict>
                <v:shape id="直接箭头连接符 51" o:spid="_x0000_s1037" o:spt="32" type="#_x0000_t32" style="position:absolute;left:0pt;margin-left:-0.15pt;margin-top:31.65pt;height:21pt;width:0.1pt;z-index:251677696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对当事人的陈述申辩进行复核</w:t>
            </w:r>
          </w:p>
        </w:tc>
      </w:tr>
    </w:tbl>
    <w:p/>
    <w:tbl>
      <w:tblPr>
        <w:tblStyle w:val="4"/>
        <w:tblpPr w:leftFromText="180" w:rightFromText="180" w:vertAnchor="text" w:horzAnchor="page" w:tblpX="6013" w:tblpY="157"/>
        <w:tblOverlap w:val="never"/>
        <w:tblW w:w="30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</w:trPr>
        <w:tc>
          <w:tcPr>
            <w:tcW w:w="3020" w:type="dxa"/>
          </w:tcPr>
          <w:p>
            <w:r>
              <w:rPr>
                <w:rFonts w:hint="eastAsia"/>
              </w:rPr>
              <w:t>涉嫌犯罪的，移送司法机关</w:t>
            </w:r>
          </w:p>
        </w:tc>
      </w:tr>
    </w:tbl>
    <w:p>
      <w:bookmarkStart w:id="0" w:name="_GoBack"/>
      <w:bookmarkEnd w:id="0"/>
    </w:p>
    <w:p/>
    <w:p>
      <w:pPr>
        <w:rPr>
          <w:vanish/>
        </w:rPr>
      </w:pPr>
    </w:p>
    <w:tbl>
      <w:tblPr>
        <w:tblStyle w:val="4"/>
        <w:tblpPr w:leftFromText="180" w:rightFromText="180" w:vertAnchor="text" w:horzAnchor="page" w:tblpX="2221" w:tblpY="374"/>
        <w:tblW w:w="64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644" w:type="dxa"/>
          </w:tcPr>
          <w:p>
            <w:r>
              <w:rPr>
                <w:rFonts w:hint="eastAsia"/>
              </w:rPr>
              <w:t>不予处罚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1081" w:tblpY="344"/>
        <w:tblW w:w="6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4" w:hRule="atLeast"/>
        </w:trPr>
        <w:tc>
          <w:tcPr>
            <w:tcW w:w="660" w:type="dxa"/>
          </w:tcPr>
          <w:p>
            <w:r>
              <w:rPr>
                <w:rFonts w:hint="eastAsia"/>
              </w:rPr>
              <w:t>当场填写处罚决定书并交付当事人</w:t>
            </w:r>
          </w:p>
        </w:tc>
      </w:tr>
    </w:tbl>
    <w:p>
      <w:pPr>
        <w:rPr>
          <w:vanish/>
        </w:rPr>
      </w:pPr>
    </w:p>
    <w:p/>
    <w:tbl>
      <w:tblPr>
        <w:tblStyle w:val="4"/>
        <w:tblpPr w:leftFromText="180" w:rightFromText="180" w:vertAnchor="text" w:horzAnchor="page" w:tblpX="6013" w:tblpY="1"/>
        <w:tblW w:w="44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" w:hRule="atLeast"/>
        </w:trPr>
        <w:tc>
          <w:tcPr>
            <w:tcW w:w="4480" w:type="dxa"/>
          </w:tcPr>
          <w:p>
            <w:r>
              <w:rPr>
                <w:rFonts w:hint="eastAsia"/>
              </w:rPr>
              <w:t>不属于本机关管辖的，移交其他行政机关</w:t>
            </w:r>
          </w:p>
        </w:tc>
      </w:tr>
    </w:tbl>
    <w:p/>
    <w:p/>
    <w:p>
      <w:r>
        <w:pict>
          <v:shape id="直接箭头连接符 24" o:spid="_x0000_s1038" o:spt="32" type="#_x0000_t32" style="position:absolute;left:0pt;margin-left:104.95pt;margin-top:7.75pt;height:10.5pt;width:0.05pt;z-index:251668480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tbl>
      <w:tblPr>
        <w:tblStyle w:val="4"/>
        <w:tblpPr w:leftFromText="180" w:rightFromText="180" w:vertAnchor="text" w:horzAnchor="page" w:tblpX="3496" w:tblpY="99"/>
        <w:tblW w:w="67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6768" w:type="dxa"/>
          </w:tcPr>
          <w:p>
            <w:r>
              <w:rPr>
                <w:rFonts w:hint="eastAsia"/>
              </w:rPr>
              <w:t>审核：办案人员撰写调查终结报告、行政处罚建议书，送法规科审核</w:t>
            </w:r>
          </w:p>
        </w:tc>
      </w:tr>
    </w:tbl>
    <w:p>
      <w:r>
        <w:pict>
          <v:shape id="直接箭头连接符 26" o:spid="_x0000_s1039" o:spt="32" type="#_x0000_t32" style="position:absolute;left:0pt;margin-left:252pt;margin-top:20.55pt;height:9pt;width:0.05pt;z-index:251669504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tbl>
      <w:tblPr>
        <w:tblStyle w:val="4"/>
        <w:tblpPr w:leftFromText="180" w:rightFromText="180" w:vertAnchor="text" w:horzAnchor="page" w:tblpX="2698" w:tblpY="841"/>
        <w:tblW w:w="335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3353" w:type="dxa"/>
          </w:tcPr>
          <w:p>
            <w:r>
              <w:rPr>
                <w:rFonts w:hint="eastAsia"/>
              </w:rPr>
              <w:t>告知：办案机构以市局名义告知当事人拟作出行政处罚（不予行政处罚）的事实、理由、依据和处罚内容，并告知当事人依法享有的陈述权、申辩权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6826" w:tblpY="871"/>
        <w:tblW w:w="12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7" w:hRule="atLeast"/>
        </w:trPr>
        <w:tc>
          <w:tcPr>
            <w:tcW w:w="1215" w:type="dxa"/>
          </w:tcPr>
          <w:p>
            <w:r>
              <w:pict>
                <v:shape id="直接箭头连接符 30" o:spid="_x0000_s1040" o:spt="32" type="#_x0000_t32" style="position:absolute;left:0pt;margin-left:55.1pt;margin-top:29.95pt;height:0.05pt;width:45pt;z-index:251671552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听证：符合听证条件的，送达听证告知书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8956" w:tblpY="856"/>
        <w:tblW w:w="18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860" w:type="dxa"/>
          </w:tcPr>
          <w:p>
            <w:r>
              <w:rPr>
                <w:rFonts w:hint="eastAsia"/>
              </w:rPr>
              <w:t>当事人要求举行听证的，法规科组织听证会，听取当事人陈述、申辩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margin" w:tblpXSpec="right" w:tblpY="297"/>
        <w:tblW w:w="75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</w:trPr>
        <w:tc>
          <w:tcPr>
            <w:tcW w:w="7549" w:type="dxa"/>
          </w:tcPr>
          <w:p>
            <w:r>
              <w:rPr>
                <w:rFonts w:hint="eastAsia"/>
              </w:rPr>
              <w:t>法规科审核后，及时退卷，办案机构将处理意见及审核意见报部门负责人审批</w:t>
            </w:r>
          </w:p>
        </w:tc>
      </w:tr>
    </w:tbl>
    <w:p/>
    <w:p>
      <w:r>
        <w:pict>
          <v:shape id="直接箭头连接符 29" o:spid="_x0000_s1041" o:spt="32" type="#_x0000_t32" style="position:absolute;left:0pt;margin-left:276pt;margin-top:9.65pt;height:12.75pt;width:0.05pt;z-index:251670528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p/>
    <w:p>
      <w:r>
        <w:pict>
          <v:line id="直接连接符 54" o:spid="_x0000_s1042" o:spt="20" style="position:absolute;left:0pt;margin-left:-26pt;margin-top:13pt;height:225.7pt;width:0.05pt;z-index:251679744;mso-width-relative:page;mso-height-relative:page;" o:preferrelative="t" coordsize="21600,21600">
            <v:path arrowok="t"/>
            <v:fill focussize="0,0"/>
            <v:stroke weight="0.5pt" miterlimit="2"/>
            <v:imagedata o:title=""/>
            <o:lock v:ext="edit"/>
          </v:line>
        </w:pict>
      </w:r>
    </w:p>
    <w:p/>
    <w:p/>
    <w:tbl>
      <w:tblPr>
        <w:tblStyle w:val="4"/>
        <w:tblpPr w:leftFromText="180" w:rightFromText="180" w:vertAnchor="text" w:horzAnchor="page" w:tblpX="2596" w:tblpY="666"/>
        <w:tblW w:w="396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3964" w:type="dxa"/>
          </w:tcPr>
          <w:p>
            <w:r>
              <w:pict>
                <v:shape id="直接箭头连接符 37" o:spid="_x0000_s1043" o:spt="32" type="#_x0000_t32" style="position:absolute;left:0pt;flip:x;margin-left:192.35pt;margin-top:26.85pt;height:0.05pt;width:183.75pt;z-index:251672576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决定：办案机构提出处理意见报部门负责人审批，重大疑难案件提交会议集体讨论决定</w:t>
            </w:r>
          </w:p>
        </w:tc>
      </w:tr>
    </w:tbl>
    <w:p>
      <w:r>
        <w:pict>
          <v:shape id="_x0000_s1044" o:spid="_x0000_s1044" o:spt="32" type="#_x0000_t32" style="position:absolute;left:0pt;margin-left:412.85pt;margin-top:7.35pt;height:22.55pt;width:0pt;z-index:251684864;mso-width-relative:page;mso-height-relative:page;" o:connectortype="straight" filled="f" coordsize="21600,21600">
            <v:path arrowok="t"/>
            <v:fill on="f" focussize="0,0"/>
            <v:stroke miterlimit="2" endarrow="block"/>
            <v:imagedata o:title=""/>
            <o:lock v:ext="edit"/>
          </v:shape>
        </w:pict>
      </w:r>
      <w:r>
        <w:pict>
          <v:shape id="_x0000_s1045" o:spid="_x0000_s1045" o:spt="32" type="#_x0000_t32" style="position:absolute;left:0pt;margin-left:281.25pt;margin-top:8.1pt;height:22.55pt;width:0pt;z-index:251683840;mso-width-relative:page;mso-height-relative:page;" o:connectortype="straight" filled="f" coordsize="21600,21600">
            <v:path arrowok="t"/>
            <v:fill on="f" focussize="0,0"/>
            <v:stroke miterlimit="2" endarrow="block"/>
            <v:imagedata o:title=""/>
            <o:lock v:ext="edit"/>
          </v:shape>
        </w:pict>
      </w:r>
      <w:r>
        <w:pict>
          <v:shape id="_x0000_s1046" o:spid="_x0000_s1046" o:spt="32" type="#_x0000_t32" style="position:absolute;left:0pt;margin-left:123.75pt;margin-top:5.1pt;height:30pt;width:0pt;z-index:251682816;mso-width-relative:page;mso-height-relative:page;" o:connectortype="straight" filled="f" coordsize="21600,21600">
            <v:path arrowok="t"/>
            <v:fill on="f" focussize="0,0"/>
            <v:stroke miterlimit="2" endarrow="block"/>
            <v:imagedata o:title=""/>
            <o:lock v:ext="edit"/>
          </v:shape>
        </w:pict>
      </w:r>
    </w:p>
    <w:p/>
    <w:tbl>
      <w:tblPr>
        <w:tblStyle w:val="4"/>
        <w:tblpPr w:leftFromText="180" w:rightFromText="180" w:vertAnchor="text" w:horzAnchor="margin" w:tblpXSpec="right" w:tblpY="1129"/>
        <w:tblW w:w="73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" w:hRule="atLeast"/>
        </w:trPr>
        <w:tc>
          <w:tcPr>
            <w:tcW w:w="7308" w:type="dxa"/>
          </w:tcPr>
          <w:p>
            <w:pPr>
              <w:ind w:left="-90"/>
            </w:pPr>
            <w:r>
              <w:rPr>
                <w:rFonts w:hint="eastAsia"/>
              </w:rPr>
              <w:t>送达：制作送达行政处罚（不予行政处罚）决定书。应自立案之日起</w:t>
            </w:r>
            <w:r>
              <w:t>90</w:t>
            </w:r>
            <w:r>
              <w:rPr>
                <w:rFonts w:hint="eastAsia"/>
              </w:rPr>
              <w:t>日内作出，情况特殊经报部门负责人批准可延长</w:t>
            </w:r>
            <w:r>
              <w:t>30</w:t>
            </w:r>
            <w:r>
              <w:rPr>
                <w:rFonts w:hint="eastAsia"/>
              </w:rPr>
              <w:t>日，情况特别复杂的，经集体研究决定可继续延期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7141" w:tblpY="6"/>
        <w:tblW w:w="18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</w:trPr>
        <w:tc>
          <w:tcPr>
            <w:tcW w:w="1890" w:type="dxa"/>
          </w:tcPr>
          <w:p>
            <w:pPr>
              <w:ind w:left="-60"/>
            </w:pPr>
            <w:r>
              <w:pict>
                <v:shape id="直接箭头连接符 45" o:spid="_x0000_s1047" o:spt="32" type="#_x0000_t32" style="position:absolute;left:0pt;margin-left:15.35pt;margin-top:15.15pt;height:13.5pt;width:0.05pt;z-index:251673600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当事人不要求听证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9646" w:tblpY="-24"/>
        <w:tblW w:w="15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1545" w:type="dxa"/>
          </w:tcPr>
          <w:p>
            <w:pPr>
              <w:ind w:left="-15"/>
            </w:pPr>
            <w:r>
              <w:pict>
                <v:line id="直接连接符 44" o:spid="_x0000_s1048" o:spt="20" style="position:absolute;left:0pt;flip:y;margin-left:22.85pt;margin-top:14.4pt;height:16.5pt;width:0.05pt;z-index:251672576;mso-width-relative:page;mso-height-relative:page;" o:preferrelative="t" coordsize="21600,21600">
                  <v:path arrowok="t"/>
                  <v:fill focussize="0,0"/>
                  <v:stroke weight="0.5pt" miterlimit="2"/>
                  <v:imagedata o:title=""/>
                  <o:lock v:ext="edit"/>
                </v:line>
              </w:pict>
            </w:r>
            <w:r>
              <w:rPr>
                <w:rFonts w:hint="eastAsia"/>
              </w:rPr>
              <w:t>制作听证报告</w:t>
            </w:r>
          </w:p>
        </w:tc>
      </w:tr>
    </w:tbl>
    <w:p/>
    <w:p/>
    <w:p>
      <w:r>
        <w:pict>
          <v:shape id="直接箭头连接符 46" o:spid="_x0000_s1049" o:spt="32" type="#_x0000_t32" style="position:absolute;left:0pt;margin-left:153pt;margin-top:6.5pt;height:18.75pt;width:0.05pt;z-index:251674624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p/>
    <w:tbl>
      <w:tblPr>
        <w:tblStyle w:val="4"/>
        <w:tblpPr w:leftFromText="180" w:rightFromText="180" w:vertAnchor="text" w:horzAnchor="margin" w:tblpXSpec="right" w:tblpY="834"/>
        <w:tblW w:w="622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6224" w:type="dxa"/>
          </w:tcPr>
          <w:p>
            <w:r>
              <w:pict>
                <v:shape id="直接箭头连接符 48" o:spid="_x0000_s1050" o:spt="32" type="#_x0000_t32" style="position:absolute;left:0pt;margin-left:192.25pt;margin-top:30.6pt;height:16.5pt;width:0.05pt;z-index:251676672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执行：当事人</w:t>
            </w:r>
            <w:r>
              <w:t>15</w:t>
            </w:r>
            <w:r>
              <w:rPr>
                <w:rFonts w:hint="eastAsia"/>
              </w:rPr>
              <w:t>日内到指定银行缴纳罚款。到期不缴纳罚款的，每日按付款数额的</w:t>
            </w:r>
            <w:r>
              <w:t>3%</w:t>
            </w:r>
            <w:r>
              <w:rPr>
                <w:rFonts w:hint="eastAsia"/>
              </w:rPr>
              <w:t>加处罚款，逾期不缴纳的申请法院强制执行</w:t>
            </w:r>
          </w:p>
        </w:tc>
      </w:tr>
    </w:tbl>
    <w:p/>
    <w:p>
      <w:r>
        <w:pict>
          <v:shape id="直接箭头连接符 47" o:spid="_x0000_s1051" o:spt="32" type="#_x0000_t32" style="position:absolute;left:0pt;margin-left:246pt;margin-top:10.7pt;height:15pt;width:0.05pt;z-index:251675648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p/>
    <w:p/>
    <w:p/>
    <w:tbl>
      <w:tblPr>
        <w:tblStyle w:val="4"/>
        <w:tblpPr w:leftFromText="180" w:rightFromText="180" w:vertAnchor="text" w:horzAnchor="page" w:tblpX="7066" w:tblpY="228"/>
        <w:tblW w:w="15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" w:hRule="atLeast"/>
        </w:trPr>
        <w:tc>
          <w:tcPr>
            <w:tcW w:w="1590" w:type="dxa"/>
          </w:tcPr>
          <w:p>
            <w:pPr>
              <w:ind w:left="-90"/>
            </w:pPr>
            <w:r>
              <w:rPr>
                <w:rFonts w:hint="eastAsia"/>
              </w:rPr>
              <w:t>结案，立案归档</w:t>
            </w:r>
          </w:p>
        </w:tc>
      </w:tr>
    </w:tbl>
    <w:p/>
    <w:p>
      <w:r>
        <w:pict>
          <v:shape id="直接箭头连接符 55" o:spid="_x0000_s1052" o:spt="32" type="#_x0000_t32" style="position:absolute;left:0pt;margin-left:-24.75pt;margin-top:4.7pt;height:0.05pt;width:282pt;z-index:251680768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jM2MmY1M2RjMTU4NDhmOWZjZGQ5NmUzODkzNTJkMDcifQ=="/>
  </w:docVars>
  <w:rsids>
    <w:rsidRoot w:val="0010301B"/>
    <w:rsid w:val="00002304"/>
    <w:rsid w:val="00010BDE"/>
    <w:rsid w:val="00011DA2"/>
    <w:rsid w:val="00014C18"/>
    <w:rsid w:val="00022D5A"/>
    <w:rsid w:val="0004355A"/>
    <w:rsid w:val="00051BAF"/>
    <w:rsid w:val="00072626"/>
    <w:rsid w:val="000810F8"/>
    <w:rsid w:val="00091D3C"/>
    <w:rsid w:val="00095720"/>
    <w:rsid w:val="000A7222"/>
    <w:rsid w:val="000B456F"/>
    <w:rsid w:val="000B5874"/>
    <w:rsid w:val="000C580E"/>
    <w:rsid w:val="000D5F04"/>
    <w:rsid w:val="000E30C9"/>
    <w:rsid w:val="000F7FC0"/>
    <w:rsid w:val="0010301B"/>
    <w:rsid w:val="00117EC8"/>
    <w:rsid w:val="0012404D"/>
    <w:rsid w:val="00136B73"/>
    <w:rsid w:val="001375D0"/>
    <w:rsid w:val="00141CE7"/>
    <w:rsid w:val="00171DCF"/>
    <w:rsid w:val="0018601C"/>
    <w:rsid w:val="00194C33"/>
    <w:rsid w:val="0019795C"/>
    <w:rsid w:val="001A4281"/>
    <w:rsid w:val="001A52A6"/>
    <w:rsid w:val="001C52D9"/>
    <w:rsid w:val="001D7B41"/>
    <w:rsid w:val="002011E1"/>
    <w:rsid w:val="00236848"/>
    <w:rsid w:val="0023731F"/>
    <w:rsid w:val="002815AC"/>
    <w:rsid w:val="00292D50"/>
    <w:rsid w:val="002A4180"/>
    <w:rsid w:val="002A48FA"/>
    <w:rsid w:val="002A62A6"/>
    <w:rsid w:val="002B6ED4"/>
    <w:rsid w:val="002B7BEE"/>
    <w:rsid w:val="002C63A9"/>
    <w:rsid w:val="002D0AD2"/>
    <w:rsid w:val="002F67C5"/>
    <w:rsid w:val="0030512C"/>
    <w:rsid w:val="0031301D"/>
    <w:rsid w:val="00324B50"/>
    <w:rsid w:val="003312DB"/>
    <w:rsid w:val="00331F01"/>
    <w:rsid w:val="00333734"/>
    <w:rsid w:val="0033449F"/>
    <w:rsid w:val="0033752E"/>
    <w:rsid w:val="00350B4F"/>
    <w:rsid w:val="0035280D"/>
    <w:rsid w:val="0035544B"/>
    <w:rsid w:val="00361766"/>
    <w:rsid w:val="003722E4"/>
    <w:rsid w:val="003A5C05"/>
    <w:rsid w:val="003E7FDB"/>
    <w:rsid w:val="00412F83"/>
    <w:rsid w:val="004274EA"/>
    <w:rsid w:val="00461D9D"/>
    <w:rsid w:val="00463D13"/>
    <w:rsid w:val="00465824"/>
    <w:rsid w:val="0048612A"/>
    <w:rsid w:val="00493B68"/>
    <w:rsid w:val="00496EED"/>
    <w:rsid w:val="0049725F"/>
    <w:rsid w:val="004A189E"/>
    <w:rsid w:val="004B7118"/>
    <w:rsid w:val="004D2532"/>
    <w:rsid w:val="004E4CCE"/>
    <w:rsid w:val="005118E4"/>
    <w:rsid w:val="00514533"/>
    <w:rsid w:val="005148E1"/>
    <w:rsid w:val="00516C37"/>
    <w:rsid w:val="00525045"/>
    <w:rsid w:val="00530526"/>
    <w:rsid w:val="00543A65"/>
    <w:rsid w:val="00546067"/>
    <w:rsid w:val="00566339"/>
    <w:rsid w:val="00570441"/>
    <w:rsid w:val="00586199"/>
    <w:rsid w:val="005A34A9"/>
    <w:rsid w:val="005C216E"/>
    <w:rsid w:val="005D3473"/>
    <w:rsid w:val="005D5FE8"/>
    <w:rsid w:val="005E7D5D"/>
    <w:rsid w:val="005F5304"/>
    <w:rsid w:val="006000D1"/>
    <w:rsid w:val="006219CF"/>
    <w:rsid w:val="00627AAC"/>
    <w:rsid w:val="0063101C"/>
    <w:rsid w:val="00634E03"/>
    <w:rsid w:val="0065583B"/>
    <w:rsid w:val="00660274"/>
    <w:rsid w:val="006708C7"/>
    <w:rsid w:val="006739A0"/>
    <w:rsid w:val="006828D0"/>
    <w:rsid w:val="006839D2"/>
    <w:rsid w:val="006871F2"/>
    <w:rsid w:val="00697BC9"/>
    <w:rsid w:val="006A0C9B"/>
    <w:rsid w:val="006B0150"/>
    <w:rsid w:val="006C17B7"/>
    <w:rsid w:val="006D4B19"/>
    <w:rsid w:val="006D647D"/>
    <w:rsid w:val="006E1552"/>
    <w:rsid w:val="006E477F"/>
    <w:rsid w:val="00715AD5"/>
    <w:rsid w:val="00723D4A"/>
    <w:rsid w:val="007278F4"/>
    <w:rsid w:val="00730266"/>
    <w:rsid w:val="00733EF0"/>
    <w:rsid w:val="00740375"/>
    <w:rsid w:val="007406CB"/>
    <w:rsid w:val="00745B90"/>
    <w:rsid w:val="00747CD2"/>
    <w:rsid w:val="007525D2"/>
    <w:rsid w:val="007558A6"/>
    <w:rsid w:val="00756B24"/>
    <w:rsid w:val="00760567"/>
    <w:rsid w:val="007629BE"/>
    <w:rsid w:val="0077640B"/>
    <w:rsid w:val="00776771"/>
    <w:rsid w:val="00781C54"/>
    <w:rsid w:val="00797B43"/>
    <w:rsid w:val="007A0E08"/>
    <w:rsid w:val="007A711F"/>
    <w:rsid w:val="007B6D2C"/>
    <w:rsid w:val="007B7BF3"/>
    <w:rsid w:val="007E6005"/>
    <w:rsid w:val="008114A5"/>
    <w:rsid w:val="0081571D"/>
    <w:rsid w:val="0083544F"/>
    <w:rsid w:val="00835485"/>
    <w:rsid w:val="00863662"/>
    <w:rsid w:val="008874D0"/>
    <w:rsid w:val="008A01C4"/>
    <w:rsid w:val="008A0CAF"/>
    <w:rsid w:val="008B0015"/>
    <w:rsid w:val="008D5215"/>
    <w:rsid w:val="008E252D"/>
    <w:rsid w:val="008E7900"/>
    <w:rsid w:val="008F681B"/>
    <w:rsid w:val="00911018"/>
    <w:rsid w:val="00913544"/>
    <w:rsid w:val="00944DA6"/>
    <w:rsid w:val="00944DAD"/>
    <w:rsid w:val="00950116"/>
    <w:rsid w:val="00954603"/>
    <w:rsid w:val="00957AD3"/>
    <w:rsid w:val="00970D4A"/>
    <w:rsid w:val="009718A4"/>
    <w:rsid w:val="00984528"/>
    <w:rsid w:val="00991C75"/>
    <w:rsid w:val="009A0D0D"/>
    <w:rsid w:val="009A4EA6"/>
    <w:rsid w:val="009C0952"/>
    <w:rsid w:val="009D23FB"/>
    <w:rsid w:val="009D668A"/>
    <w:rsid w:val="009F0B69"/>
    <w:rsid w:val="009F5FCC"/>
    <w:rsid w:val="00A00144"/>
    <w:rsid w:val="00A03235"/>
    <w:rsid w:val="00A143F5"/>
    <w:rsid w:val="00A21163"/>
    <w:rsid w:val="00A43F96"/>
    <w:rsid w:val="00A51C1E"/>
    <w:rsid w:val="00AA0DBD"/>
    <w:rsid w:val="00AA49E8"/>
    <w:rsid w:val="00AC0860"/>
    <w:rsid w:val="00AC60B1"/>
    <w:rsid w:val="00AC7E7E"/>
    <w:rsid w:val="00AE1BF3"/>
    <w:rsid w:val="00AF38ED"/>
    <w:rsid w:val="00B25336"/>
    <w:rsid w:val="00B310AB"/>
    <w:rsid w:val="00B46F8F"/>
    <w:rsid w:val="00B522FB"/>
    <w:rsid w:val="00B52B7B"/>
    <w:rsid w:val="00B62CBA"/>
    <w:rsid w:val="00B81D9F"/>
    <w:rsid w:val="00BC7C10"/>
    <w:rsid w:val="00BD50D3"/>
    <w:rsid w:val="00BF0FD0"/>
    <w:rsid w:val="00BF71F5"/>
    <w:rsid w:val="00C274FB"/>
    <w:rsid w:val="00C318D4"/>
    <w:rsid w:val="00C342BA"/>
    <w:rsid w:val="00C37CC4"/>
    <w:rsid w:val="00CC5AD4"/>
    <w:rsid w:val="00CE72A2"/>
    <w:rsid w:val="00D01A55"/>
    <w:rsid w:val="00D110A5"/>
    <w:rsid w:val="00D17444"/>
    <w:rsid w:val="00D174C2"/>
    <w:rsid w:val="00D410A1"/>
    <w:rsid w:val="00D42F14"/>
    <w:rsid w:val="00D8372E"/>
    <w:rsid w:val="00DC77D8"/>
    <w:rsid w:val="00DF2ECB"/>
    <w:rsid w:val="00E133E9"/>
    <w:rsid w:val="00E34FEB"/>
    <w:rsid w:val="00E44E7C"/>
    <w:rsid w:val="00E57B58"/>
    <w:rsid w:val="00E65E95"/>
    <w:rsid w:val="00E6623D"/>
    <w:rsid w:val="00E74423"/>
    <w:rsid w:val="00EA440E"/>
    <w:rsid w:val="00F21802"/>
    <w:rsid w:val="00F933BA"/>
    <w:rsid w:val="00FA5358"/>
    <w:rsid w:val="00FB5F92"/>
    <w:rsid w:val="00FD6571"/>
    <w:rsid w:val="00FE5C23"/>
    <w:rsid w:val="0E6A3CCE"/>
    <w:rsid w:val="56D00850"/>
    <w:rsid w:val="5E2A7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直接箭头连接符 6"/>
        <o:r id="V:Rule2" type="connector" idref="#直接箭头连接符 3"/>
        <o:r id="V:Rule3" type="connector" idref="#直接箭头连接符 1"/>
        <o:r id="V:Rule4" type="connector" idref="#直接箭头连接符 10"/>
        <o:r id="V:Rule5" type="connector" idref="#直接箭头连接符 13"/>
        <o:r id="V:Rule6" type="connector" idref="#直接箭头连接符 21"/>
        <o:r id="V:Rule7" type="connector" idref="#直接箭头连接符 20"/>
        <o:r id="V:Rule8" type="connector" idref="#直接箭头连接符 16"/>
        <o:r id="V:Rule9" type="connector" idref="#_x0000_s1035"/>
        <o:r id="V:Rule10" type="connector" idref="#直接箭头连接符 52"/>
        <o:r id="V:Rule11" type="connector" idref="#直接箭头连接符 51"/>
        <o:r id="V:Rule12" type="connector" idref="#直接箭头连接符 24"/>
        <o:r id="V:Rule13" type="connector" idref="#直接箭头连接符 26"/>
        <o:r id="V:Rule14" type="connector" idref="#直接箭头连接符 30"/>
        <o:r id="V:Rule15" type="connector" idref="#直接箭头连接符 29"/>
        <o:r id="V:Rule16" type="connector" idref="#直接箭头连接符 37"/>
        <o:r id="V:Rule17" type="connector" idref="#_x0000_s1044"/>
        <o:r id="V:Rule18" type="connector" idref="#_x0000_s1045"/>
        <o:r id="V:Rule19" type="connector" idref="#_x0000_s1046"/>
        <o:r id="V:Rule20" type="connector" idref="#直接箭头连接符 45"/>
        <o:r id="V:Rule21" type="connector" idref="#直接箭头连接符 46"/>
        <o:r id="V:Rule22" type="connector" idref="#直接箭头连接符 48"/>
        <o:r id="V:Rule23" type="connector" idref="#直接箭头连接符 47"/>
        <o:r id="V:Rule24" type="connector" idref="#直接箭头连接符 55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iPriority="99" w:name="Normal Indent" w:locked="1"/>
    <w:lsdException w:uiPriority="99" w:name="footnote text" w:locked="1"/>
    <w:lsdException w:uiPriority="99" w:name="annotation text" w:locked="1"/>
    <w:lsdException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0" w:name="caption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0" w:semiHidden="0" w:name="Title"/>
    <w:lsdException w:uiPriority="99" w:name="Closing" w:locked="1"/>
    <w:lsdException w:uiPriority="99" w:name="Signature" w:locked="1"/>
    <w:lsdException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0" w:semiHidden="0" w:name="Subtitle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0" w:semiHidden="0" w:name="Strong"/>
    <w:lsdException w:qFormat="1" w:unhideWhenUsed="0" w:uiPriority="0" w:semiHidden="0" w:name="Emphasis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0" w:semiHidden="0" w:name="Table Grid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kern w:val="0"/>
      <w:sz w:val="18"/>
      <w:szCs w:val="18"/>
    </w:rPr>
  </w:style>
  <w:style w:type="paragraph" w:styleId="3">
    <w:name w:val="header"/>
    <w:basedOn w:val="1"/>
    <w:link w:val="7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Times New Roman"/>
      <w:kern w:val="0"/>
      <w:sz w:val="18"/>
      <w:szCs w:val="18"/>
    </w:rPr>
  </w:style>
  <w:style w:type="character" w:customStyle="1" w:styleId="6">
    <w:name w:val="Footer Char"/>
    <w:basedOn w:val="5"/>
    <w:link w:val="2"/>
    <w:locked/>
    <w:uiPriority w:val="99"/>
    <w:rPr>
      <w:rFonts w:cs="Times New Roman"/>
      <w:sz w:val="18"/>
    </w:rPr>
  </w:style>
  <w:style w:type="character" w:customStyle="1" w:styleId="7">
    <w:name w:val="Header Char"/>
    <w:basedOn w:val="5"/>
    <w:link w:val="3"/>
    <w:locked/>
    <w:uiPriority w:val="99"/>
    <w:rPr>
      <w:rFonts w:cs="Times New Roman"/>
      <w:sz w:val="18"/>
    </w:rPr>
  </w:style>
  <w:style w:type="paragraph" w:customStyle="1" w:styleId="8">
    <w:name w:val="Char"/>
    <w:basedOn w:val="1"/>
    <w:uiPriority w:val="99"/>
    <w:rPr>
      <w:rFonts w:ascii="Tahoma" w:hAnsi="Tahoma" w:cs="Times New Roman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8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117</Words>
  <Characters>668</Characters>
  <Lines>0</Lines>
  <Paragraphs>0</Paragraphs>
  <TotalTime>93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2015-03-11T07:45:00Z</dcterms:created>
  <dc:creator>ameng wang</dc:creator>
  <cp:lastModifiedBy>朱圣辉</cp:lastModifiedBy>
  <dcterms:modified xsi:type="dcterms:W3CDTF">2024-03-29T00:48:03Z</dcterms:modified>
  <dc:title>行政处罚类流程图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86D864803CA54B1A894CAA45EBF538F2_12</vt:lpwstr>
  </property>
</Properties>
</file>