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57E38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ar"/>
        </w:rPr>
        <w:t>荣成市财政局行政指导事项清单</w:t>
      </w:r>
    </w:p>
    <w:tbl>
      <w:tblPr>
        <w:tblStyle w:val="3"/>
        <w:tblW w:w="15225" w:type="dxa"/>
        <w:tblInd w:w="-5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545"/>
        <w:gridCol w:w="2865"/>
        <w:gridCol w:w="3285"/>
        <w:gridCol w:w="3600"/>
        <w:gridCol w:w="1560"/>
        <w:gridCol w:w="1500"/>
      </w:tblGrid>
      <w:tr w14:paraId="4EF33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 w14:paraId="3E93CC15">
            <w:pPr>
              <w:jc w:val="center"/>
              <w:rPr>
                <w:rFonts w:hint="eastAsia" w:ascii="宋体" w:hAnsi="宋体" w:eastAsia="楷体_GB2312" w:cs="楷体_GB2312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楷体_GB2312" w:cs="楷体_GB2312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545" w:type="dxa"/>
          </w:tcPr>
          <w:p w14:paraId="4EFEC95A">
            <w:pPr>
              <w:jc w:val="center"/>
              <w:rPr>
                <w:rFonts w:hint="eastAsia" w:ascii="宋体" w:hAnsi="宋体" w:eastAsia="楷体_GB2312" w:cs="楷体_GB2312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指导事项</w:t>
            </w:r>
          </w:p>
        </w:tc>
        <w:tc>
          <w:tcPr>
            <w:tcW w:w="2865" w:type="dxa"/>
          </w:tcPr>
          <w:p w14:paraId="35CCA843">
            <w:pPr>
              <w:jc w:val="center"/>
              <w:rPr>
                <w:rFonts w:hint="eastAsia" w:ascii="宋体" w:hAnsi="宋体" w:eastAsia="楷体_GB2312" w:cs="楷体_GB2312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常见违法表现</w:t>
            </w:r>
          </w:p>
        </w:tc>
        <w:tc>
          <w:tcPr>
            <w:tcW w:w="3285" w:type="dxa"/>
          </w:tcPr>
          <w:p w14:paraId="470F5A81">
            <w:pPr>
              <w:jc w:val="center"/>
              <w:rPr>
                <w:rFonts w:hint="eastAsia" w:ascii="宋体" w:hAnsi="宋体" w:eastAsia="楷体_GB2312" w:cs="楷体_GB2312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适用法律依据</w:t>
            </w:r>
          </w:p>
        </w:tc>
        <w:tc>
          <w:tcPr>
            <w:tcW w:w="3600" w:type="dxa"/>
          </w:tcPr>
          <w:p w14:paraId="686B2618">
            <w:pPr>
              <w:jc w:val="center"/>
              <w:rPr>
                <w:rFonts w:hint="eastAsia" w:ascii="宋体" w:hAnsi="宋体" w:eastAsia="楷体_GB2312" w:cs="楷体_GB2312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合规建议</w:t>
            </w:r>
          </w:p>
        </w:tc>
        <w:tc>
          <w:tcPr>
            <w:tcW w:w="1560" w:type="dxa"/>
          </w:tcPr>
          <w:p w14:paraId="72D4ED69">
            <w:pPr>
              <w:jc w:val="center"/>
              <w:rPr>
                <w:rFonts w:hint="eastAsia" w:ascii="宋体" w:hAnsi="宋体" w:eastAsia="楷体_GB2312" w:cs="楷体_GB2312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责任部门</w:t>
            </w:r>
          </w:p>
        </w:tc>
        <w:tc>
          <w:tcPr>
            <w:tcW w:w="1500" w:type="dxa"/>
          </w:tcPr>
          <w:p w14:paraId="4698C70D">
            <w:pPr>
              <w:jc w:val="center"/>
              <w:rPr>
                <w:rFonts w:hint="eastAsia" w:ascii="宋体" w:hAnsi="宋体" w:eastAsia="楷体_GB2312" w:cs="楷体_GB2312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咨询渠道</w:t>
            </w:r>
          </w:p>
        </w:tc>
      </w:tr>
      <w:tr w14:paraId="6476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70" w:type="dxa"/>
            <w:vAlign w:val="center"/>
          </w:tcPr>
          <w:p w14:paraId="3EE27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545" w:type="dxa"/>
            <w:vAlign w:val="center"/>
          </w:tcPr>
          <w:p w14:paraId="2FE43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会计信息质量检查</w:t>
            </w:r>
          </w:p>
        </w:tc>
        <w:tc>
          <w:tcPr>
            <w:tcW w:w="2865" w:type="dxa"/>
            <w:vAlign w:val="center"/>
          </w:tcPr>
          <w:p w14:paraId="1C6E4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会计核算不规范</w:t>
            </w:r>
          </w:p>
        </w:tc>
        <w:tc>
          <w:tcPr>
            <w:tcW w:w="3285" w:type="dxa"/>
            <w:vAlign w:val="center"/>
          </w:tcPr>
          <w:p w14:paraId="2B27A9C3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《中华人民共和国会计法》《企业会计准则—基本准则》《会计基础工作规范》等相关制度</w:t>
            </w:r>
          </w:p>
        </w:tc>
        <w:tc>
          <w:tcPr>
            <w:tcW w:w="3600" w:type="dxa"/>
            <w:vAlign w:val="center"/>
          </w:tcPr>
          <w:p w14:paraId="0EDCD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规范会计核算，强化会计基础管理，健全财务管理制度，规范原始凭证审核、记账凭证编制、会计账簿登记等工作，保障会计信息真实完整性、准确性。</w:t>
            </w:r>
          </w:p>
        </w:tc>
        <w:tc>
          <w:tcPr>
            <w:tcW w:w="1560" w:type="dxa"/>
            <w:vAlign w:val="center"/>
          </w:tcPr>
          <w:p w14:paraId="6EE818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荣成市财政局</w:t>
            </w:r>
          </w:p>
        </w:tc>
        <w:tc>
          <w:tcPr>
            <w:tcW w:w="1500" w:type="dxa"/>
            <w:vAlign w:val="center"/>
          </w:tcPr>
          <w:p w14:paraId="086FCA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7562615</w:t>
            </w:r>
          </w:p>
        </w:tc>
      </w:tr>
      <w:tr w14:paraId="47E86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775909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545" w:type="dxa"/>
            <w:vAlign w:val="center"/>
          </w:tcPr>
          <w:p w14:paraId="11D20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代理记账机构资质合规行政指导</w:t>
            </w:r>
          </w:p>
        </w:tc>
        <w:tc>
          <w:tcPr>
            <w:tcW w:w="2865" w:type="dxa"/>
            <w:vAlign w:val="center"/>
          </w:tcPr>
          <w:p w14:paraId="11746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没有取得财政部门核发的《代理记账许可证》，仅办理营业执照就承接代理记账业务；个人私自接单从事代理记账（法律规定代理记账业务须由取得许可证的企业开展，会计师事务所除外），属于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“有照无证/无证经营”行为</w:t>
            </w:r>
          </w:p>
        </w:tc>
        <w:tc>
          <w:tcPr>
            <w:tcW w:w="3285" w:type="dxa"/>
            <w:vAlign w:val="center"/>
          </w:tcPr>
          <w:p w14:paraId="682A05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《代理记账管理办法》（财政部令第98号）第三条、第二十六条</w:t>
            </w:r>
          </w:p>
        </w:tc>
        <w:tc>
          <w:tcPr>
            <w:tcW w:w="3600" w:type="dxa"/>
            <w:vAlign w:val="center"/>
          </w:tcPr>
          <w:p w14:paraId="623E68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.开展代理记账业务应当依法申请取得代理记账许可证书；2.个人不得私自承接代理记账业务；3.未取得许可的主体，应当停止代理记账业务尽快申请许可，或变更经营范围删除代理记账相关表述；4.会计师事务所可直接开展代理记账业务无需该许可</w:t>
            </w:r>
          </w:p>
        </w:tc>
        <w:tc>
          <w:tcPr>
            <w:tcW w:w="1560" w:type="dxa"/>
            <w:vAlign w:val="center"/>
          </w:tcPr>
          <w:p w14:paraId="46842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荣成市财政局</w:t>
            </w:r>
          </w:p>
        </w:tc>
        <w:tc>
          <w:tcPr>
            <w:tcW w:w="1500" w:type="dxa"/>
            <w:vAlign w:val="center"/>
          </w:tcPr>
          <w:p w14:paraId="4942C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7563164</w:t>
            </w:r>
          </w:p>
        </w:tc>
      </w:tr>
      <w:tr w14:paraId="35E1C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06758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545" w:type="dxa"/>
            <w:vAlign w:val="center"/>
          </w:tcPr>
          <w:p w14:paraId="50C18B1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代理记账许可资格维持合规行政指导</w:t>
            </w:r>
          </w:p>
        </w:tc>
        <w:tc>
          <w:tcPr>
            <w:tcW w:w="2865" w:type="dxa"/>
            <w:vAlign w:val="center"/>
          </w:tcPr>
          <w:p w14:paraId="7DC0D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以告知承诺方式申请许可证时，伪造人员资料、虚报主管会计及专职从业人员，属于“虚假承诺”行为；取得许可后人员流失，长期不满足法定许可条件，拒不整改；提交虚假备案材料，被记入会计失信联合惩戒名单。</w:t>
            </w:r>
          </w:p>
        </w:tc>
        <w:tc>
          <w:tcPr>
            <w:tcW w:w="3285" w:type="dxa"/>
            <w:vAlign w:val="center"/>
          </w:tcPr>
          <w:p w14:paraId="13FF52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《代理记账管理办法》（财政部令第98号）第十九条、第二十条、第二十三条</w:t>
            </w:r>
          </w:p>
        </w:tc>
        <w:tc>
          <w:tcPr>
            <w:tcW w:w="3600" w:type="dxa"/>
            <w:vAlign w:val="center"/>
          </w:tcPr>
          <w:p w14:paraId="620B1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.申请许可如实提交从业人员、负责人相关资料，不得伪造社保、劳动合同；2.发生人员变动及时补足符合条件专职从业人员，按要求完成整改；3.按规定完成年度备案，报送真实完整备案资料；4.收到财政整改通知按期落实整改，避免失信惩戒。</w:t>
            </w:r>
          </w:p>
        </w:tc>
        <w:tc>
          <w:tcPr>
            <w:tcW w:w="1560" w:type="dxa"/>
            <w:vAlign w:val="center"/>
          </w:tcPr>
          <w:p w14:paraId="03FC8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荣成市财政局</w:t>
            </w:r>
          </w:p>
        </w:tc>
        <w:tc>
          <w:tcPr>
            <w:tcW w:w="1500" w:type="dxa"/>
            <w:vAlign w:val="center"/>
          </w:tcPr>
          <w:p w14:paraId="0E73F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7563164</w:t>
            </w:r>
          </w:p>
        </w:tc>
      </w:tr>
      <w:tr w14:paraId="22D56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1A2EBD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545" w:type="dxa"/>
            <w:vAlign w:val="center"/>
          </w:tcPr>
          <w:p w14:paraId="69140AA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政府采购《中小企业声明函》填报指导</w:t>
            </w:r>
          </w:p>
        </w:tc>
        <w:tc>
          <w:tcPr>
            <w:tcW w:w="2865" w:type="dxa"/>
            <w:shd w:val="clear" w:color="auto" w:fill="auto"/>
            <w:vAlign w:val="center"/>
          </w:tcPr>
          <w:p w14:paraId="2632620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采购</w:t>
            </w:r>
            <w:r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项目明确专门面向中小企业，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存在部分供应商</w:t>
            </w:r>
            <w:r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隐瞒产品制造商为大型企业的事实，提交虚假《中小企业声明函》骗取中标资格，剥夺了符合条件的小微企业的中标机会，严重突破了面向中小企业采购项目的公平底线。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4F345A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《中华人民共和国政府采购法》第三条‌ 政府采购应当遵循公开透明原则、公平竞争原则、公正原则和诚实信用原则。</w:t>
            </w:r>
          </w:p>
          <w:p w14:paraId="0CEFA1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第七十七条‌ 供应商有下列情形之一的，处以采购金额千分之五以上千分之十以下的罚款，列入不良行为记录名单，在一至三年内禁止参加政府采购活动，有违法所得的，并处没收违法所得，情节严重的，由工商行政管理机关吊销营业执照；构成犯罪的，依法追究刑事责任：提供虚假材料谋取中标、成交的；采取不正当手段诋毁、排挤其他供应商的；与采购人、其他供应商或者采购代理机构恶意串通的；向采购人、采购代理机构行贿或者提供其他不正当利益的；在招标采购过程中与采购人进行协商谈判的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;</w:t>
            </w:r>
            <w:r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拒绝有关部门监督检查或者提供虚假情况的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3F47653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为充分发挥政府采购的政策功能，促进中小企业健康发展，最大程度降低制度性交易成本，政府采购领域实施了一系列支持中小企业发展的政策措施，明确规定供应商参加政府采购活动时，无论其属于何种类型企业，只要投标货物制造商为中小微企业，其如实填写《中小企业声明函》，即可享受预留份额、价格扣除等优惠政策，无需提供相关证明材料。在此背景下，供应商有责任进行审慎地核实，确保《中小企业声明函》中所载信息的真实性和准确性。如果供应商不能确定相关声明函内容真实有效，可以不作声明承诺，放弃享受相关扶持政策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590F2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荣成市财政局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B6A24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7565013</w:t>
            </w:r>
          </w:p>
        </w:tc>
      </w:tr>
    </w:tbl>
    <w:p w14:paraId="6E61F259">
      <w:pPr>
        <w:rPr>
          <w:rFonts w:hint="eastAsia" w:ascii="宋体" w:hAnsi="宋体" w:eastAsia="楷体_GB2312" w:cs="楷体_GB2312"/>
          <w:b w:val="0"/>
          <w:bCs/>
          <w:color w:val="000000"/>
          <w:kern w:val="0"/>
          <w:sz w:val="32"/>
          <w:szCs w:val="32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FA63A"/>
    <w:rsid w:val="16CE5E9A"/>
    <w:rsid w:val="24AD3DD7"/>
    <w:rsid w:val="24D31493"/>
    <w:rsid w:val="2AF13472"/>
    <w:rsid w:val="2F7717C5"/>
    <w:rsid w:val="3F545674"/>
    <w:rsid w:val="3F68576A"/>
    <w:rsid w:val="41C80D8B"/>
    <w:rsid w:val="578F5A75"/>
    <w:rsid w:val="5DE55170"/>
    <w:rsid w:val="629D2AE1"/>
    <w:rsid w:val="6F678D2A"/>
    <w:rsid w:val="6F755195"/>
    <w:rsid w:val="8D7FCC14"/>
    <w:rsid w:val="DFBFA63A"/>
    <w:rsid w:val="EE9B5246"/>
    <w:rsid w:val="F7FE8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1352</Words>
  <Characters>1386</Characters>
  <Lines>0</Lines>
  <Paragraphs>0</Paragraphs>
  <TotalTime>23</TotalTime>
  <ScaleCrop>false</ScaleCrop>
  <LinksUpToDate>false</LinksUpToDate>
  <CharactersWithSpaces>1390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2026-08-27T08:54:00Z</dcterms:created>
  <dc:creator>user</dc:creator>
  <cp:lastModifiedBy>微信用户</cp:lastModifiedBy>
  <dcterms:modified xsi:type="dcterms:W3CDTF">2026-10-16T00:53:19Z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9FA8AE8F419E4E7884CD877E83D3CE2F_13</vt:lpwstr>
  </property>
  <property fmtid="{D5CDD505-2E9C-101B-9397-08002B2CF9AE}" pid="4" name="KSOTemplateDocerSaveRecord">
    <vt:lpwstr>eyJoZGlkIjoiNzBjYTYxNjQ4Y2M1M2E1ZjBlOGEzNmYxOTkzNTQzOTkiLCJ1c2VySWQiOiIxMjU0NDQ4NzAxIn0=</vt:lpwstr>
  </property>
</Properties>
</file>