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bCs/>
          <w:color w:val="auto"/>
          <w:kern w:val="0"/>
          <w:sz w:val="28"/>
          <w:szCs w:val="28"/>
        </w:rPr>
      </w:pPr>
    </w:p>
    <w:p>
      <w:pPr>
        <w:rPr>
          <w:rFonts w:ascii="Times New Roman" w:hAnsi="Times New Roman"/>
          <w:bCs/>
          <w:color w:val="auto"/>
          <w:kern w:val="0"/>
          <w:sz w:val="28"/>
          <w:szCs w:val="28"/>
        </w:rPr>
      </w:pPr>
    </w:p>
    <w:p>
      <w:pPr>
        <w:rPr>
          <w:rFonts w:ascii="Times New Roman" w:hAnsi="Times New Roman"/>
          <w:bCs/>
          <w:color w:val="auto"/>
          <w:kern w:val="0"/>
          <w:sz w:val="28"/>
          <w:szCs w:val="28"/>
        </w:rPr>
      </w:pPr>
    </w:p>
    <w:p>
      <w:pPr>
        <w:rPr>
          <w:rFonts w:ascii="Times New Roman" w:hAnsi="Times New Roman"/>
          <w:bCs/>
          <w:color w:val="auto"/>
          <w:kern w:val="0"/>
          <w:sz w:val="28"/>
          <w:szCs w:val="28"/>
        </w:rPr>
      </w:pPr>
    </w:p>
    <w:p>
      <w:pPr>
        <w:pStyle w:val="25"/>
        <w:rPr>
          <w:rFonts w:ascii="Times New Roman" w:hAnsi="Times New Roman"/>
          <w:color w:val="auto"/>
        </w:rPr>
      </w:pPr>
    </w:p>
    <w:p>
      <w:pPr>
        <w:rPr>
          <w:rFonts w:ascii="Times New Roman" w:hAnsi="Times New Roman"/>
          <w:bCs/>
          <w:color w:val="auto"/>
          <w:kern w:val="0"/>
          <w:sz w:val="28"/>
          <w:szCs w:val="28"/>
        </w:rPr>
      </w:pPr>
    </w:p>
    <w:p>
      <w:pPr>
        <w:rPr>
          <w:rFonts w:ascii="Times New Roman" w:hAnsi="Times New Roman"/>
          <w:bCs/>
          <w:color w:val="auto"/>
          <w:kern w:val="0"/>
          <w:sz w:val="28"/>
          <w:szCs w:val="28"/>
        </w:rPr>
      </w:pPr>
    </w:p>
    <w:p>
      <w:pPr>
        <w:rPr>
          <w:rFonts w:ascii="Times New Roman" w:hAnsi="Times New Roman"/>
          <w:bCs/>
          <w:color w:val="auto"/>
          <w:kern w:val="0"/>
          <w:sz w:val="28"/>
          <w:szCs w:val="28"/>
        </w:rPr>
      </w:pPr>
    </w:p>
    <w:p>
      <w:pPr>
        <w:spacing w:line="360" w:lineRule="auto"/>
        <w:jc w:val="center"/>
        <w:rPr>
          <w:rFonts w:ascii="Times New Roman" w:hAnsi="Times New Roman" w:eastAsia="仿宋_GB2312"/>
          <w:b/>
          <w:bCs/>
          <w:color w:val="auto"/>
          <w:kern w:val="0"/>
          <w:sz w:val="52"/>
          <w:szCs w:val="52"/>
        </w:rPr>
      </w:pPr>
      <w:r>
        <w:rPr>
          <w:rFonts w:ascii="Times New Roman" w:hAnsi="Times New Roman" w:eastAsia="仿宋_GB2312"/>
          <w:b/>
          <w:bCs/>
          <w:color w:val="auto"/>
          <w:kern w:val="0"/>
          <w:sz w:val="52"/>
          <w:szCs w:val="52"/>
        </w:rPr>
        <w:t>荣成市国家生态文明建设示范区规划</w:t>
      </w:r>
    </w:p>
    <w:p>
      <w:pPr>
        <w:spacing w:line="360" w:lineRule="auto"/>
        <w:jc w:val="center"/>
        <w:rPr>
          <w:rFonts w:ascii="Times New Roman" w:hAnsi="Times New Roman" w:eastAsia="仿宋_GB2312"/>
          <w:b/>
          <w:bCs/>
          <w:color w:val="auto"/>
          <w:kern w:val="0"/>
          <w:sz w:val="52"/>
          <w:szCs w:val="52"/>
        </w:rPr>
      </w:pPr>
      <w:r>
        <w:rPr>
          <w:rFonts w:ascii="Times New Roman" w:hAnsi="Times New Roman" w:eastAsia="仿宋_GB2312"/>
          <w:b/>
          <w:bCs/>
          <w:color w:val="auto"/>
          <w:kern w:val="0"/>
          <w:sz w:val="52"/>
          <w:szCs w:val="52"/>
        </w:rPr>
        <w:t>（2021-2030年）</w:t>
      </w:r>
    </w:p>
    <w:p>
      <w:pPr>
        <w:pStyle w:val="2"/>
        <w:ind w:firstLine="1044"/>
        <w:rPr>
          <w:rFonts w:ascii="Times New Roman" w:hAnsi="Times New Roman" w:eastAsia="仿宋_GB2312"/>
          <w:b/>
          <w:bCs/>
          <w:color w:val="auto"/>
          <w:kern w:val="0"/>
          <w:sz w:val="52"/>
          <w:szCs w:val="52"/>
        </w:rPr>
      </w:pPr>
    </w:p>
    <w:p>
      <w:pPr>
        <w:spacing w:line="360" w:lineRule="auto"/>
        <w:jc w:val="center"/>
        <w:rPr>
          <w:rFonts w:ascii="Times New Roman" w:hAnsi="Times New Roman" w:eastAsia="仿宋_GB2312"/>
          <w:b/>
          <w:bCs/>
          <w:color w:val="auto"/>
          <w:kern w:val="0"/>
          <w:sz w:val="52"/>
          <w:szCs w:val="52"/>
        </w:rPr>
      </w:pPr>
    </w:p>
    <w:p>
      <w:pPr>
        <w:pStyle w:val="2"/>
        <w:ind w:firstLine="1044"/>
        <w:rPr>
          <w:rFonts w:ascii="Times New Roman" w:hAnsi="Times New Roman" w:eastAsia="仿宋_GB2312"/>
          <w:b/>
          <w:bCs/>
          <w:color w:val="auto"/>
          <w:kern w:val="0"/>
          <w:sz w:val="52"/>
          <w:szCs w:val="52"/>
        </w:rPr>
      </w:pPr>
    </w:p>
    <w:p>
      <w:pPr>
        <w:rPr>
          <w:color w:val="auto"/>
        </w:rPr>
      </w:pPr>
    </w:p>
    <w:p>
      <w:pPr>
        <w:pStyle w:val="25"/>
        <w:rPr>
          <w:rFonts w:ascii="Times New Roman" w:hAnsi="Times New Roman" w:eastAsia="仿宋_GB2312"/>
          <w:b/>
          <w:bCs/>
          <w:color w:val="auto"/>
          <w:sz w:val="52"/>
          <w:szCs w:val="52"/>
        </w:rPr>
      </w:pPr>
    </w:p>
    <w:p>
      <w:pPr>
        <w:pStyle w:val="25"/>
        <w:rPr>
          <w:rFonts w:ascii="Times New Roman" w:hAnsi="Times New Roman" w:eastAsia="仿宋_GB2312"/>
          <w:b/>
          <w:bCs/>
          <w:color w:val="auto"/>
          <w:sz w:val="52"/>
          <w:szCs w:val="52"/>
        </w:rPr>
      </w:pPr>
    </w:p>
    <w:p>
      <w:pPr>
        <w:pStyle w:val="25"/>
        <w:rPr>
          <w:rFonts w:ascii="Times New Roman" w:hAnsi="Times New Roman" w:eastAsia="仿宋_GB2312"/>
          <w:b/>
          <w:bCs/>
          <w:color w:val="auto"/>
          <w:sz w:val="52"/>
          <w:szCs w:val="52"/>
        </w:rPr>
      </w:pPr>
    </w:p>
    <w:p>
      <w:pPr>
        <w:spacing w:line="360" w:lineRule="auto"/>
        <w:jc w:val="center"/>
        <w:rPr>
          <w:rFonts w:ascii="Times New Roman" w:hAnsi="Times New Roman"/>
          <w:b/>
          <w:bCs/>
          <w:color w:val="auto"/>
          <w:kern w:val="0"/>
          <w:sz w:val="32"/>
          <w:szCs w:val="32"/>
        </w:rPr>
      </w:pPr>
    </w:p>
    <w:p>
      <w:pPr>
        <w:pStyle w:val="25"/>
        <w:rPr>
          <w:rFonts w:ascii="Times New Roman" w:hAnsi="Times New Roman"/>
          <w:b/>
          <w:bCs/>
          <w:color w:val="auto"/>
          <w:szCs w:val="32"/>
        </w:rPr>
      </w:pPr>
    </w:p>
    <w:p>
      <w:pPr>
        <w:pStyle w:val="25"/>
        <w:rPr>
          <w:rFonts w:ascii="Times New Roman" w:hAnsi="Times New Roman"/>
          <w:b/>
          <w:bCs/>
          <w:color w:val="auto"/>
          <w:szCs w:val="32"/>
        </w:rPr>
      </w:pPr>
    </w:p>
    <w:p>
      <w:pPr>
        <w:pStyle w:val="25"/>
        <w:rPr>
          <w:rFonts w:ascii="Times New Roman" w:hAnsi="Times New Roman" w:eastAsia="仿宋_GB2312"/>
          <w:b/>
          <w:bCs/>
          <w:color w:val="auto"/>
          <w:sz w:val="52"/>
          <w:szCs w:val="52"/>
        </w:rPr>
      </w:pPr>
    </w:p>
    <w:p>
      <w:pPr>
        <w:spacing w:line="360" w:lineRule="auto"/>
        <w:jc w:val="center"/>
        <w:rPr>
          <w:rFonts w:ascii="Times New Roman" w:hAnsi="Times New Roman"/>
          <w:b/>
          <w:bCs/>
          <w:color w:val="auto"/>
          <w:kern w:val="0"/>
          <w:sz w:val="32"/>
          <w:szCs w:val="32"/>
        </w:rPr>
      </w:pPr>
      <w:r>
        <w:rPr>
          <w:rFonts w:hint="eastAsia" w:ascii="仿宋_GB2312" w:hAnsi="仿宋_GB2312" w:eastAsia="仿宋_GB2312" w:cs="仿宋_GB2312"/>
          <w:b/>
          <w:bCs/>
          <w:color w:val="auto"/>
          <w:kern w:val="0"/>
          <w:sz w:val="32"/>
          <w:szCs w:val="32"/>
        </w:rPr>
        <w:t>荣成市人民政府</w:t>
      </w:r>
    </w:p>
    <w:p>
      <w:pPr>
        <w:pStyle w:val="25"/>
        <w:jc w:val="center"/>
        <w:rPr>
          <w:rFonts w:ascii="Times New Roman" w:hAnsi="Times New Roman"/>
          <w:color w:val="auto"/>
        </w:rPr>
        <w:sectPr>
          <w:pgSz w:w="11907" w:h="16839"/>
          <w:pgMar w:top="1418" w:right="1418" w:bottom="1418" w:left="1701" w:header="720" w:footer="720" w:gutter="0"/>
          <w:pgBorders>
            <w:top w:val="none" w:sz="0" w:space="0"/>
            <w:left w:val="none" w:sz="0" w:space="0"/>
            <w:bottom w:val="none" w:sz="0" w:space="0"/>
            <w:right w:val="none" w:sz="0" w:space="0"/>
          </w:pgBorders>
          <w:pgNumType w:fmt="decimal" w:start="1"/>
          <w:cols w:space="720" w:num="1"/>
          <w:docGrid w:linePitch="286" w:charSpace="0"/>
        </w:sectPr>
      </w:pPr>
      <w:r>
        <w:rPr>
          <w:rFonts w:hint="eastAsia" w:ascii="Times New Roman" w:hAnsi="Times New Roman"/>
          <w:b/>
          <w:bCs/>
          <w:color w:val="auto"/>
          <w:szCs w:val="32"/>
          <w:lang w:val="en-US" w:eastAsia="zh-CN"/>
        </w:rPr>
        <w:t>2022</w:t>
      </w:r>
      <w:r>
        <w:rPr>
          <w:rFonts w:ascii="Times New Roman" w:hAnsi="Times New Roman"/>
          <w:b/>
          <w:bCs/>
          <w:color w:val="auto"/>
          <w:szCs w:val="32"/>
        </w:rPr>
        <w:t>年</w:t>
      </w:r>
      <w:r>
        <w:rPr>
          <w:rFonts w:hint="eastAsia" w:ascii="Times New Roman" w:hAnsi="Times New Roman"/>
          <w:b/>
          <w:bCs/>
          <w:color w:val="auto"/>
          <w:szCs w:val="32"/>
          <w:lang w:val="en-US" w:eastAsia="zh-CN"/>
        </w:rPr>
        <w:t>1</w:t>
      </w:r>
      <w:r>
        <w:rPr>
          <w:rFonts w:ascii="Times New Roman" w:hAnsi="Times New Roman"/>
          <w:b/>
          <w:bCs/>
          <w:color w:val="auto"/>
          <w:szCs w:val="32"/>
        </w:rPr>
        <w:t>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ascii="Times New Roman" w:hAnsi="Times New Roman" w:eastAsia="黑体"/>
          <w:color w:val="auto"/>
          <w:sz w:val="36"/>
          <w:szCs w:val="36"/>
        </w:rPr>
      </w:pPr>
      <w:bookmarkStart w:id="0" w:name="_Toc160"/>
      <w:bookmarkStart w:id="1" w:name="_Toc21571"/>
      <w:bookmarkStart w:id="2" w:name="_Toc15094"/>
      <w:bookmarkStart w:id="3" w:name="_Toc13930"/>
      <w:r>
        <w:rPr>
          <w:rFonts w:hint="eastAsia" w:ascii="Times New Roman" w:hAnsi="Times New Roman" w:eastAsia="黑体"/>
          <w:color w:val="auto"/>
          <w:sz w:val="36"/>
          <w:szCs w:val="36"/>
        </w:rPr>
        <w:t>荣成市生态文明建设工作</w:t>
      </w:r>
      <w:bookmarkEnd w:id="0"/>
      <w:bookmarkEnd w:id="1"/>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Times New Roman" w:hAnsi="Times New Roman" w:eastAsia="黑体"/>
          <w:color w:val="auto"/>
          <w:sz w:val="36"/>
          <w:szCs w:val="36"/>
          <w:lang w:eastAsia="zh-CN"/>
        </w:rPr>
      </w:pPr>
      <w:bookmarkStart w:id="4" w:name="_Toc24186"/>
      <w:bookmarkStart w:id="5" w:name="_Toc21696"/>
      <w:r>
        <w:rPr>
          <w:rFonts w:hint="eastAsia" w:ascii="Times New Roman" w:hAnsi="Times New Roman" w:eastAsia="黑体"/>
          <w:color w:val="auto"/>
          <w:sz w:val="36"/>
          <w:szCs w:val="36"/>
        </w:rPr>
        <w:t>领导小组</w:t>
      </w:r>
      <w:bookmarkEnd w:id="4"/>
      <w:bookmarkEnd w:id="5"/>
      <w:r>
        <w:rPr>
          <w:rFonts w:hint="eastAsia" w:ascii="Times New Roman" w:hAnsi="Times New Roman" w:eastAsia="黑体"/>
          <w:color w:val="auto"/>
          <w:sz w:val="36"/>
          <w:szCs w:val="36"/>
          <w:lang w:eastAsia="zh-CN"/>
        </w:rPr>
        <w:t>成员名单</w:t>
      </w:r>
    </w:p>
    <w:p>
      <w:pPr>
        <w:keepNext w:val="0"/>
        <w:keepLines w:val="0"/>
        <w:pageBreakBefore w:val="0"/>
        <w:widowControl w:val="0"/>
        <w:kinsoku/>
        <w:wordWrap/>
        <w:overflowPunct w:val="0"/>
        <w:topLinePunct w:val="0"/>
        <w:autoSpaceDE/>
        <w:autoSpaceDN/>
        <w:bidi w:val="0"/>
        <w:adjustRightInd/>
        <w:snapToGrid/>
        <w:spacing w:line="600" w:lineRule="exact"/>
        <w:ind w:firstLine="960" w:firstLineChars="300"/>
        <w:textAlignment w:val="auto"/>
        <w:rPr>
          <w:rFonts w:hint="eastAsia" w:ascii="黑体" w:hAnsi="黑体" w:eastAsia="黑体"/>
          <w:sz w:val="32"/>
        </w:rPr>
      </w:pPr>
    </w:p>
    <w:p>
      <w:pPr>
        <w:keepNext w:val="0"/>
        <w:keepLines w:val="0"/>
        <w:pageBreakBefore w:val="0"/>
        <w:widowControl w:val="0"/>
        <w:kinsoku/>
        <w:wordWrap/>
        <w:overflowPunct w:val="0"/>
        <w:topLinePunct w:val="0"/>
        <w:autoSpaceDE/>
        <w:autoSpaceDN/>
        <w:bidi w:val="0"/>
        <w:adjustRightInd/>
        <w:snapToGrid/>
        <w:spacing w:line="600" w:lineRule="exact"/>
        <w:ind w:firstLine="960" w:firstLineChars="300"/>
        <w:textAlignment w:val="auto"/>
        <w:rPr>
          <w:rFonts w:ascii="宋体" w:hAnsi="宋体" w:eastAsia="仿宋_GB2312" w:cs="仿宋_GB2312"/>
          <w:color w:val="auto"/>
          <w:kern w:val="21"/>
          <w:sz w:val="32"/>
          <w:szCs w:val="32"/>
        </w:rPr>
      </w:pPr>
      <w:r>
        <w:rPr>
          <w:rFonts w:hint="eastAsia" w:ascii="黑体" w:hAnsi="黑体" w:eastAsia="黑体"/>
          <w:color w:val="auto"/>
          <w:sz w:val="32"/>
        </w:rPr>
        <w:t xml:space="preserve">组  长  </w:t>
      </w:r>
      <w:r>
        <w:rPr>
          <w:rFonts w:hint="eastAsia" w:ascii="宋体" w:hAnsi="宋体" w:eastAsia="仿宋_GB2312" w:cs="仿宋_GB2312"/>
          <w:color w:val="auto"/>
          <w:kern w:val="21"/>
          <w:sz w:val="32"/>
          <w:szCs w:val="32"/>
        </w:rPr>
        <w:t>郑跃文 市委副书记、</w:t>
      </w:r>
      <w:r>
        <w:rPr>
          <w:rFonts w:hint="eastAsia" w:ascii="宋体" w:hAnsi="宋体" w:eastAsia="仿宋_GB2312" w:cs="仿宋_GB2312"/>
          <w:color w:val="auto"/>
          <w:kern w:val="21"/>
          <w:sz w:val="32"/>
          <w:szCs w:val="32"/>
          <w:lang w:eastAsia="zh-CN"/>
        </w:rPr>
        <w:t>市政府</w:t>
      </w:r>
      <w:r>
        <w:rPr>
          <w:rFonts w:hint="eastAsia" w:ascii="宋体" w:hAnsi="宋体" w:eastAsia="仿宋_GB2312" w:cs="仿宋_GB2312"/>
          <w:color w:val="auto"/>
          <w:kern w:val="21"/>
          <w:sz w:val="32"/>
          <w:szCs w:val="32"/>
        </w:rPr>
        <w:t>市长</w:t>
      </w:r>
    </w:p>
    <w:p>
      <w:pPr>
        <w:pStyle w:val="2"/>
        <w:keepNext w:val="0"/>
        <w:keepLines w:val="0"/>
        <w:pageBreakBefore w:val="0"/>
        <w:widowControl w:val="0"/>
        <w:kinsoku/>
        <w:wordWrap/>
        <w:topLinePunct w:val="0"/>
        <w:autoSpaceDE/>
        <w:autoSpaceDN/>
        <w:bidi w:val="0"/>
        <w:adjustRightInd/>
        <w:snapToGrid/>
        <w:spacing w:line="600" w:lineRule="exact"/>
        <w:ind w:firstLine="960" w:firstLineChars="300"/>
        <w:textAlignment w:val="auto"/>
        <w:rPr>
          <w:rFonts w:eastAsia="仿宋_GB2312"/>
          <w:color w:val="auto"/>
        </w:rPr>
      </w:pPr>
      <w:r>
        <w:rPr>
          <w:rFonts w:hint="eastAsia" w:ascii="黑体" w:hAnsi="黑体" w:eastAsia="黑体"/>
          <w:color w:val="auto"/>
          <w:sz w:val="32"/>
          <w:lang w:val="en-US" w:eastAsia="zh-CN"/>
        </w:rPr>
        <w:t>副</w:t>
      </w:r>
      <w:r>
        <w:rPr>
          <w:rFonts w:hint="eastAsia" w:ascii="黑体" w:hAnsi="黑体" w:eastAsia="黑体"/>
          <w:color w:val="auto"/>
          <w:sz w:val="32"/>
        </w:rPr>
        <w:t>组长</w:t>
      </w:r>
      <w:r>
        <w:rPr>
          <w:rFonts w:hint="eastAsia" w:ascii="宋体" w:hAnsi="宋体" w:eastAsia="仿宋_GB2312" w:cs="仿宋_GB2312"/>
          <w:color w:val="auto"/>
          <w:kern w:val="21"/>
          <w:sz w:val="32"/>
          <w:szCs w:val="32"/>
        </w:rPr>
        <w:t xml:space="preserve">  </w:t>
      </w:r>
      <w:r>
        <w:rPr>
          <w:rFonts w:hint="eastAsia" w:ascii="宋体" w:hAnsi="宋体" w:eastAsia="仿宋_GB2312" w:cs="仿宋_GB2312"/>
          <w:color w:val="auto"/>
          <w:kern w:val="21"/>
          <w:sz w:val="32"/>
          <w:szCs w:val="32"/>
          <w:lang w:val="en-US" w:eastAsia="zh-CN" w:bidi="ar-SA"/>
        </w:rPr>
        <w:t>王曙光</w:t>
      </w:r>
      <w:r>
        <w:rPr>
          <w:rFonts w:hint="eastAsia" w:ascii="宋体" w:hAnsi="宋体" w:eastAsia="仿宋_GB2312" w:cs="仿宋_GB2312"/>
          <w:color w:val="auto"/>
          <w:kern w:val="21"/>
          <w:sz w:val="32"/>
          <w:szCs w:val="32"/>
          <w:lang w:val="en-US" w:eastAsia="zh-CN"/>
        </w:rPr>
        <w:t xml:space="preserve"> </w:t>
      </w:r>
      <w:r>
        <w:rPr>
          <w:rFonts w:hint="eastAsia" w:ascii="宋体" w:hAnsi="宋体" w:eastAsia="仿宋_GB2312" w:cs="仿宋_GB2312"/>
          <w:color w:val="auto"/>
          <w:kern w:val="21"/>
          <w:sz w:val="32"/>
          <w:szCs w:val="32"/>
        </w:rPr>
        <w:t>市政府副市长</w:t>
      </w:r>
    </w:p>
    <w:p>
      <w:pPr>
        <w:keepNext w:val="0"/>
        <w:keepLines w:val="0"/>
        <w:pageBreakBefore w:val="0"/>
        <w:widowControl w:val="0"/>
        <w:kinsoku/>
        <w:wordWrap/>
        <w:overflowPunct w:val="0"/>
        <w:topLinePunct w:val="0"/>
        <w:autoSpaceDE/>
        <w:autoSpaceDN/>
        <w:bidi w:val="0"/>
        <w:adjustRightInd/>
        <w:snapToGrid/>
        <w:spacing w:line="600" w:lineRule="exact"/>
        <w:ind w:firstLine="960" w:firstLineChars="300"/>
        <w:textAlignment w:val="auto"/>
        <w:rPr>
          <w:rFonts w:hint="eastAsia" w:ascii="宋体" w:hAnsi="宋体" w:eastAsia="仿宋_GB2312" w:cs="仿宋_GB2312"/>
          <w:color w:val="auto"/>
          <w:kern w:val="21"/>
          <w:sz w:val="32"/>
          <w:szCs w:val="32"/>
        </w:rPr>
      </w:pPr>
      <w:r>
        <w:rPr>
          <w:rFonts w:hint="eastAsia" w:ascii="黑体" w:hAnsi="黑体" w:eastAsia="黑体"/>
          <w:color w:val="auto"/>
          <w:sz w:val="32"/>
        </w:rPr>
        <w:t xml:space="preserve">成  员  </w:t>
      </w:r>
      <w:r>
        <w:rPr>
          <w:rFonts w:hint="eastAsia" w:ascii="宋体" w:hAnsi="宋体" w:eastAsia="仿宋_GB2312" w:cs="仿宋_GB2312"/>
          <w:color w:val="auto"/>
          <w:kern w:val="21"/>
          <w:sz w:val="32"/>
          <w:szCs w:val="32"/>
        </w:rPr>
        <w:t>马洪波 市政府办公室主任</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s="仿宋_GB2312"/>
          <w:color w:val="auto"/>
          <w:kern w:val="21"/>
          <w:sz w:val="32"/>
          <w:szCs w:val="32"/>
          <w:lang w:val="en-US" w:eastAsia="zh-CN" w:bidi="ar-SA"/>
        </w:rPr>
        <w:t>刘兆阳</w:t>
      </w:r>
      <w:r>
        <w:rPr>
          <w:rFonts w:hint="eastAsia" w:ascii="宋体" w:hAnsi="宋体" w:eastAsia="仿宋_GB2312" w:cs="仿宋_GB2312"/>
          <w:color w:val="auto"/>
          <w:kern w:val="21"/>
          <w:sz w:val="32"/>
          <w:szCs w:val="32"/>
          <w:lang w:val="en-US" w:eastAsia="zh-CN"/>
        </w:rPr>
        <w:t xml:space="preserve"> </w:t>
      </w:r>
      <w:r>
        <w:rPr>
          <w:rFonts w:hint="eastAsia" w:ascii="宋体" w:hAnsi="宋体" w:eastAsia="仿宋_GB2312"/>
          <w:color w:val="auto"/>
          <w:kern w:val="21"/>
          <w:sz w:val="32"/>
          <w:szCs w:val="32"/>
        </w:rPr>
        <w:t>市委宣传部副部长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s="仿宋_GB2312"/>
          <w:color w:val="auto"/>
          <w:kern w:val="21"/>
          <w:sz w:val="32"/>
          <w:szCs w:val="32"/>
          <w:lang w:val="en-US" w:eastAsia="zh-CN" w:bidi="ar-SA"/>
        </w:rPr>
        <w:t>李树岭</w:t>
      </w:r>
      <w:r>
        <w:rPr>
          <w:rFonts w:hint="eastAsia" w:ascii="宋体" w:hAnsi="宋体" w:eastAsia="仿宋_GB2312"/>
          <w:color w:val="auto"/>
          <w:kern w:val="21"/>
          <w:sz w:val="32"/>
          <w:szCs w:val="32"/>
        </w:rPr>
        <w:t xml:space="preserve"> 市委组织部副部长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李洪凯 市发展和改革局局长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张永波 市教育和体育局局长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迟勇猛 市科学技术局局长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洪加耀 市工业和信息化局局长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刘景奕 市财政局局长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 xml:space="preserve">汤 </w:t>
      </w:r>
      <w:r>
        <w:rPr>
          <w:rFonts w:ascii="宋体" w:hAnsi="宋体" w:eastAsia="仿宋_GB2312"/>
          <w:color w:val="auto"/>
          <w:kern w:val="21"/>
          <w:sz w:val="32"/>
          <w:szCs w:val="32"/>
        </w:rPr>
        <w:t xml:space="preserve"> </w:t>
      </w:r>
      <w:r>
        <w:rPr>
          <w:rFonts w:hint="eastAsia" w:ascii="宋体" w:hAnsi="宋体" w:eastAsia="仿宋_GB2312"/>
          <w:color w:val="auto"/>
          <w:kern w:val="21"/>
          <w:sz w:val="32"/>
          <w:szCs w:val="32"/>
        </w:rPr>
        <w:t>杨 市自然资源局局长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王华治 市住房和城乡建设局局长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连立峰 市交通运输局局长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王树恒 市水利局局长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林宏健 市农业农村局局长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樊景涛 市海洋发展局局长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王  涛 市商务局局长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 xml:space="preserve">原 </w:t>
      </w:r>
      <w:r>
        <w:rPr>
          <w:rFonts w:ascii="宋体" w:hAnsi="宋体" w:eastAsia="仿宋_GB2312"/>
          <w:color w:val="auto"/>
          <w:kern w:val="21"/>
          <w:sz w:val="32"/>
          <w:szCs w:val="32"/>
        </w:rPr>
        <w:t xml:space="preserve"> </w:t>
      </w:r>
      <w:r>
        <w:rPr>
          <w:rFonts w:hint="eastAsia" w:ascii="宋体" w:hAnsi="宋体" w:eastAsia="仿宋_GB2312"/>
          <w:color w:val="auto"/>
          <w:kern w:val="21"/>
          <w:sz w:val="32"/>
          <w:szCs w:val="32"/>
        </w:rPr>
        <w:t>涛 市文化和旅游局局长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徐海明 市卫生健康局局长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林红光 市审计局局长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kern w:val="21"/>
          <w:sz w:val="32"/>
          <w:szCs w:val="32"/>
        </w:rPr>
      </w:pPr>
      <w:r>
        <w:rPr>
          <w:rFonts w:hint="eastAsia" w:ascii="宋体" w:hAnsi="宋体" w:eastAsia="仿宋_GB2312"/>
          <w:kern w:val="21"/>
          <w:sz w:val="32"/>
          <w:szCs w:val="32"/>
        </w:rPr>
        <w:t>慕思华 市市场监督管理局局长</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ascii="宋体" w:hAnsi="宋体" w:eastAsia="仿宋_GB2312"/>
          <w:kern w:val="21"/>
          <w:sz w:val="32"/>
          <w:szCs w:val="32"/>
        </w:rPr>
      </w:pPr>
      <w:r>
        <w:rPr>
          <w:rFonts w:hint="eastAsia" w:ascii="宋体" w:hAnsi="宋体" w:eastAsia="仿宋_GB2312"/>
          <w:kern w:val="21"/>
          <w:sz w:val="32"/>
          <w:szCs w:val="32"/>
        </w:rPr>
        <w:t>宋文礼 市生态文明建设协调中心主任</w:t>
      </w:r>
    </w:p>
    <w:p>
      <w:pPr>
        <w:keepNext w:val="0"/>
        <w:keepLines w:val="0"/>
        <w:pageBreakBefore w:val="0"/>
        <w:widowControl w:val="0"/>
        <w:kinsoku/>
        <w:wordWrap/>
        <w:overflowPunct w:val="0"/>
        <w:topLinePunct w:val="0"/>
        <w:autoSpaceDE/>
        <w:autoSpaceDN/>
        <w:bidi w:val="0"/>
        <w:adjustRightInd/>
        <w:snapToGrid/>
        <w:spacing w:line="600" w:lineRule="exact"/>
        <w:ind w:firstLine="2240" w:firstLineChars="700"/>
        <w:textAlignment w:val="auto"/>
        <w:rPr>
          <w:rFonts w:hint="eastAsia" w:ascii="宋体" w:hAnsi="宋体" w:eastAsia="仿宋_GB2312"/>
          <w:kern w:val="21"/>
          <w:sz w:val="32"/>
          <w:szCs w:val="32"/>
        </w:rPr>
      </w:pPr>
      <w:r>
        <w:rPr>
          <w:rFonts w:hint="eastAsia" w:ascii="宋体" w:hAnsi="宋体" w:eastAsia="仿宋_GB2312"/>
          <w:kern w:val="21"/>
          <w:sz w:val="32"/>
          <w:szCs w:val="32"/>
        </w:rPr>
        <w:t>杜敦义 威海市生态环境局荣成分局局长</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rPr>
          <w:rFonts w:ascii="宋体" w:hAnsi="宋体" w:eastAsia="仿宋_GB2312"/>
          <w:color w:val="auto"/>
          <w:kern w:val="21"/>
          <w:sz w:val="32"/>
          <w:szCs w:val="32"/>
        </w:rPr>
      </w:pPr>
      <w:r>
        <w:rPr>
          <w:rFonts w:hint="eastAsia" w:ascii="宋体" w:hAnsi="宋体" w:eastAsia="仿宋_GB2312"/>
          <w:color w:val="auto"/>
          <w:kern w:val="21"/>
          <w:sz w:val="32"/>
          <w:szCs w:val="32"/>
        </w:rPr>
        <w:t>领导小组办公室设在威海市生态环境局荣成分局，杜敦义同志兼任办公室主任。</w:t>
      </w:r>
    </w:p>
    <w:p>
      <w:pPr>
        <w:rPr>
          <w:rFonts w:ascii="Times New Roman" w:hAnsi="Times New Roman" w:eastAsia="黑体"/>
          <w:color w:val="auto"/>
          <w:sz w:val="36"/>
          <w:szCs w:val="36"/>
        </w:rPr>
      </w:pPr>
      <w:bookmarkStart w:id="6" w:name="_Toc23675"/>
      <w:bookmarkStart w:id="7" w:name="_Toc19022"/>
      <w:r>
        <w:rPr>
          <w:rFonts w:ascii="Times New Roman" w:hAnsi="Times New Roman" w:eastAsia="黑体"/>
          <w:color w:val="auto"/>
          <w:sz w:val="36"/>
          <w:szCs w:val="36"/>
        </w:rPr>
        <w:br w:type="page"/>
      </w:r>
    </w:p>
    <w:p>
      <w:pPr>
        <w:pStyle w:val="2"/>
        <w:rPr>
          <w:color w:val="auto"/>
        </w:rPr>
        <w:sectPr>
          <w:headerReference r:id="rId3" w:type="default"/>
          <w:footerReference r:id="rId4" w:type="default"/>
          <w:pgSz w:w="11907" w:h="16839"/>
          <w:pgMar w:top="1418" w:right="1418" w:bottom="1418" w:left="1701" w:header="720" w:footer="720" w:gutter="0"/>
          <w:pgBorders>
            <w:top w:val="none" w:sz="0" w:space="0"/>
            <w:left w:val="none" w:sz="0" w:space="0"/>
            <w:bottom w:val="none" w:sz="0" w:space="0"/>
            <w:right w:val="none" w:sz="0" w:space="0"/>
          </w:pgBorders>
          <w:pgNumType w:fmt="decimal" w:start="1"/>
          <w:cols w:space="720" w:num="1"/>
          <w:docGrid w:linePitch="286" w:charSpace="0"/>
        </w:sectPr>
      </w:pPr>
    </w:p>
    <w:p>
      <w:pPr>
        <w:jc w:val="center"/>
        <w:rPr>
          <w:rFonts w:hint="eastAsia" w:ascii="Times New Roman" w:hAnsi="Times New Roman" w:eastAsia="黑体"/>
          <w:color w:val="auto"/>
          <w:sz w:val="36"/>
          <w:szCs w:val="36"/>
          <w:lang w:val="en-US" w:eastAsia="zh-CN"/>
        </w:rPr>
      </w:pPr>
      <w:bookmarkStart w:id="8" w:name="_Toc31453"/>
      <w:r>
        <w:rPr>
          <w:rFonts w:hint="eastAsia" w:ascii="Times New Roman" w:hAnsi="Times New Roman" w:eastAsia="黑体"/>
          <w:color w:val="auto"/>
          <w:sz w:val="36"/>
          <w:szCs w:val="36"/>
          <w:lang w:val="en-US" w:eastAsia="zh-CN"/>
        </w:rPr>
        <w:t>规划编制技术组</w:t>
      </w:r>
    </w:p>
    <w:p>
      <w:pPr>
        <w:jc w:val="center"/>
        <w:rPr>
          <w:rFonts w:hint="eastAsia" w:ascii="Times New Roman" w:hAnsi="Times New Roman" w:eastAsia="黑体"/>
          <w:color w:val="auto"/>
          <w:sz w:val="36"/>
          <w:szCs w:val="36"/>
          <w:lang w:val="en-US" w:eastAsia="zh-CN"/>
        </w:rPr>
      </w:pPr>
    </w:p>
    <w:p>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rFonts w:hint="default" w:ascii="Times New Roman" w:hAnsi="Times New Roman" w:eastAsia="黑体"/>
          <w:color w:val="auto"/>
          <w:sz w:val="28"/>
          <w:szCs w:val="28"/>
          <w:lang w:val="en-US" w:eastAsia="zh-CN"/>
        </w:rPr>
      </w:pPr>
      <w:r>
        <w:rPr>
          <w:rFonts w:hint="eastAsia" w:ascii="Times New Roman" w:hAnsi="Times New Roman" w:eastAsia="黑体"/>
          <w:color w:val="auto"/>
          <w:sz w:val="28"/>
          <w:szCs w:val="28"/>
          <w:lang w:val="en-US" w:eastAsia="zh-CN"/>
        </w:rPr>
        <w:t xml:space="preserve">项目负责人  </w:t>
      </w:r>
      <w:r>
        <w:rPr>
          <w:rFonts w:hint="eastAsia" w:ascii="仿宋_GB2312" w:hAnsi="仿宋_GB2312" w:eastAsia="仿宋_GB2312" w:cs="仿宋_GB2312"/>
          <w:color w:val="auto"/>
          <w:sz w:val="28"/>
          <w:szCs w:val="28"/>
          <w:lang w:val="en-US" w:eastAsia="zh-CN"/>
        </w:rPr>
        <w:t>孙洪涛 山东省环境保护科学研究设计院有限公司，研究员</w:t>
      </w:r>
    </w:p>
    <w:p>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rFonts w:hint="eastAsia" w:ascii="仿宋_GB2312" w:hAnsi="仿宋_GB2312" w:eastAsia="仿宋_GB2312" w:cs="仿宋_GB2312"/>
          <w:color w:val="auto"/>
          <w:sz w:val="28"/>
          <w:szCs w:val="28"/>
          <w:lang w:val="en-US" w:eastAsia="zh-CN"/>
        </w:rPr>
      </w:pPr>
      <w:r>
        <w:rPr>
          <w:rFonts w:hint="eastAsia" w:ascii="Times New Roman" w:hAnsi="Times New Roman" w:eastAsia="黑体"/>
          <w:color w:val="auto"/>
          <w:sz w:val="28"/>
          <w:szCs w:val="28"/>
          <w:lang w:val="en-US" w:eastAsia="zh-CN"/>
        </w:rPr>
        <w:t xml:space="preserve">编制单位    </w:t>
      </w:r>
      <w:r>
        <w:rPr>
          <w:rFonts w:hint="eastAsia" w:ascii="仿宋_GB2312" w:hAnsi="仿宋_GB2312" w:eastAsia="仿宋_GB2312" w:cs="仿宋_GB2312"/>
          <w:color w:val="auto"/>
          <w:sz w:val="28"/>
          <w:szCs w:val="28"/>
          <w:lang w:val="en-US" w:eastAsia="zh-CN"/>
        </w:rPr>
        <w:t>山东省环境保护科学研究设计院有限公司</w:t>
      </w:r>
    </w:p>
    <w:p>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rFonts w:hint="eastAsia" w:ascii="仿宋_GB2312" w:hAnsi="仿宋_GB2312" w:eastAsia="仿宋_GB2312" w:cs="仿宋_GB2312"/>
          <w:color w:val="auto"/>
          <w:sz w:val="28"/>
          <w:szCs w:val="28"/>
          <w:lang w:val="en-US" w:eastAsia="zh-CN"/>
        </w:rPr>
      </w:pPr>
      <w:r>
        <w:rPr>
          <w:rFonts w:hint="eastAsia" w:ascii="Times New Roman" w:hAnsi="Times New Roman" w:eastAsia="黑体"/>
          <w:color w:val="auto"/>
          <w:sz w:val="28"/>
          <w:szCs w:val="28"/>
          <w:lang w:val="en-US" w:eastAsia="zh-CN"/>
        </w:rPr>
        <w:t xml:space="preserve">主要技术成员 </w:t>
      </w:r>
      <w:r>
        <w:rPr>
          <w:rFonts w:hint="eastAsia" w:ascii="仿宋_GB2312" w:hAnsi="仿宋_GB2312" w:eastAsia="仿宋_GB2312" w:cs="仿宋_GB2312"/>
          <w:color w:val="auto"/>
          <w:sz w:val="28"/>
          <w:szCs w:val="28"/>
          <w:lang w:val="en-US" w:eastAsia="zh-CN"/>
        </w:rPr>
        <w:t>庄云飞 山东省环境保护科学研究设计院有限公司，高工</w:t>
      </w:r>
    </w:p>
    <w:p>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 xml:space="preserve">         姜云鹏 山东省环境保护科学研究设计院有限公司，高工</w:t>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 xml:space="preserve">             陈康康 山东省环境保护科学研究设计院有限公司，高工</w:t>
      </w:r>
    </w:p>
    <w:p>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 xml:space="preserve">         刘  莎 山东省环境保护科学研究设计院有限公司，高工</w:t>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 xml:space="preserve">             李玉涵 </w:t>
      </w:r>
      <w:r>
        <w:rPr>
          <w:rFonts w:hint="eastAsia" w:ascii="仿宋_GB2312" w:hAnsi="仿宋_GB2312" w:eastAsia="仿宋_GB2312" w:cs="仿宋_GB2312"/>
          <w:color w:val="auto"/>
          <w:spacing w:val="-1"/>
          <w:sz w:val="28"/>
          <w:szCs w:val="28"/>
          <w:lang w:val="en-US" w:eastAsia="zh-CN"/>
        </w:rPr>
        <w:t>山东省环境保护科学研究设计院有限公司，工程师</w:t>
      </w:r>
    </w:p>
    <w:p>
      <w:pPr>
        <w:keepNext w:val="0"/>
        <w:keepLines w:val="0"/>
        <w:pageBreakBefore w:val="0"/>
        <w:widowControl w:val="0"/>
        <w:kinsoku/>
        <w:wordWrap/>
        <w:overflowPunct/>
        <w:topLinePunct w:val="0"/>
        <w:autoSpaceDE/>
        <w:autoSpaceDN/>
        <w:bidi w:val="0"/>
        <w:adjustRightInd w:val="0"/>
        <w:snapToGrid w:val="0"/>
        <w:spacing w:line="360" w:lineRule="auto"/>
        <w:ind w:firstLine="1820" w:firstLineChars="650"/>
        <w:textAlignment w:val="auto"/>
        <w:rPr>
          <w:rFonts w:hint="default"/>
          <w:color w:val="auto"/>
          <w:lang w:val="en-US" w:eastAsia="zh-CN"/>
        </w:rPr>
      </w:pPr>
      <w:r>
        <w:rPr>
          <w:rFonts w:hint="eastAsia" w:ascii="仿宋_GB2312" w:hAnsi="仿宋_GB2312" w:eastAsia="仿宋_GB2312" w:cs="仿宋_GB2312"/>
          <w:color w:val="auto"/>
          <w:sz w:val="28"/>
          <w:szCs w:val="28"/>
          <w:lang w:val="en-US" w:eastAsia="zh-CN"/>
        </w:rPr>
        <w:t xml:space="preserve">王  勇 </w:t>
      </w:r>
      <w:r>
        <w:rPr>
          <w:rFonts w:hint="eastAsia" w:ascii="仿宋_GB2312" w:hAnsi="仿宋_GB2312" w:eastAsia="仿宋_GB2312" w:cs="仿宋_GB2312"/>
          <w:color w:val="auto"/>
          <w:spacing w:val="-5"/>
          <w:sz w:val="28"/>
          <w:szCs w:val="28"/>
          <w:lang w:val="en-US" w:eastAsia="zh-CN"/>
        </w:rPr>
        <w:t>山东省环境保护科学研究设计院有限公司，工程师</w:t>
      </w:r>
    </w:p>
    <w:p>
      <w:pPr>
        <w:spacing w:line="360" w:lineRule="auto"/>
        <w:jc w:val="center"/>
        <w:outlineLvl w:val="0"/>
        <w:rPr>
          <w:rFonts w:hint="eastAsia" w:ascii="方正小标宋简体" w:hAnsi="方正小标宋简体" w:eastAsia="方正小标宋简体" w:cs="方正小标宋简体"/>
          <w:color w:val="auto"/>
          <w:sz w:val="44"/>
          <w:szCs w:val="44"/>
        </w:rPr>
        <w:sectPr>
          <w:footerReference r:id="rId5" w:type="default"/>
          <w:pgSz w:w="11907" w:h="16839"/>
          <w:pgMar w:top="1418" w:right="1418" w:bottom="1418" w:left="1701" w:header="720" w:footer="720" w:gutter="0"/>
          <w:pgBorders>
            <w:top w:val="none" w:sz="0" w:space="0"/>
            <w:left w:val="none" w:sz="0" w:space="0"/>
            <w:bottom w:val="none" w:sz="0" w:space="0"/>
            <w:right w:val="none" w:sz="0" w:space="0"/>
          </w:pgBorders>
          <w:pgNumType w:fmt="decimal" w:start="1"/>
          <w:cols w:space="720" w:num="1"/>
          <w:docGrid w:linePitch="286" w:charSpace="0"/>
        </w:sectPr>
      </w:pPr>
      <w:bookmarkStart w:id="9" w:name="_Toc6012"/>
    </w:p>
    <w:p>
      <w:pPr>
        <w:spacing w:line="360" w:lineRule="auto"/>
        <w:jc w:val="center"/>
        <w:outlineLvl w:val="0"/>
        <w:rPr>
          <w:rFonts w:ascii="Times New Roman" w:hAnsi="Times New Roman" w:eastAsia="黑体"/>
          <w:color w:val="auto"/>
          <w:sz w:val="36"/>
          <w:szCs w:val="36"/>
        </w:rPr>
      </w:pPr>
      <w:bookmarkStart w:id="10" w:name="_Toc451"/>
      <w:r>
        <w:rPr>
          <w:rFonts w:hint="eastAsia" w:ascii="方正小标宋简体" w:hAnsi="方正小标宋简体" w:eastAsia="方正小标宋简体" w:cs="方正小标宋简体"/>
          <w:color w:val="auto"/>
          <w:sz w:val="44"/>
          <w:szCs w:val="44"/>
        </w:rPr>
        <w:t xml:space="preserve">前 </w:t>
      </w:r>
      <w:r>
        <w:rPr>
          <w:rFonts w:hint="eastAsia" w:ascii="方正小标宋简体" w:hAnsi="方正小标宋简体" w:eastAsia="方正小标宋简体" w:cs="方正小标宋简体"/>
          <w:color w:val="auto"/>
          <w:sz w:val="44"/>
          <w:szCs w:val="44"/>
          <w:lang w:val="en-US" w:eastAsia="zh-CN"/>
        </w:rPr>
        <w:t xml:space="preserve"> </w:t>
      </w:r>
      <w:r>
        <w:rPr>
          <w:rFonts w:hint="eastAsia" w:ascii="方正小标宋简体" w:hAnsi="方正小标宋简体" w:eastAsia="方正小标宋简体" w:cs="方正小标宋简体"/>
          <w:color w:val="auto"/>
          <w:sz w:val="44"/>
          <w:szCs w:val="44"/>
        </w:rPr>
        <w:t>言</w:t>
      </w:r>
      <w:bookmarkEnd w:id="2"/>
      <w:bookmarkEnd w:id="3"/>
      <w:bookmarkEnd w:id="6"/>
      <w:bookmarkEnd w:id="7"/>
      <w:bookmarkEnd w:id="8"/>
      <w:bookmarkEnd w:id="9"/>
      <w:bookmarkEnd w:id="10"/>
    </w:p>
    <w:p>
      <w:pPr>
        <w:autoSpaceDE w:val="0"/>
        <w:autoSpaceDN w:val="0"/>
        <w:adjustRightInd w:val="0"/>
        <w:snapToGrid w:val="0"/>
        <w:spacing w:line="360" w:lineRule="auto"/>
        <w:ind w:firstLine="600" w:firstLineChars="200"/>
        <w:jc w:val="both"/>
        <w:rPr>
          <w:rFonts w:hint="eastAsia" w:ascii="Times New Roman" w:hAnsi="Times New Roman" w:eastAsia="仿宋_GB2312"/>
          <w:color w:val="auto"/>
          <w:kern w:val="0"/>
          <w:sz w:val="30"/>
          <w:szCs w:val="30"/>
        </w:rPr>
      </w:pPr>
      <w:r>
        <w:rPr>
          <w:rFonts w:hint="eastAsia" w:ascii="Times New Roman" w:hAnsi="Times New Roman" w:eastAsia="仿宋_GB2312"/>
          <w:color w:val="auto"/>
          <w:kern w:val="0"/>
          <w:sz w:val="30"/>
          <w:szCs w:val="30"/>
        </w:rPr>
        <w:t>建设生态文明是关系人民福祉、关乎民族未来的大计</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rPr>
        <w:t>党中央、国务院高度重视生态文明建设</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rPr>
        <w:t>党的十八大首次把“美丽中国”作为生态文明建设的宏伟目标，把生态文明建设摆上了中国特色社会主义“五位一体”总体布局的战略位置。党的十九大提出，坚定走生产发展、生活富裕、生态良好的文明发展道路。</w:t>
      </w:r>
      <w:r>
        <w:rPr>
          <w:rFonts w:hint="eastAsia" w:ascii="Times New Roman" w:hAnsi="Times New Roman" w:eastAsia="仿宋_GB2312"/>
          <w:color w:val="auto"/>
          <w:kern w:val="0"/>
          <w:sz w:val="30"/>
          <w:szCs w:val="30"/>
          <w:lang w:val="en-US" w:eastAsia="zh-CN"/>
        </w:rPr>
        <w:t>2018年3月，</w:t>
      </w:r>
      <w:r>
        <w:rPr>
          <w:rFonts w:hint="eastAsia" w:ascii="Times New Roman" w:hAnsi="Times New Roman" w:eastAsia="仿宋_GB2312"/>
          <w:color w:val="auto"/>
          <w:kern w:val="0"/>
          <w:sz w:val="30"/>
          <w:szCs w:val="30"/>
        </w:rPr>
        <w:t>《中华人民共和国宪法修正案》</w:t>
      </w:r>
      <w:r>
        <w:rPr>
          <w:rFonts w:hint="eastAsia" w:ascii="Times New Roman" w:hAnsi="Times New Roman" w:eastAsia="仿宋_GB2312"/>
          <w:color w:val="auto"/>
          <w:kern w:val="0"/>
          <w:sz w:val="30"/>
          <w:szCs w:val="30"/>
          <w:lang w:val="en-US" w:eastAsia="zh-CN"/>
        </w:rPr>
        <w:t>将</w:t>
      </w:r>
      <w:r>
        <w:rPr>
          <w:rFonts w:hint="eastAsia" w:ascii="Times New Roman" w:hAnsi="Times New Roman" w:eastAsia="仿宋_GB2312"/>
          <w:color w:val="auto"/>
          <w:kern w:val="0"/>
          <w:sz w:val="30"/>
          <w:szCs w:val="30"/>
        </w:rPr>
        <w:t>生态文明历史性地写入宪法。在2018年全国生态环境保护大会系统概括了加强生态文明建设的重大意义、重要原则和深刻内涵，确立了习近平生态文明思想</w:t>
      </w:r>
      <w:bookmarkStart w:id="266" w:name="_GoBack"/>
      <w:bookmarkEnd w:id="266"/>
      <w:r>
        <w:rPr>
          <w:rFonts w:hint="eastAsia" w:ascii="Times New Roman" w:hAnsi="Times New Roman" w:eastAsia="仿宋_GB2312"/>
          <w:color w:val="auto"/>
          <w:kern w:val="0"/>
          <w:sz w:val="30"/>
          <w:szCs w:val="30"/>
        </w:rPr>
        <w:t>，为新时代推进美丽中国建设、实现人与自然和谐共生的现代化指出了方向和根本道路。党的十九届四中全会提出“坚持和完善生态文明制度体系，促进人与自然和谐共生”。党的十九届五中全会指出要深入实施可持续发展战略，完善生态文明领域统筹协调机制，构建生态文明体系。</w:t>
      </w:r>
    </w:p>
    <w:p>
      <w:pPr>
        <w:pStyle w:val="2"/>
        <w:spacing w:line="360" w:lineRule="auto"/>
        <w:rPr>
          <w:rFonts w:hint="eastAsia" w:ascii="Times New Roman" w:hAnsi="Times New Roman" w:eastAsia="仿宋_GB2312" w:cs="Times New Roman"/>
          <w:color w:val="auto"/>
          <w:kern w:val="0"/>
          <w:sz w:val="30"/>
          <w:szCs w:val="30"/>
          <w:lang w:val="en-US" w:eastAsia="zh-CN" w:bidi="ar-SA"/>
        </w:rPr>
      </w:pPr>
      <w:r>
        <w:rPr>
          <w:rFonts w:hint="eastAsia" w:ascii="Times New Roman" w:hAnsi="Times New Roman" w:eastAsia="仿宋_GB2312" w:cs="Times New Roman"/>
          <w:color w:val="auto"/>
          <w:kern w:val="0"/>
          <w:sz w:val="30"/>
          <w:szCs w:val="30"/>
          <w:lang w:val="en-US" w:eastAsia="zh-CN" w:bidi="ar-SA"/>
        </w:rPr>
        <w:t>山东省委、省政府高度重视生态文明建设，特别是党的十八大以来，围绕落实“五位一体”总体布局，把生态文明建设放在了更加突出的战略位置，先后出台了系列政策措施，推动生态文明建设取得了重大进展和积极成效。</w:t>
      </w:r>
    </w:p>
    <w:p>
      <w:pPr>
        <w:autoSpaceDE w:val="0"/>
        <w:autoSpaceDN w:val="0"/>
        <w:adjustRightInd w:val="0"/>
        <w:snapToGrid w:val="0"/>
        <w:spacing w:line="360" w:lineRule="auto"/>
        <w:ind w:firstLine="600" w:firstLineChars="200"/>
        <w:jc w:val="both"/>
        <w:rPr>
          <w:rFonts w:hint="eastAsia" w:ascii="Times New Roman" w:hAnsi="Times New Roman" w:eastAsia="仿宋_GB2312"/>
          <w:color w:val="auto"/>
          <w:kern w:val="0"/>
          <w:sz w:val="30"/>
          <w:szCs w:val="30"/>
          <w:lang w:val="en-US" w:eastAsia="zh-CN"/>
        </w:rPr>
      </w:pPr>
      <w:r>
        <w:rPr>
          <w:rFonts w:hint="eastAsia" w:ascii="Times New Roman" w:hAnsi="Times New Roman" w:eastAsia="仿宋_GB2312"/>
          <w:color w:val="auto"/>
          <w:kern w:val="0"/>
          <w:sz w:val="30"/>
          <w:szCs w:val="30"/>
          <w:lang w:val="en-US" w:eastAsia="zh-CN"/>
        </w:rPr>
        <w:t>威海市委、市政府高度重视生态文明建设，认真贯彻落实国家和山东省的有关政策和要求，牢牢把握争当全省“走在前列”排头兵的目标定位，把“环境优先，生态立市”放在城市发展的第一位，从全市发展战略层面加强顶层设计，将生态文明建设和生态环境保护置于经济社会发展全局的视域进行考量，以最严格的制度、最有力的举措推进生态环境保护，各项生态环境质量指标始终保持全省前列。2013年获得山东省首个国家生态市（地级市）命名。2019年11月，威海市被生态环境部授予第三批国家生态文明建设示范市县称号。</w:t>
      </w:r>
    </w:p>
    <w:p>
      <w:pPr>
        <w:autoSpaceDE w:val="0"/>
        <w:autoSpaceDN w:val="0"/>
        <w:adjustRightInd w:val="0"/>
        <w:snapToGrid w:val="0"/>
        <w:spacing w:line="360" w:lineRule="auto"/>
        <w:ind w:firstLine="600" w:firstLineChars="200"/>
        <w:jc w:val="left"/>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荣成市位于山东半岛最东端，北、东、南三面濒临黄海，东与韩国隔海相望。近年来，荣成</w:t>
      </w:r>
      <w:r>
        <w:rPr>
          <w:rFonts w:hint="eastAsia" w:ascii="Times New Roman" w:hAnsi="Times New Roman" w:eastAsia="仿宋_GB2312"/>
          <w:color w:val="auto"/>
          <w:kern w:val="0"/>
          <w:sz w:val="30"/>
          <w:szCs w:val="30"/>
        </w:rPr>
        <w:t>市委</w:t>
      </w:r>
      <w:r>
        <w:rPr>
          <w:rFonts w:ascii="Times New Roman" w:hAnsi="Times New Roman" w:eastAsia="仿宋_GB2312"/>
          <w:color w:val="auto"/>
          <w:kern w:val="0"/>
          <w:sz w:val="30"/>
          <w:szCs w:val="30"/>
        </w:rPr>
        <w:t>、市政府高度重视生态文明建设，坚持</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绿水青山就是金山银山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的发展理念，依据独特的生态环境资源</w:t>
      </w:r>
      <w:r>
        <w:rPr>
          <w:rFonts w:hint="eastAsia" w:ascii="Times New Roman" w:hAnsi="Times New Roman" w:eastAsia="仿宋_GB2312"/>
          <w:color w:val="auto"/>
          <w:kern w:val="0"/>
          <w:sz w:val="30"/>
          <w:szCs w:val="30"/>
        </w:rPr>
        <w:t>和区位优势</w:t>
      </w:r>
      <w:r>
        <w:rPr>
          <w:rFonts w:ascii="Times New Roman" w:hAnsi="Times New Roman" w:eastAsia="仿宋_GB2312"/>
          <w:color w:val="auto"/>
          <w:kern w:val="0"/>
          <w:sz w:val="30"/>
          <w:szCs w:val="30"/>
        </w:rPr>
        <w:t>，成为享誉国内外的优美富饶海滨城市</w:t>
      </w:r>
      <w:r>
        <w:rPr>
          <w:rFonts w:hint="eastAsia" w:ascii="Times New Roman" w:hAnsi="Times New Roman" w:eastAsia="仿宋_GB2312"/>
          <w:color w:val="auto"/>
          <w:kern w:val="0"/>
          <w:sz w:val="30"/>
          <w:szCs w:val="30"/>
        </w:rPr>
        <w:t>。荣成市</w:t>
      </w:r>
      <w:r>
        <w:rPr>
          <w:rFonts w:ascii="Times New Roman" w:hAnsi="Times New Roman" w:eastAsia="仿宋_GB2312"/>
          <w:color w:val="auto"/>
          <w:kern w:val="0"/>
          <w:sz w:val="30"/>
          <w:szCs w:val="30"/>
        </w:rPr>
        <w:t>先后</w:t>
      </w:r>
      <w:r>
        <w:rPr>
          <w:rFonts w:hint="eastAsia" w:ascii="Times New Roman" w:hAnsi="Times New Roman" w:eastAsia="仿宋_GB2312"/>
          <w:color w:val="auto"/>
          <w:kern w:val="0"/>
          <w:sz w:val="30"/>
          <w:szCs w:val="30"/>
        </w:rPr>
        <w:t>获得</w:t>
      </w:r>
      <w:r>
        <w:rPr>
          <w:rFonts w:ascii="Times New Roman" w:hAnsi="Times New Roman" w:eastAsia="仿宋_GB2312"/>
          <w:color w:val="auto"/>
          <w:kern w:val="0"/>
          <w:sz w:val="30"/>
          <w:szCs w:val="30"/>
        </w:rPr>
        <w:t>中国特色魅力城市、国家生态市</w:t>
      </w:r>
      <w:bookmarkStart w:id="11" w:name="ref_[65]_159229"/>
      <w:r>
        <w:rPr>
          <w:rFonts w:ascii="Times New Roman" w:hAnsi="Times New Roman" w:eastAsia="仿宋_GB2312"/>
          <w:color w:val="auto"/>
          <w:kern w:val="0"/>
          <w:sz w:val="30"/>
          <w:szCs w:val="30"/>
        </w:rPr>
        <w:t>、国家环保模范市</w:t>
      </w:r>
      <w:bookmarkEnd w:id="11"/>
      <w:r>
        <w:rPr>
          <w:rFonts w:ascii="Times New Roman" w:hAnsi="Times New Roman" w:eastAsia="仿宋_GB2312"/>
          <w:color w:val="auto"/>
          <w:kern w:val="0"/>
          <w:sz w:val="30"/>
          <w:szCs w:val="30"/>
        </w:rPr>
        <w:t>、国家园林城市、国家生态文明建设示范市、全国绿色发展百强县</w:t>
      </w:r>
      <w:r>
        <w:rPr>
          <w:rFonts w:hint="eastAsia" w:ascii="Times New Roman" w:hAnsi="Times New Roman" w:eastAsia="仿宋_GB2312"/>
          <w:color w:val="auto"/>
          <w:kern w:val="0"/>
          <w:sz w:val="30"/>
          <w:szCs w:val="30"/>
          <w:lang w:val="en-US" w:eastAsia="zh-CN"/>
        </w:rPr>
        <w:t>市等</w:t>
      </w:r>
      <w:r>
        <w:rPr>
          <w:rFonts w:ascii="Times New Roman" w:hAnsi="Times New Roman" w:eastAsia="仿宋_GB2312"/>
          <w:color w:val="auto"/>
          <w:kern w:val="0"/>
          <w:sz w:val="30"/>
          <w:szCs w:val="30"/>
        </w:rPr>
        <w:t>称号。桑沟湾城市湿地公园等4个河湖被评为</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省级美丽示范河湖</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，好运角旅游度假区获评</w:t>
      </w:r>
      <w:r>
        <w:rPr>
          <w:rFonts w:hint="eastAsia" w:ascii="Times New Roman" w:hAnsi="Times New Roman" w:eastAsia="仿宋_GB2312"/>
          <w:color w:val="auto"/>
          <w:kern w:val="0"/>
          <w:sz w:val="30"/>
          <w:szCs w:val="30"/>
          <w:lang w:val="en-US" w:eastAsia="zh-CN"/>
        </w:rPr>
        <w:t>山东</w:t>
      </w:r>
      <w:r>
        <w:rPr>
          <w:rFonts w:ascii="Times New Roman" w:hAnsi="Times New Roman" w:eastAsia="仿宋_GB2312"/>
          <w:color w:val="auto"/>
          <w:kern w:val="0"/>
          <w:sz w:val="30"/>
          <w:szCs w:val="30"/>
        </w:rPr>
        <w:t>省</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绿水青山就是金山银山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实践创新基地。</w:t>
      </w:r>
    </w:p>
    <w:p>
      <w:pPr>
        <w:autoSpaceDE w:val="0"/>
        <w:autoSpaceDN w:val="0"/>
        <w:adjustRightInd w:val="0"/>
        <w:snapToGrid w:val="0"/>
        <w:spacing w:line="360" w:lineRule="auto"/>
        <w:ind w:firstLine="600" w:firstLineChars="200"/>
        <w:jc w:val="left"/>
        <w:rPr>
          <w:rFonts w:ascii="Times New Roman" w:hAnsi="Times New Roman" w:eastAsia="仿宋_GB2312"/>
          <w:color w:val="auto"/>
          <w:kern w:val="0"/>
          <w:sz w:val="30"/>
          <w:szCs w:val="30"/>
        </w:rPr>
        <w:sectPr>
          <w:footerReference r:id="rId6" w:type="default"/>
          <w:pgSz w:w="11907" w:h="16839"/>
          <w:pgMar w:top="1418" w:right="1418" w:bottom="1418" w:left="1701" w:header="720" w:footer="720" w:gutter="0"/>
          <w:pgBorders>
            <w:top w:val="none" w:sz="0" w:space="0"/>
            <w:left w:val="none" w:sz="0" w:space="0"/>
            <w:bottom w:val="none" w:sz="0" w:space="0"/>
            <w:right w:val="none" w:sz="0" w:space="0"/>
          </w:pgBorders>
          <w:pgNumType w:fmt="decimal" w:start="1"/>
          <w:cols w:space="720" w:num="1"/>
          <w:docGrid w:linePitch="286" w:charSpace="0"/>
        </w:sectPr>
      </w:pPr>
      <w:r>
        <w:rPr>
          <w:rFonts w:ascii="Times New Roman" w:hAnsi="Times New Roman" w:eastAsia="仿宋_GB2312"/>
          <w:color w:val="auto"/>
          <w:kern w:val="0"/>
          <w:sz w:val="30"/>
          <w:szCs w:val="30"/>
        </w:rPr>
        <w:t>2017年9月，荣成市被授予首批国家生态文明建设示范市称号</w:t>
      </w:r>
      <w:r>
        <w:rPr>
          <w:rFonts w:hint="eastAsia" w:ascii="Times New Roman" w:hAnsi="Times New Roman" w:eastAsia="仿宋_GB2312"/>
          <w:color w:val="auto"/>
          <w:kern w:val="0"/>
          <w:sz w:val="30"/>
          <w:szCs w:val="30"/>
        </w:rPr>
        <w:t>。获此殊荣后，荣成市并未止步，</w:t>
      </w:r>
      <w:r>
        <w:rPr>
          <w:rFonts w:ascii="Times New Roman" w:hAnsi="Times New Roman" w:eastAsia="仿宋_GB2312"/>
          <w:color w:val="auto"/>
          <w:kern w:val="0"/>
          <w:sz w:val="30"/>
          <w:szCs w:val="30"/>
        </w:rPr>
        <w:t>持续</w:t>
      </w:r>
      <w:r>
        <w:rPr>
          <w:rFonts w:hint="eastAsia" w:ascii="Times New Roman" w:hAnsi="Times New Roman" w:eastAsia="仿宋_GB2312"/>
          <w:color w:val="auto"/>
          <w:kern w:val="0"/>
          <w:sz w:val="30"/>
          <w:szCs w:val="30"/>
        </w:rPr>
        <w:t>推进生态文明建设</w:t>
      </w:r>
      <w:r>
        <w:rPr>
          <w:rFonts w:ascii="Times New Roman" w:hAnsi="Times New Roman" w:eastAsia="仿宋_GB2312"/>
          <w:color w:val="auto"/>
          <w:kern w:val="0"/>
          <w:sz w:val="30"/>
          <w:szCs w:val="30"/>
        </w:rPr>
        <w:t>工作，</w:t>
      </w:r>
      <w:r>
        <w:rPr>
          <w:rFonts w:hint="eastAsia" w:ascii="Times New Roman" w:hAnsi="Times New Roman" w:eastAsia="仿宋_GB2312"/>
          <w:color w:val="auto"/>
          <w:kern w:val="0"/>
          <w:sz w:val="30"/>
          <w:szCs w:val="30"/>
        </w:rPr>
        <w:t>不断</w:t>
      </w:r>
      <w:r>
        <w:rPr>
          <w:rFonts w:ascii="Times New Roman" w:hAnsi="Times New Roman" w:eastAsia="仿宋_GB2312"/>
          <w:color w:val="auto"/>
          <w:kern w:val="0"/>
          <w:sz w:val="30"/>
          <w:szCs w:val="30"/>
        </w:rPr>
        <w:t>巩固提升创建成果。</w:t>
      </w:r>
      <w:r>
        <w:rPr>
          <w:rFonts w:hint="eastAsia" w:ascii="Times New Roman" w:hAnsi="Times New Roman" w:eastAsia="仿宋_GB2312"/>
          <w:color w:val="auto"/>
          <w:kern w:val="0"/>
          <w:sz w:val="30"/>
          <w:szCs w:val="30"/>
          <w:lang w:val="en-US" w:eastAsia="zh-CN"/>
        </w:rPr>
        <w:t>2016年，荣成市制定了</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rPr>
        <w:t>荣成市生态文明建设规划</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lang w:val="en-US" w:eastAsia="zh-CN"/>
        </w:rPr>
        <w:t>2016-2020年</w:t>
      </w:r>
      <w:r>
        <w:rPr>
          <w:rFonts w:hint="eastAsia" w:ascii="Times New Roman" w:hAnsi="Times New Roman" w:eastAsia="仿宋_GB2312"/>
          <w:color w:val="auto"/>
          <w:kern w:val="0"/>
          <w:sz w:val="30"/>
          <w:szCs w:val="30"/>
          <w:lang w:eastAsia="zh-CN"/>
        </w:rPr>
        <w:t>），</w:t>
      </w:r>
      <w:r>
        <w:rPr>
          <w:rFonts w:ascii="Times New Roman" w:hAnsi="Times New Roman" w:eastAsia="仿宋_GB2312"/>
          <w:color w:val="auto"/>
          <w:kern w:val="0"/>
          <w:sz w:val="30"/>
          <w:szCs w:val="30"/>
        </w:rPr>
        <w:t>此次</w:t>
      </w:r>
      <w:r>
        <w:rPr>
          <w:rFonts w:hint="eastAsia" w:ascii="Times New Roman" w:hAnsi="Times New Roman" w:eastAsia="仿宋_GB2312"/>
          <w:color w:val="auto"/>
          <w:kern w:val="0"/>
          <w:sz w:val="30"/>
          <w:szCs w:val="30"/>
          <w:lang w:val="en-US" w:eastAsia="zh-CN"/>
        </w:rPr>
        <w:t>为</w:t>
      </w:r>
      <w:r>
        <w:rPr>
          <w:rFonts w:ascii="Times New Roman" w:hAnsi="Times New Roman" w:eastAsia="仿宋_GB2312"/>
          <w:color w:val="auto"/>
          <w:kern w:val="0"/>
          <w:sz w:val="30"/>
          <w:szCs w:val="30"/>
        </w:rPr>
        <w:t>规划</w:t>
      </w:r>
      <w:r>
        <w:rPr>
          <w:rFonts w:hint="eastAsia" w:ascii="Times New Roman" w:hAnsi="Times New Roman" w:eastAsia="仿宋_GB2312"/>
          <w:color w:val="auto"/>
          <w:kern w:val="0"/>
          <w:sz w:val="30"/>
          <w:szCs w:val="30"/>
          <w:lang w:val="en-US" w:eastAsia="zh-CN"/>
        </w:rPr>
        <w:t>修编</w:t>
      </w:r>
      <w:r>
        <w:rPr>
          <w:rFonts w:ascii="Times New Roman" w:hAnsi="Times New Roman" w:eastAsia="仿宋_GB2312"/>
          <w:color w:val="auto"/>
          <w:kern w:val="0"/>
          <w:sz w:val="30"/>
          <w:szCs w:val="30"/>
        </w:rPr>
        <w:t>，旨在以国家生态文明示范市复核工作为契机，结合荣成市实际，</w:t>
      </w:r>
      <w:r>
        <w:rPr>
          <w:rFonts w:hint="eastAsia" w:ascii="Times New Roman" w:hAnsi="Times New Roman" w:eastAsia="仿宋_GB2312"/>
          <w:color w:val="auto"/>
          <w:kern w:val="0"/>
          <w:sz w:val="30"/>
          <w:szCs w:val="30"/>
        </w:rPr>
        <w:t>夯实</w:t>
      </w:r>
      <w:r>
        <w:rPr>
          <w:rFonts w:ascii="Times New Roman" w:hAnsi="Times New Roman" w:eastAsia="仿宋_GB2312"/>
          <w:color w:val="auto"/>
          <w:kern w:val="0"/>
          <w:sz w:val="30"/>
          <w:szCs w:val="30"/>
        </w:rPr>
        <w:t>绿色发展理念，</w:t>
      </w:r>
      <w:r>
        <w:rPr>
          <w:rFonts w:hint="eastAsia" w:ascii="Times New Roman" w:hAnsi="Times New Roman" w:eastAsia="仿宋_GB2312"/>
          <w:color w:val="auto"/>
          <w:kern w:val="0"/>
          <w:sz w:val="30"/>
          <w:szCs w:val="30"/>
        </w:rPr>
        <w:t>加快</w:t>
      </w:r>
      <w:r>
        <w:rPr>
          <w:rFonts w:ascii="Times New Roman" w:hAnsi="Times New Roman" w:eastAsia="仿宋_GB2312"/>
          <w:color w:val="auto"/>
          <w:kern w:val="0"/>
          <w:sz w:val="30"/>
          <w:szCs w:val="30"/>
        </w:rPr>
        <w:t>形成绿色低碳发展方式和生活方式，快速发展生态产业，</w:t>
      </w:r>
      <w:r>
        <w:rPr>
          <w:rFonts w:hint="eastAsia" w:ascii="Times New Roman" w:hAnsi="Times New Roman" w:eastAsia="仿宋_GB2312"/>
          <w:color w:val="auto"/>
          <w:kern w:val="0"/>
          <w:sz w:val="30"/>
          <w:szCs w:val="30"/>
        </w:rPr>
        <w:t>不断彰显“太阳大海荣成人”的城市魅力，</w:t>
      </w:r>
      <w:r>
        <w:rPr>
          <w:rFonts w:ascii="Times New Roman" w:hAnsi="Times New Roman" w:eastAsia="仿宋_GB2312"/>
          <w:color w:val="auto"/>
          <w:kern w:val="0"/>
          <w:sz w:val="30"/>
          <w:szCs w:val="30"/>
        </w:rPr>
        <w:t>不断丰富</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自由呼吸·自在荣成</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品牌内涵。</w:t>
      </w:r>
    </w:p>
    <w:p>
      <w:pPr>
        <w:spacing w:line="360" w:lineRule="auto"/>
        <w:jc w:val="center"/>
        <w:rPr>
          <w:rFonts w:hint="eastAsia" w:ascii="方正小标宋简体" w:hAnsi="方正小标宋简体" w:eastAsia="方正小标宋简体" w:cs="方正小标宋简体"/>
          <w:color w:val="auto"/>
          <w:sz w:val="36"/>
          <w:szCs w:val="36"/>
        </w:rPr>
      </w:pPr>
      <w:r>
        <w:rPr>
          <w:rFonts w:hint="eastAsia" w:ascii="方正小标宋简体" w:hAnsi="方正小标宋简体" w:eastAsia="方正小标宋简体" w:cs="方正小标宋简体"/>
          <w:color w:val="auto"/>
          <w:sz w:val="36"/>
          <w:szCs w:val="36"/>
        </w:rPr>
        <w:t>目</w:t>
      </w:r>
      <w:r>
        <w:rPr>
          <w:rFonts w:hint="eastAsia" w:ascii="方正小标宋简体" w:hAnsi="方正小标宋简体" w:eastAsia="方正小标宋简体" w:cs="方正小标宋简体"/>
          <w:color w:val="auto"/>
          <w:sz w:val="36"/>
          <w:szCs w:val="36"/>
          <w:lang w:val="en-US" w:eastAsia="zh-CN"/>
        </w:rPr>
        <w:t xml:space="preserve"> </w:t>
      </w:r>
      <w:r>
        <w:rPr>
          <w:rFonts w:hint="eastAsia" w:ascii="方正小标宋简体" w:hAnsi="方正小标宋简体" w:eastAsia="方正小标宋简体" w:cs="方正小标宋简体"/>
          <w:color w:val="auto"/>
          <w:sz w:val="36"/>
          <w:szCs w:val="36"/>
        </w:rPr>
        <w:t>录</w:t>
      </w:r>
    </w:p>
    <w:sdt>
      <w:sdtPr>
        <w:rPr>
          <w:rFonts w:ascii="宋体" w:hAnsi="宋体"/>
          <w:color w:val="auto"/>
        </w:rPr>
        <w:id w:val="147477276"/>
        <w:docPartObj>
          <w:docPartGallery w:val="Table of Contents"/>
          <w:docPartUnique/>
        </w:docPartObj>
      </w:sdtPr>
      <w:sdtEndPr>
        <w:rPr>
          <w:rFonts w:ascii="宋体" w:hAnsi="宋体"/>
          <w:color w:val="auto"/>
        </w:rPr>
      </w:sdtEndPr>
      <w:sdtContent>
        <w:p>
          <w:pPr>
            <w:jc w:val="center"/>
            <w:rPr>
              <w:color w:val="auto"/>
            </w:rPr>
          </w:pPr>
          <w:bookmarkStart w:id="12" w:name="_Toc28180_WPSOffice_Level1"/>
          <w:bookmarkStart w:id="13" w:name="_Toc6076"/>
          <w:bookmarkStart w:id="14" w:name="_Toc7344"/>
          <w:bookmarkStart w:id="15" w:name="_Toc2246"/>
          <w:bookmarkStart w:id="16" w:name="_Toc16681"/>
          <w:bookmarkStart w:id="17" w:name="_Toc37871858"/>
          <w:bookmarkStart w:id="18" w:name="_Toc19346"/>
          <w:bookmarkStart w:id="19" w:name="_Toc11989"/>
          <w:bookmarkStart w:id="20" w:name="_Toc26638"/>
          <w:bookmarkStart w:id="21" w:name="_Toc7071"/>
        </w:p>
        <w:p>
          <w:pPr>
            <w:pStyle w:val="16"/>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color w:val="auto"/>
              <w:sz w:val="30"/>
              <w:szCs w:val="30"/>
            </w:rPr>
            <w:fldChar w:fldCharType="begin"/>
          </w:r>
          <w:r>
            <w:rPr>
              <w:color w:val="auto"/>
              <w:sz w:val="30"/>
              <w:szCs w:val="30"/>
            </w:rPr>
            <w:instrText xml:space="preserve">TOC \o "1-3" \h \u </w:instrText>
          </w:r>
          <w:r>
            <w:rPr>
              <w:color w:val="auto"/>
              <w:sz w:val="30"/>
              <w:szCs w:val="30"/>
            </w:rPr>
            <w:fldChar w:fldCharType="separate"/>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_Toc20208 </w:instrText>
          </w:r>
          <w:r>
            <w:rPr>
              <w:rFonts w:hint="default" w:ascii="Times New Roman" w:hAnsi="Times New Roman" w:cs="Times New Roman"/>
              <w:color w:val="auto"/>
              <w:sz w:val="28"/>
              <w:szCs w:val="28"/>
            </w:rPr>
            <w:fldChar w:fldCharType="separate"/>
          </w:r>
          <w:r>
            <w:rPr>
              <w:rFonts w:hint="default" w:ascii="Times New Roman" w:hAnsi="Times New Roman" w:eastAsia="方正小标宋简体" w:cs="Times New Roman"/>
              <w:bCs/>
              <w:color w:val="auto"/>
              <w:sz w:val="28"/>
              <w:szCs w:val="28"/>
            </w:rPr>
            <w:t>第一章</w:t>
          </w:r>
          <w:r>
            <w:rPr>
              <w:rFonts w:hint="default" w:ascii="Times New Roman" w:hAnsi="Times New Roman" w:eastAsia="方正小标宋简体" w:cs="Times New Roman"/>
              <w:bCs/>
              <w:color w:val="auto"/>
              <w:sz w:val="28"/>
              <w:szCs w:val="28"/>
              <w:lang w:val="en-US" w:eastAsia="zh-CN"/>
            </w:rPr>
            <w:t xml:space="preserve">  </w:t>
          </w:r>
          <w:r>
            <w:rPr>
              <w:rFonts w:hint="default" w:ascii="Times New Roman" w:hAnsi="Times New Roman" w:eastAsia="方正小标宋简体" w:cs="Times New Roman"/>
              <w:bCs/>
              <w:color w:val="auto"/>
              <w:sz w:val="28"/>
              <w:szCs w:val="28"/>
            </w:rPr>
            <w:t>工作基础与形势分析</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_Toc20208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_Toc22157 </w:instrText>
          </w:r>
          <w:r>
            <w:rPr>
              <w:rFonts w:hint="default" w:ascii="Times New Roman" w:hAnsi="Times New Roman" w:cs="Times New Roman"/>
              <w:color w:val="auto"/>
              <w:sz w:val="28"/>
              <w:szCs w:val="28"/>
            </w:rPr>
            <w:fldChar w:fldCharType="separate"/>
          </w:r>
          <w:r>
            <w:rPr>
              <w:rFonts w:hint="default" w:ascii="Times New Roman" w:hAnsi="Times New Roman" w:eastAsia="楷体_GB2312" w:cs="Times New Roman"/>
              <w:bCs/>
              <w:color w:val="auto"/>
              <w:sz w:val="28"/>
              <w:szCs w:val="28"/>
            </w:rPr>
            <w:t>第一条</w:t>
          </w:r>
          <w:r>
            <w:rPr>
              <w:rFonts w:hint="default" w:ascii="Times New Roman" w:hAnsi="Times New Roman" w:eastAsia="楷体_GB2312" w:cs="Times New Roman"/>
              <w:bCs/>
              <w:color w:val="auto"/>
              <w:sz w:val="28"/>
              <w:szCs w:val="28"/>
              <w:lang w:val="en-US" w:eastAsia="zh-CN"/>
            </w:rPr>
            <w:t xml:space="preserve">  </w:t>
          </w:r>
          <w:r>
            <w:rPr>
              <w:rFonts w:hint="default" w:ascii="Times New Roman" w:hAnsi="Times New Roman" w:eastAsia="楷体_GB2312" w:cs="Times New Roman"/>
              <w:bCs/>
              <w:color w:val="auto"/>
              <w:sz w:val="28"/>
              <w:szCs w:val="28"/>
            </w:rPr>
            <w:t>建设基础</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_Toc22157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_Toc22651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（一）区域特征</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_Toc22651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_Toc5587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（二）工作基础</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_Toc5587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_Toc11285 </w:instrText>
          </w:r>
          <w:r>
            <w:rPr>
              <w:rFonts w:hint="default" w:ascii="Times New Roman" w:hAnsi="Times New Roman" w:cs="Times New Roman"/>
              <w:color w:val="auto"/>
              <w:sz w:val="28"/>
              <w:szCs w:val="28"/>
            </w:rPr>
            <w:fldChar w:fldCharType="separate"/>
          </w:r>
          <w:r>
            <w:rPr>
              <w:rFonts w:hint="default" w:ascii="Times New Roman" w:hAnsi="Times New Roman" w:eastAsia="楷体_GB2312" w:cs="Times New Roman"/>
              <w:bCs/>
              <w:color w:val="auto"/>
              <w:sz w:val="28"/>
              <w:szCs w:val="28"/>
            </w:rPr>
            <w:t>第二条</w:t>
          </w:r>
          <w:r>
            <w:rPr>
              <w:rFonts w:hint="default" w:ascii="Times New Roman" w:hAnsi="Times New Roman" w:eastAsia="楷体_GB2312" w:cs="Times New Roman"/>
              <w:bCs/>
              <w:color w:val="auto"/>
              <w:sz w:val="28"/>
              <w:szCs w:val="28"/>
              <w:lang w:val="en-US" w:eastAsia="zh-CN"/>
            </w:rPr>
            <w:t xml:space="preserve">  </w:t>
          </w:r>
          <w:r>
            <w:rPr>
              <w:rFonts w:hint="default" w:ascii="Times New Roman" w:hAnsi="Times New Roman" w:eastAsia="楷体_GB2312" w:cs="Times New Roman"/>
              <w:bCs/>
              <w:color w:val="auto"/>
              <w:sz w:val="28"/>
              <w:szCs w:val="28"/>
            </w:rPr>
            <w:t>存在问题与机遇挑战</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_Toc11285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_Toc30561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（一）存在问题</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_Toc30561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_Toc16498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（二）机遇</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_Toc16498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_Toc9423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三</w:t>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挑战</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_Toc9423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7</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6"/>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_Toc14264 </w:instrText>
          </w:r>
          <w:r>
            <w:rPr>
              <w:rFonts w:hint="default" w:ascii="Times New Roman" w:hAnsi="Times New Roman" w:cs="Times New Roman"/>
              <w:color w:val="auto"/>
              <w:sz w:val="28"/>
              <w:szCs w:val="28"/>
            </w:rPr>
            <w:fldChar w:fldCharType="separate"/>
          </w:r>
          <w:r>
            <w:rPr>
              <w:rFonts w:hint="default" w:ascii="Times New Roman" w:hAnsi="Times New Roman" w:eastAsia="方正小标宋简体" w:cs="Times New Roman"/>
              <w:bCs/>
              <w:color w:val="auto"/>
              <w:sz w:val="28"/>
              <w:szCs w:val="28"/>
            </w:rPr>
            <w:t xml:space="preserve">第二章 </w:t>
          </w:r>
          <w:r>
            <w:rPr>
              <w:rFonts w:hint="default" w:ascii="Times New Roman" w:hAnsi="Times New Roman" w:eastAsia="方正小标宋简体" w:cs="Times New Roman"/>
              <w:bCs/>
              <w:color w:val="auto"/>
              <w:sz w:val="28"/>
              <w:szCs w:val="28"/>
              <w:lang w:val="en-US" w:eastAsia="zh-CN"/>
            </w:rPr>
            <w:t xml:space="preserve"> </w:t>
          </w:r>
          <w:r>
            <w:rPr>
              <w:rFonts w:hint="default" w:ascii="Times New Roman" w:hAnsi="Times New Roman" w:eastAsia="方正小标宋简体" w:cs="Times New Roman"/>
              <w:bCs/>
              <w:color w:val="auto"/>
              <w:sz w:val="28"/>
              <w:szCs w:val="28"/>
            </w:rPr>
            <w:t>规划总则</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_Toc14264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_Toc749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第三条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指导思想</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_Toc749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_Toc2480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第四条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规划原则</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_Toc2480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_Toc8113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第五条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规划范围</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_Toc8113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9</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_Toc29824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第六条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规划期限</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_Toc29824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9</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_Toc12426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第七条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规划目标</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_Toc12426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9</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_Toc4153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第八条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建设指标</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_Toc4153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6"/>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_Toc11324 </w:instrText>
          </w:r>
          <w:r>
            <w:rPr>
              <w:rFonts w:hint="default" w:ascii="Times New Roman" w:hAnsi="Times New Roman" w:cs="Times New Roman"/>
              <w:color w:val="auto"/>
              <w:sz w:val="28"/>
              <w:szCs w:val="28"/>
            </w:rPr>
            <w:fldChar w:fldCharType="separate"/>
          </w:r>
          <w:r>
            <w:rPr>
              <w:rFonts w:hint="default" w:ascii="Times New Roman" w:hAnsi="Times New Roman" w:eastAsia="方正小标宋简体" w:cs="Times New Roman"/>
              <w:bCs/>
              <w:color w:val="auto"/>
              <w:sz w:val="28"/>
              <w:szCs w:val="28"/>
            </w:rPr>
            <w:t xml:space="preserve">第三章 </w:t>
          </w:r>
          <w:r>
            <w:rPr>
              <w:rFonts w:hint="default" w:ascii="Times New Roman" w:hAnsi="Times New Roman" w:eastAsia="方正小标宋简体" w:cs="Times New Roman"/>
              <w:bCs/>
              <w:color w:val="auto"/>
              <w:sz w:val="28"/>
              <w:szCs w:val="28"/>
              <w:lang w:val="en-US" w:eastAsia="zh-CN"/>
            </w:rPr>
            <w:t xml:space="preserve"> </w:t>
          </w:r>
          <w:r>
            <w:rPr>
              <w:rFonts w:hint="default" w:ascii="Times New Roman" w:hAnsi="Times New Roman" w:eastAsia="方正小标宋简体" w:cs="Times New Roman"/>
              <w:bCs/>
              <w:color w:val="auto"/>
              <w:sz w:val="28"/>
              <w:szCs w:val="28"/>
            </w:rPr>
            <w:t>规划任务与措施</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_Toc11324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_Toc948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第九条</w:t>
          </w:r>
          <w:r>
            <w:rPr>
              <w:rFonts w:hint="default" w:ascii="Times New Roman" w:hAnsi="Times New Roman" w:eastAsia="楷体" w:cs="Times New Roman"/>
              <w:bCs/>
              <w:color w:val="auto"/>
              <w:sz w:val="28"/>
              <w:szCs w:val="28"/>
              <w:lang w:val="en-US" w:eastAsia="zh-CN"/>
            </w:rPr>
            <w:t xml:space="preserve">  健全</w:t>
          </w:r>
          <w:r>
            <w:rPr>
              <w:rFonts w:hint="default" w:ascii="Times New Roman" w:hAnsi="Times New Roman" w:eastAsia="楷体" w:cs="Times New Roman"/>
              <w:bCs/>
              <w:color w:val="auto"/>
              <w:sz w:val="28"/>
              <w:szCs w:val="28"/>
            </w:rPr>
            <w:t>生态制度</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_Toc948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_Toc9398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（一）加严生态环境保护制度</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_Toc9398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_Toc3488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（二）建立资源高效利用制度</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_Toc3488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_Toc26753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（三）推进生态保护和修复制度</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_Toc26753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19</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_Toc27307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（四）完善生态环境保护责任制度</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_Toc27307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_Toc28857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（五）健全现代环境治理体系</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_Toc28857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_Toc10784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第十条</w:t>
          </w:r>
          <w:r>
            <w:rPr>
              <w:rFonts w:hint="default" w:ascii="Times New Roman" w:hAnsi="Times New Roman" w:eastAsia="楷体" w:cs="Times New Roman"/>
              <w:bCs/>
              <w:color w:val="auto"/>
              <w:sz w:val="28"/>
              <w:szCs w:val="28"/>
              <w:lang w:val="en-US" w:eastAsia="zh-CN"/>
            </w:rPr>
            <w:t xml:space="preserve">  巩固</w:t>
          </w:r>
          <w:r>
            <w:rPr>
              <w:rFonts w:hint="default" w:ascii="Times New Roman" w:hAnsi="Times New Roman" w:eastAsia="楷体" w:cs="Times New Roman"/>
              <w:bCs/>
              <w:color w:val="auto"/>
              <w:sz w:val="28"/>
              <w:szCs w:val="28"/>
            </w:rPr>
            <w:t>生态安全</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_Toc10784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23</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_Toc1960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rPr>
            <w:t>一</w:t>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lang w:val="en-US" w:eastAsia="zh-CN"/>
            </w:rPr>
            <w:t>主动适应</w:t>
          </w:r>
          <w:r>
            <w:rPr>
              <w:rFonts w:hint="default" w:ascii="Times New Roman" w:hAnsi="Times New Roman" w:eastAsia="仿宋_GB2312" w:cs="Times New Roman"/>
              <w:color w:val="auto"/>
              <w:sz w:val="28"/>
              <w:szCs w:val="28"/>
            </w:rPr>
            <w:t>气候变化</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_Toc1960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23</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_Toc19588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rPr>
            <w:t>二</w:t>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lang w:val="en-US" w:eastAsia="zh-CN"/>
            </w:rPr>
            <w:t>巩固</w:t>
          </w:r>
          <w:r>
            <w:rPr>
              <w:rFonts w:hint="default" w:ascii="Times New Roman" w:hAnsi="Times New Roman" w:eastAsia="仿宋_GB2312" w:cs="Times New Roman"/>
              <w:color w:val="auto"/>
              <w:sz w:val="28"/>
              <w:szCs w:val="28"/>
            </w:rPr>
            <w:t>提升水环境质量</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_Toc19588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_Toc13704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（三）</w:t>
          </w:r>
          <w:r>
            <w:rPr>
              <w:rFonts w:hint="default" w:ascii="Times New Roman" w:hAnsi="Times New Roman" w:eastAsia="仿宋_GB2312" w:cs="Times New Roman"/>
              <w:color w:val="auto"/>
              <w:sz w:val="28"/>
              <w:szCs w:val="28"/>
              <w:lang w:val="en-US" w:eastAsia="zh-CN"/>
            </w:rPr>
            <w:t>稳定优化</w:t>
          </w:r>
          <w:r>
            <w:rPr>
              <w:rFonts w:hint="default" w:ascii="Times New Roman" w:hAnsi="Times New Roman" w:eastAsia="仿宋_GB2312" w:cs="Times New Roman"/>
              <w:color w:val="auto"/>
              <w:sz w:val="28"/>
              <w:szCs w:val="28"/>
            </w:rPr>
            <w:t>环境</w:t>
          </w:r>
          <w:r>
            <w:rPr>
              <w:rFonts w:hint="default" w:ascii="Times New Roman" w:hAnsi="Times New Roman" w:eastAsia="仿宋_GB2312" w:cs="Times New Roman"/>
              <w:color w:val="auto"/>
              <w:sz w:val="28"/>
              <w:szCs w:val="28"/>
              <w:lang w:val="en-US" w:eastAsia="zh-CN"/>
            </w:rPr>
            <w:t>空气</w:t>
          </w:r>
          <w:r>
            <w:rPr>
              <w:rFonts w:hint="default" w:ascii="Times New Roman" w:hAnsi="Times New Roman" w:eastAsia="仿宋_GB2312" w:cs="Times New Roman"/>
              <w:color w:val="auto"/>
              <w:sz w:val="28"/>
              <w:szCs w:val="28"/>
            </w:rPr>
            <w:t>质量</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_Toc13704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28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_Toc9193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（四）提高土壤环境质量</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_Toc9193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31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_Toc11245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（五）切实加强海洋环境保护</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_Toc11245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34</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_Toc27671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六</w:t>
          </w:r>
          <w:r>
            <w:rPr>
              <w:rFonts w:hint="default" w:ascii="Times New Roman" w:hAnsi="Times New Roman" w:eastAsia="仿宋_GB2312" w:cs="Times New Roman"/>
              <w:color w:val="auto"/>
              <w:sz w:val="28"/>
              <w:szCs w:val="28"/>
            </w:rPr>
            <w:t>）大力实施生态保护修复</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_Toc27671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35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_Toc28137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val="en-US" w:eastAsia="zh-CN"/>
            </w:rPr>
            <w:t>（七）</w:t>
          </w:r>
          <w:r>
            <w:rPr>
              <w:rFonts w:hint="default" w:ascii="Times New Roman" w:hAnsi="Times New Roman" w:eastAsia="仿宋_GB2312" w:cs="Times New Roman"/>
              <w:color w:val="auto"/>
              <w:sz w:val="28"/>
              <w:szCs w:val="28"/>
            </w:rPr>
            <w:t>有序推进生物多样性保护</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_Toc28137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37</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_Toc184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八</w:t>
          </w:r>
          <w:r>
            <w:rPr>
              <w:rFonts w:hint="default" w:ascii="Times New Roman" w:hAnsi="Times New Roman" w:eastAsia="仿宋_GB2312" w:cs="Times New Roman"/>
              <w:color w:val="auto"/>
              <w:sz w:val="28"/>
              <w:szCs w:val="28"/>
            </w:rPr>
            <w:t>）加强生态环境风险防范</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_Toc184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38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_Toc8681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第十一条</w:t>
          </w:r>
          <w:r>
            <w:rPr>
              <w:rFonts w:hint="default" w:ascii="Times New Roman" w:hAnsi="Times New Roman" w:eastAsia="楷体" w:cs="Times New Roman"/>
              <w:bCs/>
              <w:color w:val="auto"/>
              <w:sz w:val="28"/>
              <w:szCs w:val="28"/>
              <w:lang w:val="en-US" w:eastAsia="zh-CN"/>
            </w:rPr>
            <w:t xml:space="preserve">  优化</w:t>
          </w:r>
          <w:r>
            <w:rPr>
              <w:rFonts w:hint="default" w:ascii="Times New Roman" w:hAnsi="Times New Roman" w:eastAsia="楷体" w:cs="Times New Roman"/>
              <w:bCs/>
              <w:color w:val="auto"/>
              <w:sz w:val="28"/>
              <w:szCs w:val="28"/>
            </w:rPr>
            <w:t>生态空间</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_Toc8681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_Toc2602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（一）严格管控生态空间</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_Toc2602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_Toc9176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（二）建立自然保护地体系</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_Toc9176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43</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_Toc32170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（三）优化国土空间布局</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_Toc32170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44</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_Toc24851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四</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构建“一带三区五基地”产业布局</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_Toc24851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44</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_Toc29673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第十二条</w:t>
          </w:r>
          <w:r>
            <w:rPr>
              <w:rFonts w:hint="default" w:ascii="Times New Roman" w:hAnsi="Times New Roman" w:eastAsia="楷体" w:cs="Times New Roman"/>
              <w:bCs/>
              <w:color w:val="auto"/>
              <w:sz w:val="28"/>
              <w:szCs w:val="28"/>
              <w:lang w:val="en-US" w:eastAsia="zh-CN"/>
            </w:rPr>
            <w:t xml:space="preserve">  壮大</w:t>
          </w:r>
          <w:r>
            <w:rPr>
              <w:rFonts w:hint="default" w:ascii="Times New Roman" w:hAnsi="Times New Roman" w:eastAsia="楷体" w:cs="Times New Roman"/>
              <w:bCs/>
              <w:color w:val="auto"/>
              <w:sz w:val="28"/>
              <w:szCs w:val="28"/>
            </w:rPr>
            <w:t>生态经济</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_Toc29673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_Toc5417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w:t>
          </w:r>
          <w:r>
            <w:rPr>
              <w:rFonts w:hint="default" w:ascii="Times New Roman" w:hAnsi="Times New Roman" w:eastAsia="仿宋_GB2312" w:cs="Times New Roman"/>
              <w:color w:val="auto"/>
              <w:sz w:val="28"/>
              <w:szCs w:val="28"/>
              <w:lang w:val="en-US" w:eastAsia="zh-CN"/>
            </w:rPr>
            <w:t>推动生态产品价值实现</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_Toc5417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45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_Toc12626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二</w:t>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增加清洁能源供给</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_Toc12626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_Toc30086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三</w:t>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优化道路运输结构</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_Toc30086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_Toc21904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四</w:t>
          </w:r>
          <w:r>
            <w:rPr>
              <w:rFonts w:hint="default" w:ascii="Times New Roman" w:hAnsi="Times New Roman" w:eastAsia="仿宋_GB2312" w:cs="Times New Roman"/>
              <w:color w:val="auto"/>
              <w:sz w:val="28"/>
              <w:szCs w:val="28"/>
            </w:rPr>
            <w:t>）培植壮大新兴产业</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_Toc21904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53</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_Toc2928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五</w:t>
          </w:r>
          <w:r>
            <w:rPr>
              <w:rFonts w:hint="default" w:ascii="Times New Roman" w:hAnsi="Times New Roman" w:eastAsia="仿宋_GB2312" w:cs="Times New Roman"/>
              <w:color w:val="auto"/>
              <w:sz w:val="28"/>
              <w:szCs w:val="28"/>
            </w:rPr>
            <w:t>）园区循环化改造</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_Toc2928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_Toc5129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第十三条</w:t>
          </w:r>
          <w:r>
            <w:rPr>
              <w:rFonts w:hint="default" w:ascii="Times New Roman" w:hAnsi="Times New Roman" w:eastAsia="楷体" w:cs="Times New Roman"/>
              <w:bCs/>
              <w:color w:val="auto"/>
              <w:sz w:val="28"/>
              <w:szCs w:val="28"/>
              <w:lang w:val="en-US" w:eastAsia="zh-CN"/>
            </w:rPr>
            <w:t xml:space="preserve">  筑造</w:t>
          </w:r>
          <w:r>
            <w:rPr>
              <w:rFonts w:hint="default" w:ascii="Times New Roman" w:hAnsi="Times New Roman" w:eastAsia="楷体" w:cs="Times New Roman"/>
              <w:bCs/>
              <w:color w:val="auto"/>
              <w:sz w:val="28"/>
              <w:szCs w:val="28"/>
            </w:rPr>
            <w:t>生态生活</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_Toc5129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_Toc14085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（一）加快城乡环境一体化建设</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_Toc14085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_Toc9579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（二）提升精致城市品质</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_Toc9579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57</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_Toc27422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（三）推进美丽乡村建设</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_Toc27422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58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_Toc25221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（四）倡导绿色生活方式</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_Toc25221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60</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_Toc28988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val="en-US" w:eastAsia="zh-CN"/>
            </w:rPr>
            <w:t>五</w:t>
          </w:r>
          <w:r>
            <w:rPr>
              <w:rFonts w:hint="default" w:ascii="Times New Roman" w:hAnsi="Times New Roman" w:eastAsia="仿宋_GB2312" w:cs="Times New Roman"/>
              <w:color w:val="auto"/>
              <w:sz w:val="28"/>
              <w:szCs w:val="28"/>
            </w:rPr>
            <w:t>）推进节水城市建设</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_Toc28988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61</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_Toc15104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第十四条</w:t>
          </w:r>
          <w:r>
            <w:rPr>
              <w:rFonts w:hint="default" w:ascii="Times New Roman" w:hAnsi="Times New Roman" w:eastAsia="楷体" w:cs="Times New Roman"/>
              <w:bCs/>
              <w:color w:val="auto"/>
              <w:sz w:val="28"/>
              <w:szCs w:val="28"/>
              <w:lang w:val="en-US" w:eastAsia="zh-CN"/>
            </w:rPr>
            <w:t xml:space="preserve">  培育</w:t>
          </w:r>
          <w:r>
            <w:rPr>
              <w:rFonts w:hint="default" w:ascii="Times New Roman" w:hAnsi="Times New Roman" w:eastAsia="楷体" w:cs="Times New Roman"/>
              <w:bCs/>
              <w:color w:val="auto"/>
              <w:sz w:val="28"/>
              <w:szCs w:val="28"/>
            </w:rPr>
            <w:t>生态文化</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_Toc15104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_Toc15852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（一）生态文化载体建设</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_Toc15852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62</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_Toc3758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（二）生态文明宣传教育</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_Toc3758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64</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_Toc24904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rPr>
            <w:t>（三）生态文明共建共享</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_Toc24904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65</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6"/>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_Toc26251 </w:instrText>
          </w:r>
          <w:r>
            <w:rPr>
              <w:rFonts w:hint="default" w:ascii="Times New Roman" w:hAnsi="Times New Roman" w:cs="Times New Roman"/>
              <w:color w:val="auto"/>
              <w:sz w:val="28"/>
              <w:szCs w:val="28"/>
            </w:rPr>
            <w:fldChar w:fldCharType="separate"/>
          </w:r>
          <w:r>
            <w:rPr>
              <w:rFonts w:hint="default" w:ascii="Times New Roman" w:hAnsi="Times New Roman" w:eastAsia="方正小标宋简体" w:cs="Times New Roman"/>
              <w:bCs/>
              <w:color w:val="auto"/>
              <w:sz w:val="28"/>
              <w:szCs w:val="28"/>
            </w:rPr>
            <w:t xml:space="preserve">第四章 </w:t>
          </w:r>
          <w:r>
            <w:rPr>
              <w:rFonts w:hint="default" w:ascii="Times New Roman" w:hAnsi="Times New Roman" w:eastAsia="方正小标宋简体" w:cs="Times New Roman"/>
              <w:bCs/>
              <w:color w:val="auto"/>
              <w:sz w:val="28"/>
              <w:szCs w:val="28"/>
              <w:lang w:val="en-US" w:eastAsia="zh-CN"/>
            </w:rPr>
            <w:t xml:space="preserve"> </w:t>
          </w:r>
          <w:r>
            <w:rPr>
              <w:rFonts w:hint="default" w:ascii="Times New Roman" w:hAnsi="Times New Roman" w:eastAsia="方正小标宋简体" w:cs="Times New Roman"/>
              <w:bCs/>
              <w:color w:val="auto"/>
              <w:sz w:val="28"/>
              <w:szCs w:val="28"/>
            </w:rPr>
            <w:t>重点工程与效益分析</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_Toc26251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_Toc15485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第十五条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工程内容与投资估算</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_Toc15485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_Toc12972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第十六条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效益分析</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_Toc12972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_Toc11386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rPr>
            <w:t>一</w:t>
          </w:r>
          <w:r>
            <w:rPr>
              <w:rFonts w:hint="default" w:ascii="Times New Roman" w:hAnsi="Times New Roman" w:eastAsia="仿宋_GB2312" w:cs="Times New Roman"/>
              <w:color w:val="auto"/>
              <w:sz w:val="28"/>
              <w:szCs w:val="28"/>
              <w:lang w:val="zh-CN"/>
            </w:rPr>
            <w:t>）生态环境效益</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_Toc11386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_Toc7338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rPr>
            <w:t>二</w:t>
          </w:r>
          <w:r>
            <w:rPr>
              <w:rFonts w:hint="default" w:ascii="Times New Roman" w:hAnsi="Times New Roman" w:eastAsia="仿宋_GB2312" w:cs="Times New Roman"/>
              <w:color w:val="auto"/>
              <w:sz w:val="28"/>
              <w:szCs w:val="28"/>
              <w:lang w:val="zh-CN"/>
            </w:rPr>
            <w:t>）经济效益</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_Toc7338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66</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1"/>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_Toc6974 </w:instrText>
          </w:r>
          <w:r>
            <w:rPr>
              <w:rFonts w:hint="default" w:ascii="Times New Roman" w:hAnsi="Times New Roman" w:cs="Times New Roman"/>
              <w:color w:val="auto"/>
              <w:sz w:val="28"/>
              <w:szCs w:val="28"/>
            </w:rPr>
            <w:fldChar w:fldCharType="separate"/>
          </w:r>
          <w:r>
            <w:rPr>
              <w:rFonts w:hint="default" w:ascii="Times New Roman" w:hAnsi="Times New Roman" w:eastAsia="仿宋_GB2312" w:cs="Times New Roman"/>
              <w:color w:val="auto"/>
              <w:sz w:val="28"/>
              <w:szCs w:val="28"/>
              <w:lang w:val="zh-CN"/>
            </w:rPr>
            <w:t>（</w:t>
          </w:r>
          <w:r>
            <w:rPr>
              <w:rFonts w:hint="default" w:ascii="Times New Roman" w:hAnsi="Times New Roman" w:eastAsia="仿宋_GB2312" w:cs="Times New Roman"/>
              <w:color w:val="auto"/>
              <w:sz w:val="28"/>
              <w:szCs w:val="28"/>
            </w:rPr>
            <w:t>三</w:t>
          </w:r>
          <w:r>
            <w:rPr>
              <w:rFonts w:hint="default" w:ascii="Times New Roman" w:hAnsi="Times New Roman" w:eastAsia="仿宋_GB2312" w:cs="Times New Roman"/>
              <w:color w:val="auto"/>
              <w:sz w:val="28"/>
              <w:szCs w:val="28"/>
              <w:lang w:val="zh-CN"/>
            </w:rPr>
            <w:t>）社会效益</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_Toc6974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67</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6"/>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_Toc14917 </w:instrText>
          </w:r>
          <w:r>
            <w:rPr>
              <w:rFonts w:hint="default" w:ascii="Times New Roman" w:hAnsi="Times New Roman" w:cs="Times New Roman"/>
              <w:color w:val="auto"/>
              <w:sz w:val="28"/>
              <w:szCs w:val="28"/>
            </w:rPr>
            <w:fldChar w:fldCharType="separate"/>
          </w:r>
          <w:r>
            <w:rPr>
              <w:rFonts w:hint="default" w:ascii="Times New Roman" w:hAnsi="Times New Roman" w:eastAsia="方正小标宋简体" w:cs="Times New Roman"/>
              <w:bCs/>
              <w:color w:val="auto"/>
              <w:sz w:val="28"/>
              <w:szCs w:val="28"/>
            </w:rPr>
            <w:t xml:space="preserve">第五章 </w:t>
          </w:r>
          <w:r>
            <w:rPr>
              <w:rFonts w:hint="default" w:ascii="Times New Roman" w:hAnsi="Times New Roman" w:eastAsia="方正小标宋简体" w:cs="Times New Roman"/>
              <w:bCs/>
              <w:color w:val="auto"/>
              <w:sz w:val="28"/>
              <w:szCs w:val="28"/>
              <w:lang w:val="en-US" w:eastAsia="zh-CN"/>
            </w:rPr>
            <w:t xml:space="preserve"> </w:t>
          </w:r>
          <w:r>
            <w:rPr>
              <w:rFonts w:hint="default" w:ascii="Times New Roman" w:hAnsi="Times New Roman" w:eastAsia="方正小标宋简体" w:cs="Times New Roman"/>
              <w:bCs/>
              <w:color w:val="auto"/>
              <w:sz w:val="28"/>
              <w:szCs w:val="28"/>
            </w:rPr>
            <w:t>保障措施</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_Toc14917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_Toc13400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第十七条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发挥党的领导核心作用</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_Toc13400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_Toc2650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第十八条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健全实施机制</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_Toc2650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_Toc7826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第十九条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加大资金统筹</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_Toc7826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68</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7"/>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_Toc13926 </w:instrText>
          </w:r>
          <w:r>
            <w:rPr>
              <w:rFonts w:hint="default" w:ascii="Times New Roman" w:hAnsi="Times New Roman" w:cs="Times New Roman"/>
              <w:color w:val="auto"/>
              <w:sz w:val="28"/>
              <w:szCs w:val="28"/>
            </w:rPr>
            <w:fldChar w:fldCharType="separate"/>
          </w:r>
          <w:r>
            <w:rPr>
              <w:rFonts w:hint="default" w:ascii="Times New Roman" w:hAnsi="Times New Roman" w:eastAsia="楷体" w:cs="Times New Roman"/>
              <w:bCs/>
              <w:color w:val="auto"/>
              <w:sz w:val="28"/>
              <w:szCs w:val="28"/>
            </w:rPr>
            <w:t>第二十条</w:t>
          </w:r>
          <w:r>
            <w:rPr>
              <w:rFonts w:hint="default" w:ascii="Times New Roman" w:hAnsi="Times New Roman" w:eastAsia="楷体" w:cs="Times New Roman"/>
              <w:bCs/>
              <w:color w:val="auto"/>
              <w:sz w:val="28"/>
              <w:szCs w:val="28"/>
              <w:lang w:val="en-US" w:eastAsia="zh-CN"/>
            </w:rPr>
            <w:t xml:space="preserve">  </w:t>
          </w:r>
          <w:r>
            <w:rPr>
              <w:rFonts w:hint="default" w:ascii="Times New Roman" w:hAnsi="Times New Roman" w:eastAsia="楷体" w:cs="Times New Roman"/>
              <w:bCs/>
              <w:color w:val="auto"/>
              <w:sz w:val="28"/>
              <w:szCs w:val="28"/>
            </w:rPr>
            <w:t>引导社会参与</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_Toc13926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69</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pStyle w:val="16"/>
            <w:keepNext w:val="0"/>
            <w:keepLines w:val="0"/>
            <w:pageBreakBefore w:val="0"/>
            <w:widowControl w:val="0"/>
            <w:tabs>
              <w:tab w:val="right" w:leader="dot" w:pos="8789"/>
            </w:tabs>
            <w:kinsoku/>
            <w:wordWrap/>
            <w:overflowPunct/>
            <w:topLinePunct w:val="0"/>
            <w:autoSpaceDE/>
            <w:autoSpaceDN/>
            <w:bidi w:val="0"/>
            <w:adjustRightInd w:val="0"/>
            <w:snapToGrid w:val="0"/>
            <w:spacing w:line="360" w:lineRule="auto"/>
            <w:textAlignment w:val="auto"/>
            <w:rPr>
              <w:color w:val="auto"/>
            </w:rPr>
          </w:pP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HYPERLINK \l _Toc27621 </w:instrText>
          </w:r>
          <w:r>
            <w:rPr>
              <w:rFonts w:hint="default" w:ascii="Times New Roman" w:hAnsi="Times New Roman" w:cs="Times New Roman"/>
              <w:color w:val="auto"/>
              <w:sz w:val="28"/>
              <w:szCs w:val="28"/>
            </w:rPr>
            <w:fldChar w:fldCharType="separate"/>
          </w:r>
          <w:r>
            <w:rPr>
              <w:rFonts w:hint="default" w:ascii="Times New Roman" w:hAnsi="Times New Roman" w:eastAsia="黑体" w:cs="Times New Roman"/>
              <w:color w:val="auto"/>
              <w:sz w:val="28"/>
              <w:szCs w:val="28"/>
            </w:rPr>
            <w:t>附件</w:t>
          </w:r>
          <w:r>
            <w:rPr>
              <w:rFonts w:hint="eastAsia" w:ascii="Times New Roman" w:hAnsi="Times New Roman" w:eastAsia="黑体" w:cs="Times New Roman"/>
              <w:color w:val="auto"/>
              <w:sz w:val="28"/>
              <w:szCs w:val="28"/>
              <w:lang w:val="en-US" w:eastAsia="zh-CN"/>
            </w:rPr>
            <w:t xml:space="preserve">  荣成市生态文明建设重点项目表</w:t>
          </w:r>
          <w:r>
            <w:rPr>
              <w:rFonts w:hint="default" w:ascii="Times New Roman" w:hAnsi="Times New Roman" w:cs="Times New Roman"/>
              <w:color w:val="auto"/>
              <w:sz w:val="28"/>
              <w:szCs w:val="28"/>
            </w:rPr>
            <w:tab/>
          </w:r>
          <w:r>
            <w:rPr>
              <w:rFonts w:hint="default" w:ascii="Times New Roman" w:hAnsi="Times New Roman" w:cs="Times New Roman"/>
              <w:color w:val="auto"/>
              <w:sz w:val="28"/>
              <w:szCs w:val="28"/>
            </w:rPr>
            <w:fldChar w:fldCharType="begin"/>
          </w:r>
          <w:r>
            <w:rPr>
              <w:rFonts w:hint="default" w:ascii="Times New Roman" w:hAnsi="Times New Roman" w:cs="Times New Roman"/>
              <w:color w:val="auto"/>
              <w:sz w:val="28"/>
              <w:szCs w:val="28"/>
            </w:rPr>
            <w:instrText xml:space="preserve"> PAGEREF _Toc27621 \h </w:instrText>
          </w:r>
          <w:r>
            <w:rPr>
              <w:rFonts w:hint="default" w:ascii="Times New Roman" w:hAnsi="Times New Roman" w:cs="Times New Roman"/>
              <w:color w:val="auto"/>
              <w:sz w:val="28"/>
              <w:szCs w:val="28"/>
            </w:rPr>
            <w:fldChar w:fldCharType="separate"/>
          </w:r>
          <w:r>
            <w:rPr>
              <w:rFonts w:hint="default" w:ascii="Times New Roman" w:hAnsi="Times New Roman" w:cs="Times New Roman"/>
              <w:color w:val="auto"/>
              <w:sz w:val="28"/>
              <w:szCs w:val="28"/>
            </w:rPr>
            <w:t>70</w:t>
          </w:r>
          <w:r>
            <w:rPr>
              <w:rFonts w:hint="default" w:ascii="Times New Roman" w:hAnsi="Times New Roman" w:cs="Times New Roman"/>
              <w:color w:val="auto"/>
              <w:sz w:val="28"/>
              <w:szCs w:val="28"/>
            </w:rPr>
            <w:fldChar w:fldCharType="end"/>
          </w:r>
          <w:r>
            <w:rPr>
              <w:rFonts w:hint="default" w:ascii="Times New Roman" w:hAnsi="Times New Roman" w:cs="Times New Roman"/>
              <w:color w:val="auto"/>
              <w:sz w:val="28"/>
              <w:szCs w:val="28"/>
            </w:rPr>
            <w:fldChar w:fldCharType="end"/>
          </w:r>
        </w:p>
        <w:p>
          <w:pPr>
            <w:spacing w:line="360" w:lineRule="auto"/>
            <w:rPr>
              <w:color w:val="auto"/>
            </w:rPr>
          </w:pPr>
          <w:r>
            <w:rPr>
              <w:color w:val="auto"/>
              <w:szCs w:val="30"/>
            </w:rPr>
            <w:fldChar w:fldCharType="end"/>
          </w:r>
        </w:p>
      </w:sdtContent>
    </w:sdt>
    <w:p>
      <w:pPr>
        <w:spacing w:line="360" w:lineRule="auto"/>
        <w:jc w:val="center"/>
        <w:outlineLvl w:val="0"/>
        <w:rPr>
          <w:rFonts w:ascii="Times New Roman" w:hAnsi="Times New Roman" w:eastAsia="黑体"/>
          <w:bCs/>
          <w:color w:val="auto"/>
          <w:sz w:val="44"/>
          <w:szCs w:val="44"/>
        </w:rPr>
        <w:sectPr>
          <w:footerReference r:id="rId7" w:type="default"/>
          <w:pgSz w:w="11907" w:h="16839"/>
          <w:pgMar w:top="1418" w:right="1417" w:bottom="1418" w:left="1701" w:header="720" w:footer="720" w:gutter="0"/>
          <w:pgBorders>
            <w:top w:val="none" w:sz="0" w:space="0"/>
            <w:left w:val="none" w:sz="0" w:space="0"/>
            <w:bottom w:val="none" w:sz="0" w:space="0"/>
            <w:right w:val="none" w:sz="0" w:space="0"/>
          </w:pgBorders>
          <w:pgNumType w:fmt="decimal"/>
          <w:cols w:space="720" w:num="1"/>
          <w:docGrid w:linePitch="286" w:charSpace="0"/>
        </w:sectPr>
      </w:pPr>
      <w:bookmarkStart w:id="22" w:name="_Toc24125"/>
    </w:p>
    <w:p>
      <w:pPr>
        <w:spacing w:line="360" w:lineRule="auto"/>
        <w:jc w:val="center"/>
        <w:outlineLvl w:val="0"/>
        <w:rPr>
          <w:rFonts w:ascii="Times New Roman" w:hAnsi="Times New Roman" w:eastAsia="黑体"/>
          <w:color w:val="auto"/>
          <w:sz w:val="36"/>
          <w:szCs w:val="36"/>
        </w:rPr>
      </w:pPr>
      <w:bookmarkStart w:id="23" w:name="_Toc20208"/>
      <w:r>
        <w:rPr>
          <w:rFonts w:hint="eastAsia" w:ascii="方正小标宋简体" w:hAnsi="方正小标宋简体" w:eastAsia="方正小标宋简体" w:cs="方正小标宋简体"/>
          <w:bCs/>
          <w:color w:val="auto"/>
          <w:sz w:val="44"/>
          <w:szCs w:val="44"/>
        </w:rPr>
        <w:t>第一章</w:t>
      </w:r>
      <w:r>
        <w:rPr>
          <w:rFonts w:hint="eastAsia" w:ascii="方正小标宋简体" w:hAnsi="方正小标宋简体" w:eastAsia="方正小标宋简体" w:cs="方正小标宋简体"/>
          <w:bCs/>
          <w:color w:val="auto"/>
          <w:sz w:val="44"/>
          <w:szCs w:val="44"/>
          <w:lang w:val="en-US" w:eastAsia="zh-CN"/>
        </w:rPr>
        <w:t xml:space="preserve">  </w:t>
      </w:r>
      <w:r>
        <w:rPr>
          <w:rFonts w:hint="eastAsia" w:ascii="方正小标宋简体" w:hAnsi="方正小标宋简体" w:eastAsia="方正小标宋简体" w:cs="方正小标宋简体"/>
          <w:bCs/>
          <w:color w:val="auto"/>
          <w:sz w:val="44"/>
          <w:szCs w:val="44"/>
        </w:rPr>
        <w:t>工作基础与形势分析</w:t>
      </w:r>
      <w:bookmarkEnd w:id="12"/>
      <w:bookmarkEnd w:id="13"/>
      <w:bookmarkEnd w:id="14"/>
      <w:bookmarkEnd w:id="15"/>
      <w:bookmarkEnd w:id="16"/>
      <w:bookmarkEnd w:id="17"/>
      <w:bookmarkEnd w:id="18"/>
      <w:bookmarkEnd w:id="19"/>
      <w:bookmarkEnd w:id="20"/>
      <w:bookmarkEnd w:id="21"/>
      <w:bookmarkEnd w:id="22"/>
      <w:bookmarkEnd w:id="23"/>
    </w:p>
    <w:p>
      <w:pPr>
        <w:spacing w:line="360" w:lineRule="auto"/>
        <w:jc w:val="center"/>
        <w:outlineLvl w:val="1"/>
        <w:rPr>
          <w:rFonts w:hint="eastAsia" w:ascii="楷体_GB2312" w:hAnsi="楷体_GB2312" w:eastAsia="楷体_GB2312" w:cs="楷体_GB2312"/>
          <w:b/>
          <w:bCs/>
          <w:color w:val="auto"/>
          <w:sz w:val="36"/>
          <w:szCs w:val="36"/>
        </w:rPr>
      </w:pPr>
      <w:bookmarkStart w:id="24" w:name="_Toc24148"/>
      <w:bookmarkStart w:id="25" w:name="_Toc9659"/>
      <w:bookmarkStart w:id="26" w:name="_Toc11788"/>
      <w:bookmarkStart w:id="27" w:name="_Toc22157"/>
      <w:r>
        <w:rPr>
          <w:rFonts w:hint="eastAsia" w:ascii="楷体_GB2312" w:hAnsi="楷体_GB2312" w:eastAsia="楷体_GB2312" w:cs="楷体_GB2312"/>
          <w:b/>
          <w:bCs/>
          <w:color w:val="auto"/>
          <w:sz w:val="36"/>
          <w:szCs w:val="36"/>
        </w:rPr>
        <w:t>第一条</w:t>
      </w:r>
      <w:r>
        <w:rPr>
          <w:rFonts w:hint="eastAsia" w:ascii="楷体_GB2312" w:hAnsi="楷体_GB2312" w:eastAsia="楷体_GB2312" w:cs="楷体_GB2312"/>
          <w:b/>
          <w:bCs/>
          <w:color w:val="auto"/>
          <w:sz w:val="36"/>
          <w:szCs w:val="36"/>
          <w:lang w:val="en-US" w:eastAsia="zh-CN"/>
        </w:rPr>
        <w:t xml:space="preserve">  </w:t>
      </w:r>
      <w:r>
        <w:rPr>
          <w:rFonts w:hint="eastAsia" w:ascii="楷体_GB2312" w:hAnsi="楷体_GB2312" w:eastAsia="楷体_GB2312" w:cs="楷体_GB2312"/>
          <w:b/>
          <w:bCs/>
          <w:color w:val="auto"/>
          <w:sz w:val="36"/>
          <w:szCs w:val="36"/>
        </w:rPr>
        <w:t>建设基础</w:t>
      </w:r>
      <w:bookmarkEnd w:id="24"/>
      <w:bookmarkEnd w:id="25"/>
      <w:bookmarkEnd w:id="26"/>
      <w:bookmarkEnd w:id="27"/>
    </w:p>
    <w:p>
      <w:pPr>
        <w:spacing w:line="360" w:lineRule="auto"/>
        <w:ind w:firstLine="643" w:firstLineChars="200"/>
        <w:outlineLvl w:val="2"/>
        <w:rPr>
          <w:rFonts w:ascii="Times New Roman" w:hAnsi="Times New Roman" w:eastAsia="仿宋_GB2312"/>
          <w:b/>
          <w:color w:val="auto"/>
          <w:sz w:val="32"/>
          <w:szCs w:val="21"/>
        </w:rPr>
      </w:pPr>
      <w:bookmarkStart w:id="28" w:name="_Toc9192"/>
      <w:bookmarkStart w:id="29" w:name="_Toc17180"/>
      <w:bookmarkStart w:id="30" w:name="_Toc22651"/>
      <w:r>
        <w:rPr>
          <w:rFonts w:ascii="Times New Roman" w:hAnsi="Times New Roman" w:eastAsia="仿宋_GB2312"/>
          <w:b/>
          <w:color w:val="auto"/>
          <w:sz w:val="32"/>
          <w:szCs w:val="21"/>
        </w:rPr>
        <w:t>（一）区域特征</w:t>
      </w:r>
      <w:bookmarkEnd w:id="28"/>
      <w:bookmarkEnd w:id="29"/>
      <w:bookmarkEnd w:id="30"/>
    </w:p>
    <w:p>
      <w:pPr>
        <w:autoSpaceDE w:val="0"/>
        <w:autoSpaceDN w:val="0"/>
        <w:adjustRightInd w:val="0"/>
        <w:snapToGrid w:val="0"/>
        <w:spacing w:line="360" w:lineRule="auto"/>
        <w:ind w:firstLine="600" w:firstLineChars="200"/>
        <w:rPr>
          <w:rFonts w:hint="eastAsia" w:ascii="Times New Roman" w:hAnsi="Times New Roman" w:eastAsia="仿宋_GB2312"/>
          <w:color w:val="auto"/>
          <w:kern w:val="0"/>
          <w:sz w:val="30"/>
          <w:szCs w:val="30"/>
          <w:lang w:val="en-US" w:eastAsia="zh-CN"/>
        </w:rPr>
      </w:pPr>
      <w:bookmarkStart w:id="31" w:name="_Hlk48391532"/>
      <w:r>
        <w:rPr>
          <w:rFonts w:ascii="Times New Roman" w:hAnsi="Times New Roman" w:eastAsia="仿宋_GB2312"/>
          <w:color w:val="auto"/>
          <w:kern w:val="0"/>
          <w:sz w:val="30"/>
          <w:szCs w:val="30"/>
        </w:rPr>
        <w:t>荣成市地处山东半岛最东端，三面环海，陆地面积15</w:t>
      </w:r>
      <w:r>
        <w:rPr>
          <w:rFonts w:hint="eastAsia" w:ascii="Times New Roman" w:hAnsi="Times New Roman" w:eastAsia="仿宋_GB2312"/>
          <w:color w:val="auto"/>
          <w:kern w:val="0"/>
          <w:sz w:val="30"/>
          <w:szCs w:val="30"/>
          <w:lang w:val="en-US" w:eastAsia="zh-CN"/>
        </w:rPr>
        <w:t>55</w:t>
      </w:r>
      <w:r>
        <w:rPr>
          <w:rFonts w:ascii="Times New Roman" w:hAnsi="Times New Roman" w:eastAsia="仿宋_GB2312"/>
          <w:color w:val="auto"/>
          <w:kern w:val="0"/>
          <w:sz w:val="30"/>
          <w:szCs w:val="30"/>
        </w:rPr>
        <w:t>平方公里</w:t>
      </w:r>
      <w:r>
        <w:rPr>
          <w:rFonts w:hint="eastAsia" w:ascii="Times New Roman" w:hAnsi="Times New Roman" w:eastAsia="仿宋_GB2312"/>
          <w:color w:val="auto"/>
          <w:kern w:val="0"/>
          <w:sz w:val="30"/>
          <w:szCs w:val="30"/>
        </w:rPr>
        <w:t>，</w:t>
      </w:r>
      <w:r>
        <w:rPr>
          <w:rFonts w:hint="eastAsia" w:ascii="Times New Roman" w:hAnsi="Times New Roman" w:eastAsia="仿宋_GB2312"/>
          <w:color w:val="auto"/>
          <w:kern w:val="0"/>
          <w:sz w:val="30"/>
          <w:szCs w:val="30"/>
          <w:lang w:val="zh-CN"/>
        </w:rPr>
        <w:t>海域面积35</w:t>
      </w:r>
      <w:r>
        <w:rPr>
          <w:rFonts w:hint="eastAsia" w:ascii="Times New Roman" w:hAnsi="Times New Roman" w:eastAsia="仿宋_GB2312"/>
          <w:color w:val="auto"/>
          <w:kern w:val="0"/>
          <w:sz w:val="30"/>
          <w:szCs w:val="30"/>
          <w:lang w:val="en-US" w:eastAsia="zh-CN"/>
        </w:rPr>
        <w:t>43</w:t>
      </w:r>
      <w:r>
        <w:rPr>
          <w:rFonts w:hint="eastAsia" w:ascii="Times New Roman" w:hAnsi="Times New Roman" w:eastAsia="仿宋_GB2312"/>
          <w:color w:val="auto"/>
          <w:kern w:val="0"/>
          <w:sz w:val="30"/>
          <w:szCs w:val="30"/>
          <w:lang w:val="zh-CN"/>
        </w:rPr>
        <w:t>平方公里，</w:t>
      </w:r>
      <w:r>
        <w:rPr>
          <w:rFonts w:ascii="Times New Roman" w:hAnsi="Times New Roman" w:eastAsia="仿宋_GB2312"/>
          <w:color w:val="auto"/>
          <w:kern w:val="0"/>
          <w:sz w:val="30"/>
          <w:szCs w:val="30"/>
        </w:rPr>
        <w:t>海岸线4</w:t>
      </w:r>
      <w:r>
        <w:rPr>
          <w:rFonts w:hint="eastAsia" w:ascii="Times New Roman" w:hAnsi="Times New Roman" w:eastAsia="仿宋_GB2312"/>
          <w:color w:val="auto"/>
          <w:kern w:val="0"/>
          <w:sz w:val="30"/>
          <w:szCs w:val="30"/>
        </w:rPr>
        <w:t>92</w:t>
      </w:r>
      <w:r>
        <w:rPr>
          <w:rFonts w:ascii="Times New Roman" w:hAnsi="Times New Roman" w:eastAsia="仿宋_GB2312"/>
          <w:color w:val="auto"/>
          <w:kern w:val="0"/>
          <w:sz w:val="30"/>
          <w:szCs w:val="30"/>
        </w:rPr>
        <w:t>公里，</w:t>
      </w:r>
      <w:r>
        <w:rPr>
          <w:rFonts w:hint="eastAsia" w:ascii="Times New Roman" w:hAnsi="Times New Roman" w:eastAsia="仿宋_GB2312"/>
          <w:color w:val="auto"/>
          <w:kern w:val="0"/>
          <w:sz w:val="30"/>
          <w:szCs w:val="30"/>
          <w:lang w:val="zh-CN"/>
        </w:rPr>
        <w:t>约占威海的1/2、山东的1/6、全国的1/36，沿海分布10个海湾、115个大小岛屿，拥有滩涂15万亩</w:t>
      </w:r>
      <w:r>
        <w:rPr>
          <w:rFonts w:ascii="Times New Roman" w:hAnsi="Times New Roman" w:eastAsia="仿宋_GB2312"/>
          <w:color w:val="auto"/>
          <w:kern w:val="0"/>
          <w:sz w:val="30"/>
          <w:szCs w:val="30"/>
        </w:rPr>
        <w:t>。设荣成经济开发区、石岛管理区、好运角旅游度假区，辖12个镇、10个街道、</w:t>
      </w:r>
      <w:r>
        <w:rPr>
          <w:rFonts w:hint="eastAsia" w:ascii="Times New Roman" w:hAnsi="Times New Roman" w:eastAsia="仿宋_GB2312"/>
          <w:color w:val="auto"/>
          <w:kern w:val="0"/>
          <w:sz w:val="30"/>
          <w:szCs w:val="30"/>
          <w:lang w:val="en-US" w:eastAsia="zh-CN"/>
        </w:rPr>
        <w:t>778</w:t>
      </w:r>
      <w:r>
        <w:rPr>
          <w:rFonts w:ascii="Times New Roman" w:hAnsi="Times New Roman" w:eastAsia="仿宋_GB2312"/>
          <w:color w:val="auto"/>
          <w:kern w:val="0"/>
          <w:sz w:val="30"/>
          <w:szCs w:val="30"/>
        </w:rPr>
        <w:t>个行政村、51个社区居委会，户籍人口65.</w:t>
      </w:r>
      <w:r>
        <w:rPr>
          <w:rFonts w:hint="eastAsia" w:ascii="Times New Roman" w:hAnsi="Times New Roman" w:eastAsia="仿宋_GB2312"/>
          <w:color w:val="auto"/>
          <w:kern w:val="0"/>
          <w:sz w:val="30"/>
          <w:szCs w:val="30"/>
        </w:rPr>
        <w:t>2</w:t>
      </w:r>
      <w:r>
        <w:rPr>
          <w:rFonts w:hint="eastAsia" w:ascii="Times New Roman" w:hAnsi="Times New Roman" w:eastAsia="仿宋_GB2312"/>
          <w:color w:val="auto"/>
          <w:kern w:val="0"/>
          <w:sz w:val="30"/>
          <w:szCs w:val="30"/>
          <w:lang w:val="en-US" w:eastAsia="zh-CN"/>
        </w:rPr>
        <w:t>0</w:t>
      </w:r>
      <w:r>
        <w:rPr>
          <w:rFonts w:ascii="Times New Roman" w:hAnsi="Times New Roman" w:eastAsia="仿宋_GB2312"/>
          <w:color w:val="auto"/>
          <w:kern w:val="0"/>
          <w:sz w:val="30"/>
          <w:szCs w:val="30"/>
        </w:rPr>
        <w:t>万人、常住人口</w:t>
      </w:r>
      <w:r>
        <w:rPr>
          <w:rFonts w:hint="eastAsia" w:ascii="Times New Roman" w:hAnsi="Times New Roman" w:eastAsia="仿宋_GB2312"/>
          <w:color w:val="auto"/>
          <w:kern w:val="0"/>
          <w:sz w:val="30"/>
          <w:szCs w:val="30"/>
          <w:lang w:val="en-US" w:eastAsia="zh-CN"/>
        </w:rPr>
        <w:t>71.45</w:t>
      </w:r>
      <w:r>
        <w:rPr>
          <w:rFonts w:ascii="Times New Roman" w:hAnsi="Times New Roman" w:eastAsia="仿宋_GB2312"/>
          <w:color w:val="auto"/>
          <w:kern w:val="0"/>
          <w:sz w:val="30"/>
          <w:szCs w:val="30"/>
        </w:rPr>
        <w:t>万人。荣成</w:t>
      </w:r>
      <w:r>
        <w:rPr>
          <w:rFonts w:hint="eastAsia" w:ascii="Times New Roman" w:hAnsi="Times New Roman" w:eastAsia="仿宋_GB2312"/>
          <w:color w:val="auto"/>
          <w:kern w:val="0"/>
          <w:sz w:val="30"/>
          <w:szCs w:val="30"/>
        </w:rPr>
        <w:t>市</w:t>
      </w:r>
      <w:r>
        <w:rPr>
          <w:rFonts w:ascii="Times New Roman" w:hAnsi="Times New Roman" w:eastAsia="仿宋_GB2312"/>
          <w:color w:val="auto"/>
          <w:kern w:val="0"/>
          <w:sz w:val="30"/>
          <w:szCs w:val="30"/>
        </w:rPr>
        <w:t>处于中国环渤海经济区和东北亚地区的交汇点</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距韩国94海里，是山东半岛离韩国最近的区域，是贯通东北三省、长三角经济区和中日韩自由贸易区的</w:t>
      </w:r>
      <w:r>
        <w:rPr>
          <w:rFonts w:hint="eastAsia" w:ascii="Times New Roman" w:hAnsi="Times New Roman" w:eastAsia="仿宋_GB2312"/>
          <w:color w:val="auto"/>
          <w:kern w:val="0"/>
          <w:sz w:val="30"/>
          <w:szCs w:val="30"/>
        </w:rPr>
        <w:t>重要</w:t>
      </w:r>
      <w:r>
        <w:rPr>
          <w:rFonts w:ascii="Times New Roman" w:hAnsi="Times New Roman" w:eastAsia="仿宋_GB2312"/>
          <w:color w:val="auto"/>
          <w:kern w:val="0"/>
          <w:sz w:val="30"/>
          <w:szCs w:val="30"/>
        </w:rPr>
        <w:t>节点城市。</w:t>
      </w:r>
    </w:p>
    <w:p>
      <w:pPr>
        <w:autoSpaceDE w:val="0"/>
        <w:autoSpaceDN w:val="0"/>
        <w:adjustRightInd w:val="0"/>
        <w:snapToGrid w:val="0"/>
        <w:spacing w:line="360" w:lineRule="auto"/>
        <w:ind w:firstLine="600" w:firstLineChars="200"/>
        <w:rPr>
          <w:rFonts w:ascii="Times New Roman" w:hAnsi="Times New Roman" w:eastAsia="仿宋_GB2312"/>
          <w:color w:val="auto"/>
          <w:kern w:val="0"/>
          <w:sz w:val="30"/>
          <w:szCs w:val="30"/>
        </w:rPr>
      </w:pPr>
      <w:r>
        <w:rPr>
          <w:rFonts w:hint="eastAsia" w:ascii="Times New Roman" w:hAnsi="Times New Roman" w:eastAsia="仿宋_GB2312"/>
          <w:color w:val="auto"/>
          <w:kern w:val="0"/>
          <w:sz w:val="30"/>
          <w:szCs w:val="30"/>
        </w:rPr>
        <w:t>荣成市属暖温带大陆性季风型湿润气候，因三面环海，海洋性气候特点表现突出，四季分明、气候温和、冬少严寒、夏无酷暑。境内海洋资源、矿产资源丰富，自然禀赋优越。山、海、岛、湾等旅游资源丰富多样，拥有国家4A级景区3处、3A级景区8处。拥有石岛、龙眼两个一类开放港口，海陆交通网络发达。</w:t>
      </w:r>
    </w:p>
    <w:p>
      <w:pPr>
        <w:autoSpaceDE w:val="0"/>
        <w:autoSpaceDN w:val="0"/>
        <w:adjustRightInd w:val="0"/>
        <w:spacing w:line="360" w:lineRule="auto"/>
        <w:ind w:firstLine="600" w:firstLineChars="200"/>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2008年</w:t>
      </w:r>
      <w:r>
        <w:rPr>
          <w:rFonts w:hint="eastAsia" w:ascii="Times New Roman" w:hAnsi="Times New Roman" w:eastAsia="仿宋_GB2312"/>
          <w:color w:val="auto"/>
          <w:kern w:val="0"/>
          <w:sz w:val="30"/>
          <w:szCs w:val="30"/>
        </w:rPr>
        <w:t>，荣成市</w:t>
      </w:r>
      <w:r>
        <w:rPr>
          <w:rFonts w:ascii="Times New Roman" w:hAnsi="Times New Roman" w:eastAsia="仿宋_GB2312"/>
          <w:color w:val="auto"/>
          <w:kern w:val="0"/>
          <w:sz w:val="30"/>
          <w:szCs w:val="30"/>
        </w:rPr>
        <w:t>被命名为第二批国家生态市，成为山东省首个国家生态市。2011年，荣成市被确定为生态文明建设试点地区，成为山东省第一个生态文明建设试点城市。2017年，荣成市被授予首批国家生态文明建设示范市称号。在2017年、2018年山东大学发布的山东省县域创新、协调、绿色、开放、共享发展评价中，荣成市综合成绩连续两年位居全省县级第一。2020年，好运角旅游度假区成功申报获批第一批省级</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绿水青山就是金山银山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实践创新基地。</w:t>
      </w:r>
    </w:p>
    <w:p>
      <w:pPr>
        <w:spacing w:line="360" w:lineRule="auto"/>
        <w:ind w:firstLine="643" w:firstLineChars="200"/>
        <w:outlineLvl w:val="2"/>
        <w:rPr>
          <w:rFonts w:ascii="Times New Roman" w:hAnsi="Times New Roman" w:eastAsia="仿宋_GB2312"/>
          <w:b/>
          <w:color w:val="auto"/>
          <w:sz w:val="32"/>
          <w:szCs w:val="21"/>
        </w:rPr>
      </w:pPr>
      <w:bookmarkStart w:id="32" w:name="_Toc5587"/>
      <w:bookmarkStart w:id="33" w:name="_Toc22063"/>
      <w:bookmarkStart w:id="34" w:name="_Toc16334"/>
      <w:r>
        <w:rPr>
          <w:rFonts w:ascii="Times New Roman" w:hAnsi="Times New Roman" w:eastAsia="仿宋_GB2312"/>
          <w:b/>
          <w:color w:val="auto"/>
          <w:sz w:val="32"/>
          <w:szCs w:val="21"/>
        </w:rPr>
        <w:t>（二）工作基础</w:t>
      </w:r>
      <w:bookmarkEnd w:id="32"/>
      <w:bookmarkEnd w:id="33"/>
      <w:bookmarkEnd w:id="34"/>
    </w:p>
    <w:p>
      <w:pPr>
        <w:pStyle w:val="2"/>
        <w:spacing w:line="360" w:lineRule="auto"/>
        <w:ind w:firstLine="602"/>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lang w:val="en-US" w:eastAsia="zh-CN" w:bidi="ar-SA"/>
        </w:rPr>
        <w:t>产业转型升级和高质量发展迈出新步伐。海洋经济不断壮大。</w:t>
      </w:r>
      <w:r>
        <w:rPr>
          <w:rFonts w:hint="eastAsia" w:ascii="Times New Roman" w:hAnsi="Times New Roman" w:eastAsia="仿宋_GB2312"/>
          <w:color w:val="auto"/>
          <w:kern w:val="0"/>
          <w:sz w:val="30"/>
          <w:szCs w:val="30"/>
        </w:rPr>
        <w:t>海水养殖基础优势明显，全市海水实养面积56.0万亩，养殖海带、海参、鲍鱼等品种20多个，形成了鱼虾贝藻参多品种养殖，水面、海底、滩涂、工厂化立体利用的养殖格局，并拥有荣成海带、荣成鲍鱼、荣成海参、荣成裙带菜、荣成魁蚶、荣成牡蛎、西霞口刺参7个农产品地理标志和荣成裙带、荣成海带2个地理标志商标，全国渔业健康养殖示范县创建已通过省级初验。建成国家级海洋牧场</w:t>
      </w:r>
      <w:r>
        <w:rPr>
          <w:rFonts w:hint="eastAsia" w:ascii="Times New Roman" w:hAnsi="Times New Roman" w:eastAsia="仿宋_GB2312"/>
          <w:color w:val="auto"/>
          <w:kern w:val="0"/>
          <w:sz w:val="30"/>
          <w:szCs w:val="30"/>
          <w:lang w:val="en-US" w:eastAsia="zh-CN"/>
        </w:rPr>
        <w:t>14</w:t>
      </w:r>
      <w:r>
        <w:rPr>
          <w:rFonts w:hint="eastAsia" w:ascii="Times New Roman" w:hAnsi="Times New Roman" w:eastAsia="仿宋_GB2312"/>
          <w:color w:val="auto"/>
          <w:kern w:val="0"/>
          <w:sz w:val="30"/>
          <w:szCs w:val="30"/>
        </w:rPr>
        <w:t>处，省级海洋牧场</w:t>
      </w:r>
      <w:r>
        <w:rPr>
          <w:rFonts w:hint="eastAsia" w:ascii="Times New Roman" w:hAnsi="Times New Roman" w:eastAsia="仿宋_GB2312"/>
          <w:color w:val="auto"/>
          <w:kern w:val="0"/>
          <w:sz w:val="30"/>
          <w:szCs w:val="30"/>
          <w:lang w:val="en-US" w:eastAsia="zh-CN"/>
        </w:rPr>
        <w:t>34</w:t>
      </w:r>
      <w:r>
        <w:rPr>
          <w:rFonts w:hint="eastAsia" w:ascii="Times New Roman" w:hAnsi="Times New Roman" w:eastAsia="仿宋_GB2312"/>
          <w:color w:val="auto"/>
          <w:kern w:val="0"/>
          <w:sz w:val="30"/>
          <w:szCs w:val="30"/>
        </w:rPr>
        <w:t>处。</w:t>
      </w:r>
      <w:r>
        <w:rPr>
          <w:rFonts w:ascii="Times New Roman" w:hAnsi="Times New Roman" w:eastAsia="仿宋_GB2312"/>
          <w:color w:val="auto"/>
          <w:kern w:val="0"/>
          <w:sz w:val="30"/>
          <w:szCs w:val="30"/>
        </w:rPr>
        <w:t>沙窝岛国家远洋渔业基地</w:t>
      </w:r>
      <w:r>
        <w:rPr>
          <w:rFonts w:hint="eastAsia" w:ascii="Times New Roman" w:hAnsi="Times New Roman" w:eastAsia="仿宋_GB2312"/>
          <w:color w:val="auto"/>
          <w:kern w:val="0"/>
          <w:sz w:val="30"/>
          <w:szCs w:val="30"/>
        </w:rPr>
        <w:t>一期工程建设完工投入使用，远洋渔业海外布局更加优化合理</w:t>
      </w:r>
      <w:r>
        <w:rPr>
          <w:rFonts w:ascii="Times New Roman" w:hAnsi="Times New Roman" w:eastAsia="仿宋_GB2312"/>
          <w:color w:val="auto"/>
          <w:kern w:val="0"/>
          <w:sz w:val="30"/>
          <w:szCs w:val="30"/>
        </w:rPr>
        <w:t>。全市水产品产量达到125万吨，海洋生物食品产业获评2020年度山东省10</w:t>
      </w:r>
      <w:r>
        <w:rPr>
          <w:rFonts w:hint="eastAsia" w:ascii="Times New Roman" w:hAnsi="Times New Roman" w:eastAsia="仿宋_GB2312"/>
          <w:color w:val="auto"/>
          <w:kern w:val="0"/>
          <w:sz w:val="30"/>
          <w:szCs w:val="30"/>
        </w:rPr>
        <w:t>大</w:t>
      </w:r>
      <w:r>
        <w:rPr>
          <w:rFonts w:ascii="Times New Roman" w:hAnsi="Times New Roman" w:eastAsia="仿宋_GB2312"/>
          <w:color w:val="auto"/>
          <w:kern w:val="0"/>
          <w:sz w:val="30"/>
          <w:szCs w:val="30"/>
        </w:rPr>
        <w:t>特色产业集群之一。渔业总收入连续39年居全国县级首位</w:t>
      </w:r>
      <w:r>
        <w:rPr>
          <w:rFonts w:hint="eastAsia" w:ascii="Times New Roman" w:hAnsi="Times New Roman" w:eastAsia="仿宋_GB2312"/>
          <w:color w:val="auto"/>
          <w:kern w:val="0"/>
          <w:sz w:val="30"/>
          <w:szCs w:val="30"/>
        </w:rPr>
        <w:t>。</w:t>
      </w:r>
      <w:r>
        <w:rPr>
          <w:rFonts w:ascii="Times New Roman" w:hAnsi="Times New Roman" w:eastAsia="仿宋_GB2312"/>
          <w:b/>
          <w:bCs/>
          <w:color w:val="auto"/>
          <w:kern w:val="0"/>
          <w:sz w:val="30"/>
          <w:szCs w:val="30"/>
        </w:rPr>
        <w:t>工业经济提质增效。</w:t>
      </w:r>
      <w:r>
        <w:rPr>
          <w:rFonts w:ascii="Times New Roman" w:hAnsi="Times New Roman" w:eastAsia="仿宋_GB2312"/>
          <w:color w:val="auto"/>
          <w:kern w:val="0"/>
          <w:sz w:val="30"/>
          <w:szCs w:val="30"/>
        </w:rPr>
        <w:t>稀土材料国家工程研究中心分中心落地荣成。华能高温气冷堆进入设备调试阶段，国核大型先进压水堆双机组加速建设</w:t>
      </w:r>
      <w:r>
        <w:rPr>
          <w:rFonts w:hint="eastAsia" w:ascii="Times New Roman" w:hAnsi="Times New Roman" w:eastAsia="仿宋_GB2312"/>
          <w:color w:val="auto"/>
          <w:kern w:val="0"/>
          <w:sz w:val="30"/>
          <w:szCs w:val="30"/>
        </w:rPr>
        <w:t>，歌尔智能封测件、达因制药儿童综合制剂车间建成投产。8家规上房车企业年产销突破万辆，产值突破10亿元、增长20%。新增上云企业248家、省级“专精特新”企业10家、瞪羚企业3家</w:t>
      </w:r>
      <w:r>
        <w:rPr>
          <w:rFonts w:ascii="Times New Roman" w:hAnsi="Times New Roman" w:eastAsia="仿宋_GB2312"/>
          <w:color w:val="auto"/>
          <w:kern w:val="0"/>
          <w:sz w:val="30"/>
          <w:szCs w:val="30"/>
        </w:rPr>
        <w:t>。</w:t>
      </w:r>
      <w:r>
        <w:rPr>
          <w:rFonts w:ascii="Times New Roman" w:hAnsi="Times New Roman" w:eastAsia="仿宋_GB2312"/>
          <w:b/>
          <w:bCs/>
          <w:color w:val="auto"/>
          <w:kern w:val="0"/>
          <w:sz w:val="30"/>
          <w:szCs w:val="30"/>
        </w:rPr>
        <w:t>文旅经济多点开花。</w:t>
      </w:r>
      <w:r>
        <w:rPr>
          <w:rFonts w:ascii="Times New Roman" w:hAnsi="Times New Roman" w:eastAsia="仿宋_GB2312"/>
          <w:color w:val="auto"/>
          <w:kern w:val="0"/>
          <w:sz w:val="30"/>
          <w:szCs w:val="30"/>
        </w:rPr>
        <w:t>获批国家全域旅游示范区。槎山景区被确定为中国森林养生基地，东楮岛、烟墩角村获评国家和省级乡村旅游重点村（精品旅游特色村），那香海文旅度假小镇入选山东省康养旅游示范基地，悦多小镇获评省级特色服务业小镇，4个文旅项目被列入省级服务业载体项目，发挥</w:t>
      </w:r>
      <w:r>
        <w:rPr>
          <w:rFonts w:hint="eastAsia" w:ascii="Times New Roman" w:hAnsi="Times New Roman" w:eastAsia="仿宋_GB2312"/>
          <w:color w:val="auto"/>
          <w:kern w:val="0"/>
          <w:sz w:val="30"/>
          <w:szCs w:val="30"/>
          <w:lang w:eastAsia="zh-CN"/>
        </w:rPr>
        <w:t>“</w:t>
      </w:r>
      <w:r>
        <w:rPr>
          <w:rFonts w:ascii="Times New Roman" w:hAnsi="Times New Roman" w:eastAsia="仿宋_GB2312"/>
          <w:color w:val="auto"/>
          <w:kern w:val="0"/>
          <w:sz w:val="30"/>
          <w:szCs w:val="30"/>
        </w:rPr>
        <w:t>中国大天鹅之乡</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旅游优势，承办全省</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冬游齐鲁·好客山东惠民季</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启动仪式，服务业综合改革试点中期评估全省第一。支持发展休闲渔业、休闲海钓、海上观光采摘和渔家乐等，实现生产、生态、生活和谐发展，叫响</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自由呼吸·自在荣成</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品牌</w:t>
      </w:r>
      <w:r>
        <w:rPr>
          <w:rFonts w:hint="eastAsia" w:ascii="Times New Roman" w:hAnsi="Times New Roman" w:eastAsia="仿宋_GB2312"/>
          <w:color w:val="auto"/>
          <w:kern w:val="0"/>
          <w:sz w:val="30"/>
          <w:szCs w:val="30"/>
        </w:rPr>
        <w:t>。</w:t>
      </w:r>
      <w:r>
        <w:rPr>
          <w:rFonts w:hint="eastAsia" w:ascii="Times New Roman" w:hAnsi="Times New Roman" w:eastAsia="仿宋_GB2312"/>
          <w:b/>
          <w:bCs/>
          <w:color w:val="auto"/>
          <w:kern w:val="0"/>
          <w:sz w:val="30"/>
          <w:szCs w:val="30"/>
        </w:rPr>
        <w:t>现代农业</w:t>
      </w:r>
      <w:r>
        <w:rPr>
          <w:rFonts w:ascii="Times New Roman" w:hAnsi="Times New Roman" w:eastAsia="仿宋_GB2312"/>
          <w:b/>
          <w:bCs/>
          <w:color w:val="auto"/>
          <w:kern w:val="0"/>
          <w:sz w:val="30"/>
          <w:szCs w:val="30"/>
        </w:rPr>
        <w:t>全面起势。</w:t>
      </w:r>
      <w:r>
        <w:rPr>
          <w:rFonts w:ascii="Times New Roman" w:hAnsi="Times New Roman" w:eastAsia="仿宋_GB2312"/>
          <w:color w:val="auto"/>
          <w:kern w:val="0"/>
          <w:sz w:val="30"/>
          <w:szCs w:val="30"/>
        </w:rPr>
        <w:t>出台</w:t>
      </w:r>
      <w:r>
        <w:rPr>
          <w:rFonts w:hint="eastAsia" w:ascii="Times New Roman" w:hAnsi="Times New Roman" w:eastAsia="仿宋_GB2312"/>
          <w:color w:val="auto"/>
          <w:kern w:val="0"/>
          <w:sz w:val="30"/>
          <w:szCs w:val="30"/>
        </w:rPr>
        <w:t>了</w:t>
      </w:r>
      <w:r>
        <w:rPr>
          <w:rFonts w:ascii="Times New Roman" w:hAnsi="Times New Roman" w:eastAsia="仿宋_GB2312"/>
          <w:color w:val="auto"/>
          <w:kern w:val="0"/>
          <w:sz w:val="30"/>
          <w:szCs w:val="30"/>
        </w:rPr>
        <w:t>《推动优质高效农业发展的实施意见》，建设高标准农田4.6万亩，落地特色农业项目168个</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现代苹果种植面积突破10万亩，489个村成立村党支部领办合作社，252个集体收入五万元以下村全部销号，60%的行政村集体收入达到10万元。</w:t>
      </w:r>
    </w:p>
    <w:p>
      <w:pPr>
        <w:autoSpaceDE w:val="0"/>
        <w:autoSpaceDN w:val="0"/>
        <w:adjustRightInd w:val="0"/>
        <w:spacing w:line="360" w:lineRule="auto"/>
        <w:ind w:firstLine="602" w:firstLineChars="200"/>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改革创新和扩大开放两轮驱动激发新活力。</w:t>
      </w:r>
      <w:r>
        <w:rPr>
          <w:rFonts w:ascii="Times New Roman" w:hAnsi="Times New Roman" w:eastAsia="仿宋_GB2312"/>
          <w:color w:val="auto"/>
          <w:kern w:val="0"/>
          <w:sz w:val="30"/>
          <w:szCs w:val="30"/>
        </w:rPr>
        <w:t>先行先试改革加快落地，先进制造业与现代服务业</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两业融合</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，农村综合改革获省级试点，信用建设、乡村治理、志愿服务等在省级以上推广。科技创新活力不断增强，被确定为全省技术转移先进县市、科技部</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百城百园</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行动城市。校地合作硕果累累，武汉理工大学威海研究院建成运营，与哈尔滨理工大学签订新时期共建四方协议。扩大对外开放亮点纷呈，在北京、上海、深圳举办3次大规模招商推介会，帮助企业开拓国内市场。成立跨境电子商务协会，与深圳跨境电商协会签署战略合作协议，跨境电商零售进出口实现翻倍增长。</w:t>
      </w:r>
    </w:p>
    <w:p>
      <w:pPr>
        <w:autoSpaceDE w:val="0"/>
        <w:autoSpaceDN w:val="0"/>
        <w:adjustRightInd w:val="0"/>
        <w:spacing w:line="360" w:lineRule="auto"/>
        <w:ind w:firstLine="602" w:firstLineChars="200"/>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精致城市和乡村振兴展现新面貌。城市规划设计更加精美。</w:t>
      </w:r>
      <w:r>
        <w:rPr>
          <w:rFonts w:ascii="Times New Roman" w:hAnsi="Times New Roman" w:eastAsia="仿宋_GB2312"/>
          <w:color w:val="auto"/>
          <w:kern w:val="0"/>
          <w:sz w:val="30"/>
          <w:szCs w:val="30"/>
        </w:rPr>
        <w:t>高标准设计半岛环海路、桑干河以西区域、城铁物流园规划，高质量做好控规调整完善，城市特色得到传承和发展。</w:t>
      </w:r>
      <w:r>
        <w:rPr>
          <w:rFonts w:ascii="Times New Roman" w:hAnsi="Times New Roman" w:eastAsia="仿宋_GB2312"/>
          <w:b/>
          <w:bCs/>
          <w:color w:val="auto"/>
          <w:kern w:val="0"/>
          <w:sz w:val="30"/>
          <w:szCs w:val="30"/>
        </w:rPr>
        <w:t>城市细节形象加快改善。</w:t>
      </w:r>
      <w:r>
        <w:rPr>
          <w:rFonts w:ascii="Times New Roman" w:hAnsi="Times New Roman" w:eastAsia="仿宋_GB2312"/>
          <w:color w:val="auto"/>
          <w:kern w:val="0"/>
          <w:sz w:val="30"/>
          <w:szCs w:val="30"/>
        </w:rPr>
        <w:t>试点推行城区生活垃圾分类，成山大道、高铁站及樱花湖周边夜景亮化和东西入城口15万平方米绿化色彩得到全面提升，整治裸露土地1.5万亩。</w:t>
      </w:r>
      <w:r>
        <w:rPr>
          <w:rFonts w:ascii="Times New Roman" w:hAnsi="Times New Roman" w:eastAsia="仿宋_GB2312"/>
          <w:b/>
          <w:bCs/>
          <w:color w:val="auto"/>
          <w:kern w:val="0"/>
          <w:sz w:val="30"/>
          <w:szCs w:val="30"/>
        </w:rPr>
        <w:t>镇村建设日新月异。</w:t>
      </w:r>
      <w:r>
        <w:rPr>
          <w:rFonts w:ascii="Times New Roman" w:hAnsi="Times New Roman" w:eastAsia="仿宋_GB2312"/>
          <w:color w:val="auto"/>
          <w:kern w:val="0"/>
          <w:sz w:val="30"/>
          <w:szCs w:val="30"/>
        </w:rPr>
        <w:t>精致小镇建设全面开花，新完成</w:t>
      </w:r>
      <w:r>
        <w:rPr>
          <w:rFonts w:hint="eastAsia" w:ascii="Times New Roman" w:hAnsi="Times New Roman" w:eastAsia="仿宋_GB2312"/>
          <w:color w:val="auto"/>
          <w:kern w:val="0"/>
          <w:sz w:val="30"/>
          <w:szCs w:val="30"/>
        </w:rPr>
        <w:t>777</w:t>
      </w:r>
      <w:r>
        <w:rPr>
          <w:rFonts w:ascii="Times New Roman" w:hAnsi="Times New Roman" w:eastAsia="仿宋_GB2312"/>
          <w:color w:val="auto"/>
          <w:kern w:val="0"/>
          <w:sz w:val="30"/>
          <w:szCs w:val="30"/>
        </w:rPr>
        <w:t>个村</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户户通</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改造、445个村绿化、446个村生活污水治理，实施清洁供暖1.1万户，新增省市级美丽乡村26个、省级清洁村庄200个，被评为全国村庄清洁行动先进县、全国农村生活垃圾分类和资源化利用示范县，获得国务院通报表彰。</w:t>
      </w:r>
      <w:r>
        <w:rPr>
          <w:rFonts w:hint="eastAsia" w:ascii="Times New Roman" w:hAnsi="Times New Roman" w:eastAsia="仿宋_GB2312"/>
          <w:color w:val="auto"/>
          <w:kern w:val="0"/>
          <w:sz w:val="30"/>
          <w:szCs w:val="30"/>
        </w:rPr>
        <w:t>城镇污水处理基本实现全覆盖，</w:t>
      </w:r>
      <w:r>
        <w:rPr>
          <w:rFonts w:ascii="Times New Roman" w:hAnsi="Times New Roman" w:eastAsia="仿宋_GB2312"/>
          <w:color w:val="auto"/>
          <w:kern w:val="0"/>
          <w:sz w:val="30"/>
          <w:szCs w:val="30"/>
        </w:rPr>
        <w:t>全国文明城市通过复审，国家卫生城市、全国双拥模范城冠落荣成，被确定为全国新时代文明实践中心建设先行试验区。</w:t>
      </w:r>
    </w:p>
    <w:p>
      <w:pPr>
        <w:autoSpaceDE w:val="0"/>
        <w:autoSpaceDN w:val="0"/>
        <w:adjustRightInd w:val="0"/>
        <w:spacing w:line="360" w:lineRule="auto"/>
        <w:ind w:firstLine="602" w:firstLineChars="200"/>
        <w:rPr>
          <w:rFonts w:ascii="Times New Roman" w:hAnsi="Times New Roman" w:eastAsia="仿宋_GB2312"/>
          <w:b/>
          <w:bCs/>
          <w:color w:val="auto"/>
          <w:kern w:val="0"/>
          <w:sz w:val="30"/>
          <w:szCs w:val="30"/>
        </w:rPr>
      </w:pPr>
      <w:r>
        <w:rPr>
          <w:rFonts w:hint="eastAsia" w:ascii="楷体_GB2312" w:hAnsi="楷体_GB2312" w:eastAsia="楷体_GB2312" w:cs="楷体_GB2312"/>
          <w:b/>
          <w:bCs/>
          <w:color w:val="auto"/>
          <w:kern w:val="0"/>
          <w:sz w:val="30"/>
          <w:szCs w:val="30"/>
        </w:rPr>
        <w:t>生态环境质量和生态文明建设斩获新成绩。</w:t>
      </w:r>
      <w:r>
        <w:rPr>
          <w:rFonts w:ascii="Times New Roman" w:hAnsi="Times New Roman" w:eastAsia="仿宋_GB2312"/>
          <w:color w:val="auto"/>
          <w:kern w:val="0"/>
          <w:sz w:val="30"/>
          <w:szCs w:val="30"/>
        </w:rPr>
        <w:t>环境空气质量连续</w:t>
      </w:r>
      <w:r>
        <w:rPr>
          <w:rFonts w:hint="eastAsia" w:ascii="Times New Roman" w:hAnsi="Times New Roman" w:eastAsia="仿宋_GB2312"/>
          <w:color w:val="auto"/>
          <w:kern w:val="0"/>
          <w:sz w:val="30"/>
          <w:szCs w:val="30"/>
        </w:rPr>
        <w:t>六</w:t>
      </w:r>
      <w:r>
        <w:rPr>
          <w:rFonts w:ascii="Times New Roman" w:hAnsi="Times New Roman" w:eastAsia="仿宋_GB2312"/>
          <w:color w:val="auto"/>
          <w:kern w:val="0"/>
          <w:sz w:val="30"/>
          <w:szCs w:val="30"/>
        </w:rPr>
        <w:t>年稳定达到国家二级标准，综合指数继续保持全省第一。2020年，全市3条主要河流均达到水质目标要求。全市4个集中式饮用水水源地水质保持优良状态。全市近岸海域海水水质</w:t>
      </w:r>
      <w:r>
        <w:rPr>
          <w:rFonts w:hint="eastAsia" w:ascii="Times New Roman" w:hAnsi="Times New Roman" w:eastAsia="仿宋_GB2312"/>
          <w:color w:val="auto"/>
          <w:kern w:val="0"/>
          <w:sz w:val="30"/>
          <w:szCs w:val="30"/>
        </w:rPr>
        <w:t>持续保持</w:t>
      </w:r>
      <w:r>
        <w:rPr>
          <w:rFonts w:ascii="Times New Roman" w:hAnsi="Times New Roman" w:eastAsia="仿宋_GB2312"/>
          <w:color w:val="auto"/>
          <w:kern w:val="0"/>
          <w:sz w:val="30"/>
          <w:szCs w:val="30"/>
        </w:rPr>
        <w:t>优良状态</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近岸海域环境功能区达标率为100%。</w:t>
      </w:r>
      <w:r>
        <w:rPr>
          <w:rFonts w:hint="eastAsia" w:ascii="Times New Roman" w:hAnsi="Times New Roman" w:eastAsia="仿宋_GB2312"/>
          <w:color w:val="auto"/>
          <w:kern w:val="0"/>
          <w:sz w:val="30"/>
          <w:szCs w:val="30"/>
        </w:rPr>
        <w:t>创新实施河湖湾长“三长合一”管理体制，开发应用河湖湾长智慧监管平台。</w:t>
      </w:r>
      <w:r>
        <w:rPr>
          <w:rFonts w:ascii="Times New Roman" w:hAnsi="Times New Roman" w:eastAsia="仿宋_GB2312"/>
          <w:color w:val="auto"/>
          <w:kern w:val="0"/>
          <w:sz w:val="30"/>
          <w:szCs w:val="30"/>
        </w:rPr>
        <w:t>作为试点区县先行先试，组织了黑臭水体治理专家现场调研会，</w:t>
      </w:r>
      <w:r>
        <w:rPr>
          <w:rFonts w:hint="eastAsia" w:ascii="Times New Roman" w:hAnsi="Times New Roman" w:eastAsia="仿宋_GB2312"/>
          <w:color w:val="auto"/>
          <w:kern w:val="0"/>
          <w:sz w:val="30"/>
          <w:szCs w:val="30"/>
        </w:rPr>
        <w:t>率先</w:t>
      </w:r>
      <w:r>
        <w:rPr>
          <w:rFonts w:ascii="Times New Roman" w:hAnsi="Times New Roman" w:eastAsia="仿宋_GB2312"/>
          <w:color w:val="auto"/>
          <w:kern w:val="0"/>
          <w:sz w:val="30"/>
          <w:szCs w:val="30"/>
        </w:rPr>
        <w:t>完成了黑臭水体治理。</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无废城市</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建设全面展开，固废综合处理和应用产业园</w:t>
      </w:r>
      <w:r>
        <w:rPr>
          <w:rFonts w:hint="eastAsia" w:ascii="Times New Roman" w:hAnsi="Times New Roman" w:eastAsia="仿宋_GB2312"/>
          <w:color w:val="auto"/>
          <w:kern w:val="0"/>
          <w:sz w:val="30"/>
          <w:szCs w:val="30"/>
        </w:rPr>
        <w:t>建成并投入使用，逐步形成“荣成模式”。</w:t>
      </w:r>
      <w:r>
        <w:rPr>
          <w:rFonts w:ascii="Times New Roman" w:hAnsi="Times New Roman" w:eastAsia="仿宋_GB2312"/>
          <w:color w:val="auto"/>
          <w:kern w:val="0"/>
          <w:sz w:val="30"/>
          <w:szCs w:val="30"/>
        </w:rPr>
        <w:t>柴油货车、燃煤锅炉、挥发性有机物等专项整治取得实效。修复治理12个废弃矿山，创建4个绿色矿山。桑沟湾城市湿地公园等4个河湖被评为</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省级美丽示范河湖</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，好运角旅游度假区获评</w:t>
      </w:r>
      <w:r>
        <w:rPr>
          <w:rFonts w:hint="eastAsia" w:ascii="Times New Roman" w:hAnsi="Times New Roman" w:eastAsia="仿宋_GB2312"/>
          <w:color w:val="auto"/>
          <w:kern w:val="0"/>
          <w:sz w:val="30"/>
          <w:szCs w:val="30"/>
          <w:lang w:val="en-US" w:eastAsia="zh-CN"/>
        </w:rPr>
        <w:t>山东</w:t>
      </w:r>
      <w:r>
        <w:rPr>
          <w:rFonts w:ascii="Times New Roman" w:hAnsi="Times New Roman" w:eastAsia="仿宋_GB2312"/>
          <w:color w:val="auto"/>
          <w:kern w:val="0"/>
          <w:sz w:val="30"/>
          <w:szCs w:val="30"/>
        </w:rPr>
        <w:t>省</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绿水青山就是金山银山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实践创新基地。</w:t>
      </w:r>
    </w:p>
    <w:bookmarkEnd w:id="31"/>
    <w:p>
      <w:pPr>
        <w:keepNext w:val="0"/>
        <w:keepLines w:val="0"/>
        <w:pageBreakBefore w:val="0"/>
        <w:widowControl w:val="0"/>
        <w:kinsoku/>
        <w:wordWrap/>
        <w:overflowPunct/>
        <w:topLinePunct w:val="0"/>
        <w:autoSpaceDE/>
        <w:autoSpaceDN/>
        <w:bidi w:val="0"/>
        <w:adjustRightInd w:val="0"/>
        <w:snapToGrid w:val="0"/>
        <w:spacing w:before="144" w:beforeLines="50" w:after="144" w:afterLines="50" w:line="360" w:lineRule="auto"/>
        <w:jc w:val="center"/>
        <w:textAlignment w:val="auto"/>
        <w:outlineLvl w:val="1"/>
        <w:rPr>
          <w:rFonts w:hint="eastAsia" w:ascii="楷体_GB2312" w:hAnsi="楷体_GB2312" w:eastAsia="楷体_GB2312" w:cs="楷体_GB2312"/>
          <w:b/>
          <w:bCs/>
          <w:color w:val="auto"/>
          <w:sz w:val="36"/>
          <w:szCs w:val="36"/>
        </w:rPr>
      </w:pPr>
      <w:bookmarkStart w:id="35" w:name="_Toc11285"/>
      <w:bookmarkStart w:id="36" w:name="_Toc11173"/>
      <w:bookmarkStart w:id="37" w:name="_Toc20484"/>
      <w:bookmarkStart w:id="38" w:name="_Toc17156"/>
      <w:r>
        <w:rPr>
          <w:rFonts w:hint="eastAsia" w:ascii="楷体_GB2312" w:hAnsi="楷体_GB2312" w:eastAsia="楷体_GB2312" w:cs="楷体_GB2312"/>
          <w:b/>
          <w:bCs/>
          <w:color w:val="auto"/>
          <w:sz w:val="36"/>
          <w:szCs w:val="36"/>
        </w:rPr>
        <w:t>第二条</w:t>
      </w:r>
      <w:r>
        <w:rPr>
          <w:rFonts w:hint="eastAsia" w:ascii="楷体_GB2312" w:hAnsi="楷体_GB2312" w:eastAsia="楷体_GB2312" w:cs="楷体_GB2312"/>
          <w:b/>
          <w:bCs/>
          <w:color w:val="auto"/>
          <w:sz w:val="36"/>
          <w:szCs w:val="36"/>
          <w:lang w:val="en-US" w:eastAsia="zh-CN"/>
        </w:rPr>
        <w:t xml:space="preserve">  </w:t>
      </w:r>
      <w:r>
        <w:rPr>
          <w:rFonts w:hint="eastAsia" w:ascii="楷体_GB2312" w:hAnsi="楷体_GB2312" w:eastAsia="楷体_GB2312" w:cs="楷体_GB2312"/>
          <w:b/>
          <w:bCs/>
          <w:color w:val="auto"/>
          <w:sz w:val="36"/>
          <w:szCs w:val="36"/>
        </w:rPr>
        <w:t>存在问题与机遇挑战</w:t>
      </w:r>
      <w:bookmarkEnd w:id="35"/>
      <w:bookmarkEnd w:id="36"/>
      <w:bookmarkEnd w:id="37"/>
      <w:bookmarkEnd w:id="38"/>
    </w:p>
    <w:p>
      <w:pPr>
        <w:spacing w:line="360" w:lineRule="auto"/>
        <w:ind w:firstLine="643" w:firstLineChars="200"/>
        <w:outlineLvl w:val="2"/>
        <w:rPr>
          <w:rFonts w:ascii="Times New Roman" w:hAnsi="Times New Roman" w:eastAsia="仿宋_GB2312"/>
          <w:b/>
          <w:color w:val="auto"/>
          <w:sz w:val="32"/>
          <w:szCs w:val="21"/>
        </w:rPr>
      </w:pPr>
      <w:bookmarkStart w:id="39" w:name="_Toc30561"/>
      <w:bookmarkStart w:id="40" w:name="_Toc22842"/>
      <w:bookmarkStart w:id="41" w:name="_Toc11078"/>
      <w:r>
        <w:rPr>
          <w:rFonts w:ascii="Times New Roman" w:hAnsi="Times New Roman" w:eastAsia="仿宋_GB2312"/>
          <w:b/>
          <w:color w:val="auto"/>
          <w:sz w:val="32"/>
          <w:szCs w:val="21"/>
        </w:rPr>
        <w:t>（一）存在问题</w:t>
      </w:r>
      <w:bookmarkEnd w:id="39"/>
      <w:bookmarkEnd w:id="40"/>
      <w:bookmarkEnd w:id="41"/>
    </w:p>
    <w:p>
      <w:pPr>
        <w:autoSpaceDE w:val="0"/>
        <w:autoSpaceDN w:val="0"/>
        <w:adjustRightInd w:val="0"/>
        <w:spacing w:line="360" w:lineRule="auto"/>
        <w:ind w:firstLine="602" w:firstLineChars="200"/>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生态文明制度体系还需完善。</w:t>
      </w:r>
      <w:r>
        <w:rPr>
          <w:rFonts w:ascii="Times New Roman" w:hAnsi="Times New Roman" w:eastAsia="仿宋_GB2312"/>
          <w:color w:val="auto"/>
          <w:kern w:val="0"/>
          <w:sz w:val="30"/>
          <w:szCs w:val="30"/>
        </w:rPr>
        <w:t>目前荣成市的生态环境保护等相关制度已基本建立并得到执行，现行各项制度为生态文明建设奠定了良好的基础。但相应的政策法规、制度尚不健全，全面推进生态文明建设的相关政策体系尚未完全建立。生态文明建设考核机制有待加强，生态补偿机制有待形成，联防联控机制有待探索。环境与发展综合决策机制、环境管理体制、环境科技创新机制、公众参与机制、多元化投入机制需要进一步完善。</w:t>
      </w:r>
    </w:p>
    <w:p>
      <w:pPr>
        <w:autoSpaceDE w:val="0"/>
        <w:autoSpaceDN w:val="0"/>
        <w:adjustRightInd w:val="0"/>
        <w:spacing w:line="360" w:lineRule="auto"/>
        <w:ind w:firstLine="602" w:firstLineChars="200"/>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lang w:val="zh-CN"/>
        </w:rPr>
        <w:t>环境质量</w:t>
      </w:r>
      <w:r>
        <w:rPr>
          <w:rFonts w:hint="eastAsia" w:ascii="楷体_GB2312" w:hAnsi="楷体_GB2312" w:eastAsia="楷体_GB2312" w:cs="楷体_GB2312"/>
          <w:b/>
          <w:bCs/>
          <w:color w:val="auto"/>
          <w:kern w:val="0"/>
          <w:sz w:val="30"/>
          <w:szCs w:val="30"/>
          <w:lang w:val="en-US" w:eastAsia="zh-CN"/>
        </w:rPr>
        <w:t>稳中向好</w:t>
      </w:r>
      <w:r>
        <w:rPr>
          <w:rFonts w:hint="eastAsia" w:ascii="楷体_GB2312" w:hAnsi="楷体_GB2312" w:eastAsia="楷体_GB2312" w:cs="楷体_GB2312"/>
          <w:b/>
          <w:bCs/>
          <w:color w:val="auto"/>
          <w:kern w:val="0"/>
          <w:sz w:val="30"/>
          <w:szCs w:val="30"/>
        </w:rPr>
        <w:t>存在</w:t>
      </w:r>
      <w:r>
        <w:rPr>
          <w:rFonts w:hint="eastAsia" w:ascii="楷体_GB2312" w:hAnsi="楷体_GB2312" w:eastAsia="楷体_GB2312" w:cs="楷体_GB2312"/>
          <w:b/>
          <w:bCs/>
          <w:color w:val="auto"/>
          <w:kern w:val="0"/>
          <w:sz w:val="30"/>
          <w:szCs w:val="30"/>
          <w:lang w:val="zh-CN"/>
        </w:rPr>
        <w:t>压力</w:t>
      </w:r>
      <w:r>
        <w:rPr>
          <w:rFonts w:hint="eastAsia" w:ascii="楷体_GB2312" w:hAnsi="楷体_GB2312" w:eastAsia="楷体_GB2312" w:cs="楷体_GB2312"/>
          <w:b/>
          <w:bCs/>
          <w:color w:val="auto"/>
          <w:kern w:val="0"/>
          <w:sz w:val="30"/>
          <w:szCs w:val="30"/>
        </w:rPr>
        <w:t>。</w:t>
      </w:r>
      <w:r>
        <w:rPr>
          <w:rFonts w:ascii="Times New Roman" w:hAnsi="Times New Roman" w:eastAsia="仿宋_GB2312"/>
          <w:color w:val="auto"/>
          <w:kern w:val="0"/>
          <w:sz w:val="30"/>
          <w:szCs w:val="30"/>
        </w:rPr>
        <w:t>目前，臭氧成为威胁全市环境空气质量全面提升的主要因子，</w:t>
      </w:r>
      <w:r>
        <w:rPr>
          <w:rFonts w:hint="eastAsia" w:ascii="Times New Roman" w:hAnsi="Times New Roman" w:eastAsia="仿宋_GB2312"/>
          <w:color w:val="auto"/>
          <w:kern w:val="0"/>
          <w:sz w:val="30"/>
          <w:szCs w:val="30"/>
          <w:lang w:val="en-US" w:eastAsia="zh-CN"/>
        </w:rPr>
        <w:t>遏制</w:t>
      </w:r>
      <w:r>
        <w:rPr>
          <w:rFonts w:ascii="Times New Roman" w:hAnsi="Times New Roman" w:eastAsia="仿宋_GB2312"/>
          <w:color w:val="auto"/>
          <w:kern w:val="0"/>
          <w:sz w:val="30"/>
          <w:szCs w:val="30"/>
        </w:rPr>
        <w:t>臭氧</w:t>
      </w:r>
      <w:r>
        <w:rPr>
          <w:rFonts w:hint="eastAsia" w:ascii="Times New Roman" w:hAnsi="Times New Roman" w:eastAsia="仿宋_GB2312"/>
          <w:color w:val="auto"/>
          <w:kern w:val="0"/>
          <w:sz w:val="30"/>
          <w:szCs w:val="30"/>
          <w:lang w:val="en-US" w:eastAsia="zh-CN"/>
        </w:rPr>
        <w:t>浓度上升趋势刻不容缓</w:t>
      </w:r>
      <w:r>
        <w:rPr>
          <w:rFonts w:ascii="Times New Roman" w:hAnsi="Times New Roman" w:eastAsia="仿宋_GB2312"/>
          <w:color w:val="auto"/>
          <w:kern w:val="0"/>
          <w:sz w:val="30"/>
          <w:szCs w:val="30"/>
        </w:rPr>
        <w:t>。</w:t>
      </w:r>
      <w:r>
        <w:rPr>
          <w:rFonts w:hint="eastAsia" w:ascii="Times New Roman" w:hAnsi="Times New Roman" w:eastAsia="仿宋_GB2312"/>
          <w:color w:val="auto"/>
          <w:kern w:val="0"/>
          <w:sz w:val="30"/>
          <w:szCs w:val="30"/>
        </w:rPr>
        <w:t>沽河水质</w:t>
      </w:r>
      <w:r>
        <w:rPr>
          <w:rFonts w:ascii="Times New Roman" w:hAnsi="Times New Roman" w:eastAsia="仿宋_GB2312"/>
          <w:color w:val="auto"/>
          <w:kern w:val="0"/>
          <w:sz w:val="30"/>
          <w:szCs w:val="30"/>
        </w:rPr>
        <w:t>稳定</w:t>
      </w:r>
      <w:r>
        <w:rPr>
          <w:rFonts w:hint="eastAsia" w:ascii="Times New Roman" w:hAnsi="Times New Roman" w:eastAsia="仿宋_GB2312"/>
          <w:color w:val="auto"/>
          <w:kern w:val="0"/>
          <w:sz w:val="30"/>
          <w:szCs w:val="30"/>
        </w:rPr>
        <w:t>达到Ⅲ类标准</w:t>
      </w:r>
      <w:r>
        <w:rPr>
          <w:rFonts w:ascii="Times New Roman" w:hAnsi="Times New Roman" w:eastAsia="仿宋_GB2312"/>
          <w:color w:val="auto"/>
          <w:kern w:val="0"/>
          <w:sz w:val="30"/>
          <w:szCs w:val="30"/>
        </w:rPr>
        <w:t>还</w:t>
      </w:r>
      <w:r>
        <w:rPr>
          <w:rFonts w:hint="eastAsia" w:ascii="Times New Roman" w:hAnsi="Times New Roman" w:eastAsia="仿宋_GB2312"/>
          <w:color w:val="auto"/>
          <w:kern w:val="0"/>
          <w:sz w:val="30"/>
          <w:szCs w:val="30"/>
        </w:rPr>
        <w:t>存在</w:t>
      </w:r>
      <w:r>
        <w:rPr>
          <w:rFonts w:ascii="Times New Roman" w:hAnsi="Times New Roman" w:eastAsia="仿宋_GB2312"/>
          <w:color w:val="auto"/>
          <w:kern w:val="0"/>
          <w:sz w:val="30"/>
          <w:szCs w:val="30"/>
        </w:rPr>
        <w:t>一定困难</w:t>
      </w:r>
      <w:r>
        <w:rPr>
          <w:rFonts w:hint="eastAsia" w:ascii="Times New Roman" w:hAnsi="Times New Roman" w:eastAsia="仿宋_GB2312"/>
          <w:color w:val="auto"/>
          <w:kern w:val="0"/>
          <w:sz w:val="30"/>
          <w:szCs w:val="30"/>
          <w:lang w:eastAsia="zh-CN"/>
        </w:rPr>
        <w:t>。</w:t>
      </w:r>
      <w:r>
        <w:rPr>
          <w:rFonts w:ascii="Times New Roman" w:hAnsi="Times New Roman" w:eastAsia="仿宋_GB2312"/>
          <w:color w:val="auto"/>
          <w:kern w:val="0"/>
          <w:sz w:val="30"/>
          <w:szCs w:val="30"/>
        </w:rPr>
        <w:t>水资源</w:t>
      </w:r>
      <w:r>
        <w:rPr>
          <w:rFonts w:hint="eastAsia" w:ascii="Times New Roman" w:hAnsi="Times New Roman" w:eastAsia="仿宋_GB2312"/>
          <w:color w:val="auto"/>
          <w:kern w:val="0"/>
          <w:sz w:val="30"/>
          <w:szCs w:val="30"/>
        </w:rPr>
        <w:t>缺乏、</w:t>
      </w:r>
      <w:r>
        <w:rPr>
          <w:rFonts w:ascii="Times New Roman" w:hAnsi="Times New Roman" w:eastAsia="仿宋_GB2312"/>
          <w:color w:val="auto"/>
          <w:kern w:val="0"/>
          <w:sz w:val="30"/>
          <w:szCs w:val="30"/>
        </w:rPr>
        <w:t>水生态问题比较突出。</w:t>
      </w:r>
      <w:r>
        <w:rPr>
          <w:rFonts w:hint="eastAsia" w:ascii="Times New Roman" w:hAnsi="Times New Roman" w:eastAsia="仿宋_GB2312"/>
          <w:color w:val="auto"/>
          <w:kern w:val="0"/>
          <w:sz w:val="30"/>
          <w:szCs w:val="30"/>
        </w:rPr>
        <w:t>水土保持</w:t>
      </w:r>
      <w:r>
        <w:rPr>
          <w:rFonts w:hint="eastAsia" w:ascii="Times New Roman" w:hAnsi="Times New Roman" w:eastAsia="仿宋_GB2312"/>
          <w:color w:val="auto"/>
          <w:kern w:val="0"/>
          <w:sz w:val="30"/>
          <w:szCs w:val="30"/>
          <w:lang w:val="en-US" w:eastAsia="zh-CN"/>
        </w:rPr>
        <w:t>虽</w:t>
      </w:r>
      <w:r>
        <w:rPr>
          <w:rFonts w:hint="eastAsia" w:ascii="Times New Roman" w:hAnsi="Times New Roman" w:eastAsia="仿宋_GB2312"/>
          <w:color w:val="auto"/>
          <w:kern w:val="0"/>
          <w:sz w:val="30"/>
          <w:szCs w:val="30"/>
        </w:rPr>
        <w:t>取得了显著成效，但人为水土流失尚未从根本上得到遏制</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rPr>
        <w:t>土壤基础肥力下降，海水入侵造成土壤次生盐碱化</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rPr>
        <w:t>土壤沙砾化，土壤生态环境相对脆弱。</w:t>
      </w:r>
      <w:r>
        <w:rPr>
          <w:rFonts w:ascii="Times New Roman" w:hAnsi="Times New Roman" w:eastAsia="仿宋_GB2312"/>
          <w:color w:val="auto"/>
          <w:kern w:val="0"/>
          <w:sz w:val="30"/>
          <w:szCs w:val="30"/>
        </w:rPr>
        <w:t>传统工程治污提升环境质量的潜力有限，发挥生态环境资本优势，通过</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两山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转化助力经济社会高质量发展的实践路径还有待挖掘。</w:t>
      </w:r>
    </w:p>
    <w:p>
      <w:pPr>
        <w:autoSpaceDE w:val="0"/>
        <w:autoSpaceDN w:val="0"/>
        <w:adjustRightInd w:val="0"/>
        <w:spacing w:line="360" w:lineRule="auto"/>
        <w:ind w:firstLine="602" w:firstLineChars="200"/>
        <w:jc w:val="left"/>
        <w:rPr>
          <w:rFonts w:ascii="Times New Roman" w:hAnsi="Times New Roman" w:eastAsia="仿宋_GB2312"/>
          <w:b/>
          <w:color w:val="auto"/>
          <w:sz w:val="32"/>
          <w:szCs w:val="21"/>
        </w:rPr>
      </w:pPr>
      <w:r>
        <w:rPr>
          <w:rFonts w:hint="eastAsia" w:ascii="楷体_GB2312" w:hAnsi="楷体_GB2312" w:eastAsia="楷体_GB2312" w:cs="楷体_GB2312"/>
          <w:b/>
          <w:bCs/>
          <w:color w:val="auto"/>
          <w:kern w:val="0"/>
          <w:sz w:val="30"/>
          <w:szCs w:val="30"/>
          <w:lang w:val="zh-CN"/>
        </w:rPr>
        <w:t>环境基础设施有待完善。</w:t>
      </w:r>
      <w:r>
        <w:rPr>
          <w:rFonts w:ascii="Times New Roman" w:hAnsi="Times New Roman" w:eastAsia="仿宋_GB2312"/>
          <w:color w:val="auto"/>
          <w:kern w:val="0"/>
          <w:sz w:val="30"/>
          <w:szCs w:val="30"/>
        </w:rPr>
        <w:t>在当前城市人居建设过程中，主要还是考虑绿化、美化、亮化等物质基础设施建设，生态循环的理念在城市的建设中还没有</w:t>
      </w:r>
      <w:r>
        <w:rPr>
          <w:rFonts w:hint="eastAsia" w:ascii="Times New Roman" w:hAnsi="Times New Roman" w:eastAsia="仿宋_GB2312"/>
          <w:color w:val="auto"/>
          <w:kern w:val="0"/>
          <w:sz w:val="30"/>
          <w:szCs w:val="30"/>
          <w:lang w:val="en-US" w:eastAsia="zh-CN"/>
        </w:rPr>
        <w:t>更</w:t>
      </w:r>
      <w:r>
        <w:rPr>
          <w:rFonts w:ascii="Times New Roman" w:hAnsi="Times New Roman" w:eastAsia="仿宋_GB2312"/>
          <w:color w:val="auto"/>
          <w:kern w:val="0"/>
          <w:sz w:val="30"/>
          <w:szCs w:val="30"/>
        </w:rPr>
        <w:t>好地落实。如社区的中水回用缺乏，绿色交通的出行体系仍不完善，建筑的</w:t>
      </w:r>
      <w:r>
        <w:rPr>
          <w:rFonts w:hint="eastAsia" w:ascii="Times New Roman" w:hAnsi="Times New Roman" w:eastAsia="仿宋_GB2312"/>
          <w:color w:val="auto"/>
          <w:kern w:val="0"/>
          <w:sz w:val="30"/>
          <w:szCs w:val="30"/>
        </w:rPr>
        <w:t>绿色</w:t>
      </w:r>
      <w:r>
        <w:rPr>
          <w:rFonts w:ascii="Times New Roman" w:hAnsi="Times New Roman" w:eastAsia="仿宋_GB2312"/>
          <w:color w:val="auto"/>
          <w:kern w:val="0"/>
          <w:sz w:val="30"/>
          <w:szCs w:val="30"/>
        </w:rPr>
        <w:t>生态化设计和改造还需很大努力。</w:t>
      </w:r>
    </w:p>
    <w:p>
      <w:pPr>
        <w:spacing w:line="360" w:lineRule="auto"/>
        <w:ind w:firstLine="643" w:firstLineChars="200"/>
        <w:outlineLvl w:val="2"/>
        <w:rPr>
          <w:rFonts w:ascii="Times New Roman" w:hAnsi="Times New Roman" w:eastAsia="仿宋_GB2312"/>
          <w:b/>
          <w:color w:val="auto"/>
          <w:sz w:val="32"/>
          <w:szCs w:val="21"/>
        </w:rPr>
      </w:pPr>
      <w:bookmarkStart w:id="42" w:name="_Toc22893"/>
      <w:bookmarkStart w:id="43" w:name="_Toc11811"/>
      <w:bookmarkStart w:id="44" w:name="_Toc16498"/>
      <w:r>
        <w:rPr>
          <w:rFonts w:hint="eastAsia" w:ascii="Times New Roman" w:hAnsi="Times New Roman" w:eastAsia="仿宋_GB2312"/>
          <w:b/>
          <w:color w:val="auto"/>
          <w:sz w:val="32"/>
          <w:szCs w:val="21"/>
        </w:rPr>
        <w:t>（二）</w:t>
      </w:r>
      <w:r>
        <w:rPr>
          <w:rFonts w:ascii="Times New Roman" w:hAnsi="Times New Roman" w:eastAsia="仿宋_GB2312"/>
          <w:b/>
          <w:color w:val="auto"/>
          <w:sz w:val="32"/>
          <w:szCs w:val="21"/>
        </w:rPr>
        <w:t>机遇</w:t>
      </w:r>
      <w:bookmarkEnd w:id="42"/>
      <w:bookmarkEnd w:id="43"/>
      <w:bookmarkEnd w:id="44"/>
      <w:bookmarkStart w:id="45" w:name="_Toc4263"/>
    </w:p>
    <w:p>
      <w:pPr>
        <w:spacing w:line="360" w:lineRule="auto"/>
        <w:ind w:firstLine="602" w:firstLineChars="200"/>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党中央高度重视生态文明建设。</w:t>
      </w:r>
      <w:r>
        <w:rPr>
          <w:rFonts w:ascii="Times New Roman" w:hAnsi="Times New Roman" w:eastAsia="仿宋_GB2312"/>
          <w:color w:val="auto"/>
          <w:kern w:val="0"/>
          <w:sz w:val="30"/>
          <w:szCs w:val="30"/>
        </w:rPr>
        <w:t>党的十八大以来，</w:t>
      </w:r>
      <w:r>
        <w:rPr>
          <w:rFonts w:hint="eastAsia" w:ascii="Times New Roman" w:hAnsi="Times New Roman" w:eastAsia="仿宋_GB2312"/>
          <w:color w:val="auto"/>
          <w:kern w:val="0"/>
          <w:sz w:val="30"/>
          <w:szCs w:val="30"/>
        </w:rPr>
        <w:t>以习近平同志为核心的党中央</w:t>
      </w:r>
      <w:r>
        <w:rPr>
          <w:rFonts w:ascii="Times New Roman" w:hAnsi="Times New Roman" w:eastAsia="仿宋_GB2312"/>
          <w:color w:val="auto"/>
          <w:kern w:val="0"/>
          <w:sz w:val="30"/>
          <w:szCs w:val="30"/>
        </w:rPr>
        <w:t>把生态文明建设摆在全局工作的突出位置，生态文明建设从认识到实践都发生了历史性、转折性、全局性的变化。党的十九大提出，</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到2035年生态环境根本好转，美丽中国目标基本实现</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，明确了建设美丽中国的总体要求和实现路径。十九届五中全会提出，</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十四五</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生态文明建设实现新进步，实现更高质量、更可持续的发展。并提出加快推动绿色低碳发展、持续改善环境质量、提升生态系统质量和稳定性、全面提高资源利用效率。</w:t>
      </w:r>
    </w:p>
    <w:p>
      <w:pPr>
        <w:keepNext w:val="0"/>
        <w:keepLines w:val="0"/>
        <w:pageBreakBefore w:val="0"/>
        <w:widowControl w:val="0"/>
        <w:kinsoku/>
        <w:wordWrap/>
        <w:overflowPunct/>
        <w:topLinePunct w:val="0"/>
        <w:autoSpaceDE/>
        <w:autoSpaceDN/>
        <w:bidi w:val="0"/>
        <w:adjustRightInd w:val="0"/>
        <w:snapToGrid w:val="0"/>
        <w:spacing w:line="360" w:lineRule="auto"/>
        <w:ind w:firstLine="602" w:firstLineChars="200"/>
        <w:textAlignment w:val="auto"/>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“海洋强国”“海洋强省”战略为大力发展海洋经济提供了重大机遇。</w:t>
      </w:r>
      <w:r>
        <w:rPr>
          <w:rFonts w:hint="eastAsia" w:ascii="Times New Roman" w:hAnsi="Times New Roman" w:eastAsia="仿宋_GB2312"/>
          <w:color w:val="auto"/>
          <w:kern w:val="0"/>
          <w:sz w:val="30"/>
          <w:szCs w:val="30"/>
        </w:rPr>
        <w:t>建设海洋强国，是中国特色社会主义事业的重要组成部分。党中央、国务院历来高度重视海洋强国建设，并对山东海洋事业发展寄予厚望。“海洋兴则山东兴，海洋强则山东强”。威海市认真贯彻习近平总书记“更加注重经略海洋”的重要指示精神，坚持“科学用海、科技兴海、产业强海、生态护海、开放活海”五个导向，全力打造创新型国际海洋强市，相继获批“国家海洋生态文明建设示范区”“国家海洋高技术产业基地试点市”“国家海洋经济创新发展示范城市”“国家海洋经济发展示范区”。荣成市因海而兴，发展海洋经济有着得天独厚的优势，“海洋强国”“海洋强省”“海洋强市”的战略将助推荣成“向海图强、逐梦深蓝”</w:t>
      </w:r>
      <w:r>
        <w:rPr>
          <w:rFonts w:ascii="Times New Roman" w:hAnsi="Times New Roman" w:eastAsia="仿宋_GB2312"/>
          <w:color w:val="auto"/>
          <w:kern w:val="0"/>
          <w:sz w:val="30"/>
          <w:szCs w:val="30"/>
        </w:rPr>
        <w:t>。</w:t>
      </w:r>
    </w:p>
    <w:p>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eastAsia="仿宋_GB2312"/>
          <w:color w:val="auto"/>
          <w:lang w:val="en-US" w:eastAsia="zh-CN"/>
        </w:rPr>
      </w:pPr>
      <w:r>
        <w:rPr>
          <w:rFonts w:hint="eastAsia" w:ascii="楷体_GB2312" w:hAnsi="楷体_GB2312" w:eastAsia="楷体_GB2312" w:cs="楷体_GB2312"/>
          <w:b/>
          <w:bCs/>
          <w:color w:val="auto"/>
          <w:kern w:val="0"/>
          <w:sz w:val="30"/>
          <w:szCs w:val="30"/>
        </w:rPr>
        <w:t>优越的区位条件为生态文明建设提供了有利条件。</w:t>
      </w:r>
      <w:r>
        <w:rPr>
          <w:rFonts w:ascii="Times New Roman" w:hAnsi="Times New Roman" w:eastAsia="仿宋_GB2312"/>
          <w:color w:val="auto"/>
          <w:kern w:val="0"/>
          <w:sz w:val="30"/>
          <w:szCs w:val="30"/>
        </w:rPr>
        <w:t>荣成</w:t>
      </w:r>
      <w:r>
        <w:rPr>
          <w:rFonts w:hint="eastAsia" w:ascii="Times New Roman" w:hAnsi="Times New Roman" w:eastAsia="仿宋_GB2312"/>
          <w:color w:val="auto"/>
          <w:kern w:val="0"/>
          <w:sz w:val="30"/>
          <w:szCs w:val="30"/>
        </w:rPr>
        <w:t>市</w:t>
      </w:r>
      <w:r>
        <w:rPr>
          <w:rFonts w:ascii="Times New Roman" w:hAnsi="Times New Roman" w:eastAsia="仿宋_GB2312"/>
          <w:color w:val="auto"/>
          <w:kern w:val="0"/>
          <w:sz w:val="30"/>
          <w:szCs w:val="30"/>
        </w:rPr>
        <w:t>处于中国环渤海经济区和东北亚地区的交汇点，</w:t>
      </w:r>
      <w:r>
        <w:rPr>
          <w:rFonts w:hint="eastAsia" w:ascii="Times New Roman" w:hAnsi="Times New Roman" w:eastAsia="仿宋_GB2312"/>
          <w:color w:val="auto"/>
          <w:kern w:val="0"/>
          <w:sz w:val="30"/>
          <w:szCs w:val="30"/>
        </w:rPr>
        <w:t>与</w:t>
      </w:r>
      <w:r>
        <w:rPr>
          <w:rFonts w:ascii="Times New Roman" w:hAnsi="Times New Roman" w:eastAsia="仿宋_GB2312"/>
          <w:color w:val="auto"/>
          <w:kern w:val="0"/>
          <w:sz w:val="30"/>
          <w:szCs w:val="30"/>
        </w:rPr>
        <w:t>日韩</w:t>
      </w:r>
      <w:r>
        <w:rPr>
          <w:rFonts w:hint="eastAsia" w:ascii="Times New Roman" w:hAnsi="Times New Roman" w:eastAsia="仿宋_GB2312"/>
          <w:color w:val="auto"/>
          <w:kern w:val="0"/>
          <w:sz w:val="30"/>
          <w:szCs w:val="30"/>
        </w:rPr>
        <w:t>隔海相望</w:t>
      </w:r>
      <w:r>
        <w:rPr>
          <w:rFonts w:ascii="Times New Roman" w:hAnsi="Times New Roman" w:eastAsia="仿宋_GB2312"/>
          <w:color w:val="auto"/>
          <w:kern w:val="0"/>
          <w:sz w:val="30"/>
          <w:szCs w:val="30"/>
        </w:rPr>
        <w:t>，</w:t>
      </w:r>
      <w:r>
        <w:rPr>
          <w:rFonts w:hint="eastAsia" w:ascii="Times New Roman" w:hAnsi="Times New Roman" w:eastAsia="仿宋_GB2312"/>
          <w:color w:val="auto"/>
          <w:kern w:val="0"/>
          <w:sz w:val="30"/>
          <w:szCs w:val="30"/>
          <w:lang w:val="en-US" w:eastAsia="zh-CN"/>
        </w:rPr>
        <w:t>是“一带一路”最东端，是日韩经济区与“一带一路”经济区的最近连接点。凭借独特的区位优势、港口集疏运优势、载体平台优势、区域合作优势，荣成将成为“一带一路”倡议下欧亚国家和日韩商贸合作的枢纽。荣成市可借助此良好机遇，开展对外精准对接。作为优秀旅游城市，释放服务业活力；结合渔业转型升级，海洋经济融合发展</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lang w:val="en-US" w:eastAsia="zh-CN"/>
        </w:rPr>
        <w:t>推动优势产能转移，厚植核心竞争优势，积极将品牌、产品和生产线向“一带一路”国家市场拓展。</w:t>
      </w:r>
    </w:p>
    <w:p>
      <w:pPr>
        <w:spacing w:line="360" w:lineRule="auto"/>
        <w:ind w:firstLine="602" w:firstLineChars="200"/>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“精致城市”为新时代生态文明建设提供指引。</w:t>
      </w:r>
      <w:r>
        <w:rPr>
          <w:rFonts w:ascii="Times New Roman" w:hAnsi="Times New Roman" w:eastAsia="仿宋_GB2312"/>
          <w:color w:val="auto"/>
          <w:kern w:val="0"/>
          <w:sz w:val="30"/>
          <w:szCs w:val="30"/>
        </w:rPr>
        <w:t>2018年6月，习近平总书记视察威海时提出</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威海要向精致城市方向发展</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的重要指示，为威海城市发展指明了前进方向。2021年2月，威海市发布了《威海市精致城市评价指标体系》及六项地方标准，为荣成市建设精致城市提供了技术支撑。</w:t>
      </w:r>
      <w:r>
        <w:rPr>
          <w:rFonts w:hint="eastAsia" w:ascii="Times New Roman" w:hAnsi="Times New Roman" w:eastAsia="仿宋_GB2312"/>
          <w:color w:val="auto"/>
          <w:kern w:val="0"/>
          <w:sz w:val="30"/>
          <w:szCs w:val="30"/>
        </w:rPr>
        <w:t>精致城市的一系列探索为荣成市做好新时代生态文明建设提供了指引。</w:t>
      </w:r>
    </w:p>
    <w:p>
      <w:pPr>
        <w:spacing w:line="360" w:lineRule="auto"/>
        <w:ind w:firstLine="643" w:firstLineChars="200"/>
        <w:outlineLvl w:val="2"/>
        <w:rPr>
          <w:rFonts w:hint="eastAsia" w:ascii="Times New Roman" w:hAnsi="Times New Roman" w:eastAsia="仿宋_GB2312"/>
          <w:b/>
          <w:color w:val="auto"/>
          <w:sz w:val="32"/>
          <w:szCs w:val="21"/>
          <w:lang w:eastAsia="zh-CN"/>
        </w:rPr>
      </w:pPr>
      <w:bookmarkStart w:id="46" w:name="_Toc9423"/>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三</w:t>
      </w:r>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挑战</w:t>
      </w:r>
      <w:bookmarkEnd w:id="46"/>
    </w:p>
    <w:p>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ascii="Times New Roman" w:hAnsi="Times New Roman" w:eastAsia="仿宋_GB2312" w:cs="Times New Roman"/>
          <w:color w:val="auto"/>
          <w:kern w:val="0"/>
          <w:sz w:val="30"/>
          <w:szCs w:val="30"/>
          <w:lang w:val="en-US" w:eastAsia="zh-CN" w:bidi="ar-SA"/>
        </w:rPr>
      </w:pPr>
      <w:r>
        <w:rPr>
          <w:rFonts w:hint="eastAsia" w:ascii="楷体_GB2312" w:hAnsi="楷体_GB2312" w:eastAsia="楷体_GB2312" w:cs="楷体_GB2312"/>
          <w:b/>
          <w:bCs/>
          <w:color w:val="auto"/>
          <w:kern w:val="0"/>
          <w:sz w:val="30"/>
          <w:szCs w:val="30"/>
          <w:lang w:val="en-US" w:eastAsia="zh-CN" w:bidi="ar-SA"/>
        </w:rPr>
        <w:t>碳达峰碳中和对经济绿色低碳发展提出更高要求。</w:t>
      </w:r>
      <w:r>
        <w:rPr>
          <w:rFonts w:hint="eastAsia" w:ascii="Times New Roman" w:hAnsi="Times New Roman" w:eastAsia="仿宋_GB2312" w:cs="Times New Roman"/>
          <w:color w:val="auto"/>
          <w:kern w:val="0"/>
          <w:sz w:val="30"/>
          <w:szCs w:val="30"/>
          <w:lang w:val="en-US" w:eastAsia="zh-CN" w:bidi="ar-SA"/>
        </w:rPr>
        <w:t>荣成市工业领域能源消耗中原煤占比达到57.03%。基于“双碳”目标和能源转型的客观需要，在今后一段时间内，荣成市需要下大力气进行能源结构调整，大幅度地减少煤炭消费占比。非化石能源消费快速增加占比将成为主要路径，这将增加能源转型的难度。</w:t>
      </w:r>
    </w:p>
    <w:p>
      <w:pPr>
        <w:keepNext w:val="0"/>
        <w:keepLines w:val="0"/>
        <w:pageBreakBefore w:val="0"/>
        <w:widowControl w:val="0"/>
        <w:kinsoku/>
        <w:wordWrap/>
        <w:overflowPunct/>
        <w:topLinePunct w:val="0"/>
        <w:autoSpaceDE/>
        <w:autoSpaceDN/>
        <w:bidi w:val="0"/>
        <w:adjustRightInd w:val="0"/>
        <w:snapToGrid w:val="0"/>
        <w:spacing w:line="360" w:lineRule="auto"/>
        <w:ind w:firstLine="602" w:firstLineChars="200"/>
        <w:textAlignment w:val="auto"/>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现代环境治理体系构建对环境治理能力提出更高要求。</w:t>
      </w:r>
      <w:r>
        <w:rPr>
          <w:rFonts w:ascii="Times New Roman" w:hAnsi="Times New Roman" w:eastAsia="仿宋_GB2312"/>
          <w:color w:val="auto"/>
          <w:kern w:val="0"/>
          <w:sz w:val="30"/>
          <w:szCs w:val="30"/>
        </w:rPr>
        <w:t>党中央、国务院要求构建现代环境治理体系，提出了涵盖从源头严防、过程严管、后果严惩到损害赔偿全链条的生态环境管理制度。实现生态环境治理体系和治理能力的现代化，要求健全法规标准体系，坚持和完善生态文明制度体系，进一步明确党委政府、职能部门、企业、群团和社会组织、广大群众各方面生态环境保护责任，加强执法、监测等干部队伍建设，提升科技支撑能力，充分发挥市场作用，</w:t>
      </w:r>
      <w:r>
        <w:rPr>
          <w:rFonts w:hint="eastAsia" w:ascii="Times New Roman" w:hAnsi="Times New Roman" w:eastAsia="仿宋_GB2312"/>
          <w:color w:val="auto"/>
          <w:kern w:val="0"/>
          <w:sz w:val="30"/>
          <w:szCs w:val="30"/>
        </w:rPr>
        <w:t>以</w:t>
      </w:r>
      <w:r>
        <w:rPr>
          <w:rFonts w:ascii="Times New Roman" w:hAnsi="Times New Roman" w:eastAsia="仿宋_GB2312"/>
          <w:color w:val="auto"/>
          <w:kern w:val="0"/>
          <w:sz w:val="30"/>
          <w:szCs w:val="30"/>
        </w:rPr>
        <w:t>满足新时代生态环境保护工作需要。</w:t>
      </w:r>
    </w:p>
    <w:p>
      <w:pPr>
        <w:jc w:val="left"/>
        <w:rPr>
          <w:rFonts w:ascii="Times New Roman" w:hAnsi="Times New Roman" w:eastAsia="黑体"/>
          <w:bCs/>
          <w:color w:val="auto"/>
          <w:sz w:val="44"/>
          <w:szCs w:val="44"/>
        </w:rPr>
      </w:pPr>
      <w:bookmarkStart w:id="47" w:name="_Toc162"/>
      <w:bookmarkStart w:id="48" w:name="_Toc17307"/>
      <w:r>
        <w:rPr>
          <w:rFonts w:ascii="Times New Roman" w:hAnsi="Times New Roman" w:eastAsia="黑体"/>
          <w:bCs/>
          <w:color w:val="auto"/>
          <w:sz w:val="44"/>
          <w:szCs w:val="44"/>
        </w:rPr>
        <w:br w:type="page"/>
      </w:r>
    </w:p>
    <w:p>
      <w:pPr>
        <w:spacing w:line="360" w:lineRule="auto"/>
        <w:jc w:val="center"/>
        <w:outlineLvl w:val="0"/>
        <w:rPr>
          <w:rFonts w:ascii="Times New Roman" w:hAnsi="Times New Roman" w:eastAsia="黑体"/>
          <w:bCs/>
          <w:color w:val="auto"/>
          <w:sz w:val="44"/>
          <w:szCs w:val="44"/>
        </w:rPr>
      </w:pPr>
      <w:bookmarkStart w:id="49" w:name="_Toc14264"/>
      <w:r>
        <w:rPr>
          <w:rFonts w:hint="eastAsia" w:ascii="方正小标宋简体" w:hAnsi="方正小标宋简体" w:eastAsia="方正小标宋简体" w:cs="方正小标宋简体"/>
          <w:bCs/>
          <w:color w:val="auto"/>
          <w:sz w:val="44"/>
          <w:szCs w:val="44"/>
        </w:rPr>
        <w:t xml:space="preserve">第二章 </w:t>
      </w:r>
      <w:r>
        <w:rPr>
          <w:rFonts w:hint="eastAsia" w:ascii="方正小标宋简体" w:hAnsi="方正小标宋简体" w:eastAsia="方正小标宋简体" w:cs="方正小标宋简体"/>
          <w:bCs/>
          <w:color w:val="auto"/>
          <w:sz w:val="44"/>
          <w:szCs w:val="44"/>
          <w:lang w:val="en-US" w:eastAsia="zh-CN"/>
        </w:rPr>
        <w:t xml:space="preserve"> </w:t>
      </w:r>
      <w:r>
        <w:rPr>
          <w:rFonts w:hint="eastAsia" w:ascii="方正小标宋简体" w:hAnsi="方正小标宋简体" w:eastAsia="方正小标宋简体" w:cs="方正小标宋简体"/>
          <w:bCs/>
          <w:color w:val="auto"/>
          <w:sz w:val="44"/>
          <w:szCs w:val="44"/>
        </w:rPr>
        <w:t>规划总则</w:t>
      </w:r>
      <w:bookmarkEnd w:id="45"/>
      <w:bookmarkEnd w:id="47"/>
      <w:bookmarkEnd w:id="48"/>
      <w:bookmarkEnd w:id="49"/>
    </w:p>
    <w:p>
      <w:pPr>
        <w:spacing w:line="360" w:lineRule="auto"/>
        <w:jc w:val="center"/>
        <w:outlineLvl w:val="1"/>
        <w:rPr>
          <w:rFonts w:ascii="Times New Roman" w:hAnsi="Times New Roman" w:eastAsia="楷体"/>
          <w:b/>
          <w:bCs/>
          <w:color w:val="auto"/>
          <w:sz w:val="36"/>
          <w:szCs w:val="36"/>
        </w:rPr>
      </w:pPr>
      <w:bookmarkStart w:id="50" w:name="_Toc32523"/>
      <w:bookmarkStart w:id="51" w:name="_Toc749"/>
      <w:bookmarkStart w:id="52" w:name="_Toc25544"/>
      <w:bookmarkStart w:id="53" w:name="_Toc25021"/>
      <w:r>
        <w:rPr>
          <w:rFonts w:hint="eastAsia" w:ascii="Times New Roman" w:hAnsi="Times New Roman" w:eastAsia="楷体"/>
          <w:b/>
          <w:bCs/>
          <w:color w:val="auto"/>
          <w:sz w:val="36"/>
          <w:szCs w:val="36"/>
        </w:rPr>
        <w:t>第三条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指导思想</w:t>
      </w:r>
      <w:bookmarkEnd w:id="50"/>
      <w:bookmarkEnd w:id="51"/>
      <w:bookmarkEnd w:id="52"/>
      <w:bookmarkEnd w:id="53"/>
    </w:p>
    <w:p>
      <w:pPr>
        <w:spacing w:line="360" w:lineRule="auto"/>
        <w:ind w:firstLine="600" w:firstLineChars="200"/>
        <w:rPr>
          <w:rFonts w:ascii="Times New Roman" w:hAnsi="Times New Roman" w:eastAsia="仿宋_GB2312"/>
          <w:color w:val="auto"/>
          <w:kern w:val="0"/>
          <w:sz w:val="30"/>
          <w:szCs w:val="30"/>
        </w:rPr>
      </w:pPr>
      <w:bookmarkStart w:id="54" w:name="_Toc20792"/>
      <w:r>
        <w:rPr>
          <w:rFonts w:hint="eastAsia" w:ascii="Times New Roman" w:hAnsi="Times New Roman" w:eastAsia="仿宋_GB2312"/>
          <w:color w:val="auto"/>
          <w:kern w:val="0"/>
          <w:sz w:val="30"/>
          <w:szCs w:val="30"/>
        </w:rPr>
        <w:t>以习近平新时代中国特色社会主义思想为指导，全面贯彻党的十九大和十九届二中、三中、四中、五中</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lang w:val="en-US" w:eastAsia="zh-CN"/>
        </w:rPr>
        <w:t>六中</w:t>
      </w:r>
      <w:r>
        <w:rPr>
          <w:rFonts w:hint="eastAsia" w:ascii="Times New Roman" w:hAnsi="Times New Roman" w:eastAsia="仿宋_GB2312"/>
          <w:color w:val="auto"/>
          <w:kern w:val="0"/>
          <w:sz w:val="30"/>
          <w:szCs w:val="30"/>
        </w:rPr>
        <w:t>全会精神，深入贯彻习近平生态文明思想</w:t>
      </w:r>
      <w:r>
        <w:rPr>
          <w:rFonts w:ascii="Times New Roman" w:hAnsi="Times New Roman" w:eastAsia="仿宋_GB2312"/>
          <w:color w:val="auto"/>
          <w:kern w:val="0"/>
          <w:sz w:val="30"/>
          <w:szCs w:val="30"/>
        </w:rPr>
        <w:t>，坚持</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绿水青山就是金山银山</w:t>
      </w:r>
      <w:r>
        <w:rPr>
          <w:rFonts w:hint="eastAsia" w:ascii="Times New Roman" w:hAnsi="Times New Roman" w:eastAsia="仿宋_GB2312"/>
          <w:color w:val="auto"/>
          <w:kern w:val="0"/>
          <w:sz w:val="30"/>
          <w:szCs w:val="30"/>
        </w:rPr>
        <w:t>”</w:t>
      </w:r>
      <w:r>
        <w:rPr>
          <w:rFonts w:hint="eastAsia" w:eastAsia="仿宋_GB2312" w:cs="Calibri"/>
          <w:color w:val="auto"/>
          <w:kern w:val="0"/>
          <w:sz w:val="30"/>
          <w:szCs w:val="30"/>
        </w:rPr>
        <w:t>理念</w:t>
      </w:r>
      <w:r>
        <w:rPr>
          <w:rFonts w:ascii="Times New Roman" w:hAnsi="Times New Roman" w:eastAsia="仿宋_GB2312"/>
          <w:color w:val="auto"/>
          <w:kern w:val="0"/>
          <w:sz w:val="30"/>
          <w:szCs w:val="30"/>
        </w:rPr>
        <w:t>，以</w:t>
      </w:r>
      <w:r>
        <w:rPr>
          <w:rFonts w:hint="eastAsia" w:ascii="Times New Roman" w:hAnsi="Times New Roman" w:eastAsia="仿宋_GB2312"/>
          <w:color w:val="auto"/>
          <w:kern w:val="0"/>
          <w:sz w:val="30"/>
          <w:szCs w:val="30"/>
        </w:rPr>
        <w:t>建成</w:t>
      </w:r>
      <w:r>
        <w:rPr>
          <w:rFonts w:ascii="Times New Roman" w:hAnsi="Times New Roman" w:eastAsia="仿宋_GB2312"/>
          <w:color w:val="auto"/>
          <w:kern w:val="0"/>
          <w:sz w:val="30"/>
          <w:szCs w:val="30"/>
        </w:rPr>
        <w:t>美丽荣成为目标，紧紧围绕推动绿色低碳发展和增加优质生态产品有效供给两条主线，</w:t>
      </w:r>
      <w:r>
        <w:rPr>
          <w:rFonts w:hint="eastAsia" w:ascii="Times New Roman" w:hAnsi="Times New Roman" w:eastAsia="仿宋_GB2312"/>
          <w:color w:val="auto"/>
          <w:kern w:val="0"/>
          <w:sz w:val="30"/>
          <w:szCs w:val="30"/>
        </w:rPr>
        <w:t>坚定“生态立市”不松劲</w:t>
      </w:r>
      <w:r>
        <w:rPr>
          <w:rFonts w:ascii="Times New Roman" w:hAnsi="Times New Roman" w:eastAsia="仿宋_GB2312"/>
          <w:color w:val="auto"/>
          <w:kern w:val="0"/>
          <w:sz w:val="30"/>
          <w:szCs w:val="30"/>
        </w:rPr>
        <w:t>，</w:t>
      </w:r>
      <w:r>
        <w:rPr>
          <w:rFonts w:hint="eastAsia" w:ascii="Times New Roman" w:hAnsi="Times New Roman" w:eastAsia="仿宋_GB2312"/>
          <w:color w:val="auto"/>
          <w:kern w:val="0"/>
          <w:sz w:val="30"/>
          <w:szCs w:val="30"/>
        </w:rPr>
        <w:t>坚定“生态富民”不停步，</w:t>
      </w:r>
      <w:r>
        <w:rPr>
          <w:rFonts w:ascii="Times New Roman" w:hAnsi="Times New Roman" w:eastAsia="仿宋_GB2312"/>
          <w:color w:val="auto"/>
          <w:kern w:val="0"/>
          <w:sz w:val="30"/>
          <w:szCs w:val="30"/>
        </w:rPr>
        <w:t>巩固生态环境优势，促进人与自然和谐共生，实现生态与经济可持续良性互动，不断开创</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自由呼吸·自在荣成</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新局面，推动荣成高质量发展走在更前列。</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55" w:name="_Toc14124"/>
      <w:bookmarkStart w:id="56" w:name="_Toc28649"/>
      <w:bookmarkStart w:id="57" w:name="_Toc2480"/>
      <w:r>
        <w:rPr>
          <w:rFonts w:hint="eastAsia" w:ascii="Times New Roman" w:hAnsi="Times New Roman" w:eastAsia="楷体"/>
          <w:b/>
          <w:bCs/>
          <w:color w:val="auto"/>
          <w:sz w:val="36"/>
          <w:szCs w:val="36"/>
        </w:rPr>
        <w:t>第四条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规划原则</w:t>
      </w:r>
      <w:bookmarkEnd w:id="54"/>
      <w:bookmarkEnd w:id="55"/>
      <w:bookmarkEnd w:id="56"/>
      <w:bookmarkEnd w:id="57"/>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生态立市，绿色发展。</w:t>
      </w:r>
      <w:r>
        <w:rPr>
          <w:rFonts w:ascii="Times New Roman" w:hAnsi="Times New Roman" w:eastAsia="仿宋_GB2312"/>
          <w:color w:val="auto"/>
          <w:kern w:val="0"/>
          <w:sz w:val="30"/>
          <w:szCs w:val="30"/>
        </w:rPr>
        <w:t>以深化生态文明建设为重要契机，加快完善</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两山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转化的实施路径，转变末端治理方式，发挥生态经济活力。坚持遵循自然、顺应自然、保护自然的生态文明理念，系统谋划生态环境保护的战略路径，推进碳达峰、碳中和，推动形成绿色发展生产方式和生活方式。</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协调统筹，重点突破。</w:t>
      </w:r>
      <w:r>
        <w:rPr>
          <w:rFonts w:ascii="Times New Roman" w:hAnsi="Times New Roman" w:eastAsia="仿宋_GB2312"/>
          <w:color w:val="auto"/>
          <w:kern w:val="0"/>
          <w:sz w:val="30"/>
          <w:szCs w:val="30"/>
        </w:rPr>
        <w:t>全面推进生产、生活、生态协调发展，形成人与自然和谐发展的美丽建设新格局。加强对影响全局性、战略性重大问题的研究，努力在构建生态文明制度体系、生态环境问题治理、推动经济转型升级、改善城乡人居环境等重点工作上取得突破。</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向海图强，彰显特色。</w:t>
      </w:r>
      <w:r>
        <w:rPr>
          <w:rFonts w:ascii="Times New Roman" w:hAnsi="Times New Roman" w:eastAsia="仿宋_GB2312"/>
          <w:color w:val="auto"/>
          <w:kern w:val="0"/>
          <w:sz w:val="30"/>
          <w:szCs w:val="30"/>
        </w:rPr>
        <w:t>充分发挥荣成市独特资源环境优势，因地制宜彰显荣成特色。有机融入人与自然和谐发展的现代生态文明观，依托生态优势大力发展海洋经济、生态农业、旅游康养等产业，全面提升综合竞争力，打造生态之城</w:t>
      </w:r>
      <w:r>
        <w:rPr>
          <w:rFonts w:hint="eastAsia" w:ascii="Times New Roman" w:hAnsi="Times New Roman" w:eastAsia="仿宋_GB2312"/>
          <w:color w:val="auto"/>
          <w:kern w:val="0"/>
          <w:sz w:val="30"/>
          <w:szCs w:val="30"/>
        </w:rPr>
        <w:t>、海洋强市</w:t>
      </w:r>
      <w:r>
        <w:rPr>
          <w:rFonts w:ascii="Times New Roman" w:hAnsi="Times New Roman" w:eastAsia="仿宋_GB2312"/>
          <w:color w:val="auto"/>
          <w:kern w:val="0"/>
          <w:sz w:val="30"/>
          <w:szCs w:val="30"/>
        </w:rPr>
        <w:t>。</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hint="eastAsia" w:ascii="楷体_GB2312" w:hAnsi="楷体_GB2312" w:eastAsia="楷体_GB2312" w:cs="楷体_GB2312"/>
          <w:b/>
          <w:bCs/>
          <w:color w:val="auto"/>
          <w:kern w:val="0"/>
          <w:sz w:val="30"/>
          <w:szCs w:val="30"/>
        </w:rPr>
        <w:t>改革创新，多元共治。</w:t>
      </w:r>
      <w:r>
        <w:rPr>
          <w:rFonts w:ascii="Times New Roman" w:hAnsi="Times New Roman" w:eastAsia="仿宋_GB2312"/>
          <w:color w:val="auto"/>
          <w:kern w:val="0"/>
          <w:sz w:val="30"/>
          <w:szCs w:val="30"/>
        </w:rPr>
        <w:t>坚持改革创新，先行先试，源头转变环境治理理念和方式，以落实生态文明</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四梁八柱</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制度体系为基础，提高生态环境管理精细化、法治化水平，提升政策实施实效性，</w:t>
      </w:r>
      <w:r>
        <w:rPr>
          <w:rFonts w:hint="eastAsia" w:ascii="Times New Roman" w:hAnsi="Times New Roman" w:eastAsia="仿宋_GB2312"/>
          <w:color w:val="auto"/>
          <w:kern w:val="0"/>
          <w:sz w:val="30"/>
          <w:szCs w:val="30"/>
        </w:rPr>
        <w:t>政府发挥主导作用，提供良好的政策和公共服务体系，深入实施民生工程。提高公众参与的积极性、广泛性，形成建设生态文明的强大合力，</w:t>
      </w:r>
      <w:r>
        <w:rPr>
          <w:rFonts w:ascii="Times New Roman" w:hAnsi="Times New Roman" w:eastAsia="仿宋_GB2312"/>
          <w:color w:val="auto"/>
          <w:kern w:val="0"/>
          <w:sz w:val="30"/>
          <w:szCs w:val="30"/>
        </w:rPr>
        <w:t>构建政府、企业、公众共治的现代环境治理体系。</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58" w:name="_Toc17313"/>
      <w:bookmarkStart w:id="59" w:name="_Toc5582"/>
      <w:bookmarkStart w:id="60" w:name="_Toc8113"/>
      <w:bookmarkStart w:id="61" w:name="_Toc12212"/>
      <w:bookmarkStart w:id="62" w:name="_Toc37871857"/>
      <w:bookmarkStart w:id="63" w:name="_Toc6995795"/>
      <w:bookmarkStart w:id="64" w:name="_Toc6996688"/>
      <w:bookmarkStart w:id="65" w:name="_Toc4676716"/>
      <w:bookmarkStart w:id="66" w:name="_Toc29402"/>
      <w:bookmarkStart w:id="67" w:name="_Toc25110"/>
      <w:bookmarkStart w:id="68" w:name="_Toc21962"/>
      <w:bookmarkStart w:id="69" w:name="_Toc6995797"/>
      <w:bookmarkStart w:id="70" w:name="_Toc17360"/>
      <w:bookmarkStart w:id="71" w:name="_Toc4676540"/>
      <w:bookmarkStart w:id="72" w:name="_Toc24736"/>
      <w:bookmarkStart w:id="73" w:name="_Toc6996008"/>
      <w:bookmarkStart w:id="74" w:name="_Toc6996006"/>
      <w:bookmarkStart w:id="75" w:name="_Toc6996217"/>
      <w:bookmarkStart w:id="76" w:name="_Toc23223"/>
      <w:bookmarkStart w:id="77" w:name="_Toc7967"/>
      <w:bookmarkStart w:id="78" w:name="_Toc6995586"/>
      <w:bookmarkStart w:id="79" w:name="_Toc6995584"/>
      <w:bookmarkStart w:id="80" w:name="_Toc4676432"/>
      <w:bookmarkStart w:id="81" w:name="_Toc6996690"/>
      <w:bookmarkStart w:id="82" w:name="_Toc11029"/>
      <w:bookmarkStart w:id="83" w:name="_Toc11687"/>
      <w:bookmarkStart w:id="84" w:name="_Toc13877"/>
      <w:bookmarkStart w:id="85" w:name="_Toc37871851"/>
      <w:bookmarkStart w:id="86" w:name="_Toc4676538"/>
      <w:bookmarkStart w:id="87" w:name="_Toc31991"/>
      <w:bookmarkStart w:id="88" w:name="_Toc6996219"/>
      <w:bookmarkStart w:id="89" w:name="_Toc30315_WPSOffice_Level2"/>
      <w:bookmarkStart w:id="90" w:name="_Toc25864"/>
      <w:bookmarkStart w:id="91" w:name="_Toc9447_WPSOffice_Level2"/>
      <w:bookmarkStart w:id="92" w:name="_Toc4676718"/>
      <w:r>
        <w:rPr>
          <w:rFonts w:hint="eastAsia" w:ascii="Times New Roman" w:hAnsi="Times New Roman" w:eastAsia="楷体"/>
          <w:b/>
          <w:bCs/>
          <w:color w:val="auto"/>
          <w:sz w:val="36"/>
          <w:szCs w:val="36"/>
        </w:rPr>
        <w:t>第五条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规划范围</w:t>
      </w:r>
      <w:bookmarkEnd w:id="58"/>
      <w:bookmarkEnd w:id="59"/>
      <w:bookmarkEnd w:id="60"/>
      <w:bookmarkEnd w:id="61"/>
    </w:p>
    <w:p>
      <w:pPr>
        <w:autoSpaceDE w:val="0"/>
        <w:autoSpaceDN w:val="0"/>
        <w:adjustRightInd w:val="0"/>
        <w:spacing w:line="360" w:lineRule="auto"/>
        <w:ind w:firstLine="600" w:firstLineChars="200"/>
        <w:jc w:val="left"/>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规划范围为荣成市行政辖区，包括荣成经济开发区、石岛管理区、好运角旅游度假区，辖12个镇、10个街道、7</w:t>
      </w:r>
      <w:r>
        <w:rPr>
          <w:rFonts w:hint="eastAsia" w:ascii="Times New Roman" w:hAnsi="Times New Roman" w:eastAsia="仿宋_GB2312"/>
          <w:color w:val="auto"/>
          <w:kern w:val="0"/>
          <w:sz w:val="30"/>
          <w:szCs w:val="30"/>
          <w:lang w:val="en-US" w:eastAsia="zh-CN"/>
        </w:rPr>
        <w:t>78</w:t>
      </w:r>
      <w:r>
        <w:rPr>
          <w:rFonts w:ascii="Times New Roman" w:hAnsi="Times New Roman" w:eastAsia="仿宋_GB2312"/>
          <w:color w:val="auto"/>
          <w:kern w:val="0"/>
          <w:sz w:val="30"/>
          <w:szCs w:val="30"/>
        </w:rPr>
        <w:t>个行政村、51个居委会，海岸线4</w:t>
      </w:r>
      <w:r>
        <w:rPr>
          <w:rFonts w:hint="eastAsia" w:ascii="Times New Roman" w:hAnsi="Times New Roman" w:eastAsia="仿宋_GB2312"/>
          <w:color w:val="auto"/>
          <w:kern w:val="0"/>
          <w:sz w:val="30"/>
          <w:szCs w:val="30"/>
        </w:rPr>
        <w:t>92</w:t>
      </w:r>
      <w:r>
        <w:rPr>
          <w:rFonts w:ascii="Times New Roman" w:hAnsi="Times New Roman" w:eastAsia="仿宋_GB2312"/>
          <w:color w:val="auto"/>
          <w:kern w:val="0"/>
          <w:sz w:val="30"/>
          <w:szCs w:val="30"/>
        </w:rPr>
        <w:t>km，陆地面积15</w:t>
      </w:r>
      <w:r>
        <w:rPr>
          <w:rFonts w:hint="eastAsia" w:ascii="Times New Roman" w:hAnsi="Times New Roman" w:eastAsia="仿宋_GB2312"/>
          <w:color w:val="auto"/>
          <w:kern w:val="0"/>
          <w:sz w:val="30"/>
          <w:szCs w:val="30"/>
          <w:lang w:val="en-US" w:eastAsia="zh-CN"/>
        </w:rPr>
        <w:t>55</w:t>
      </w:r>
      <w:r>
        <w:rPr>
          <w:rFonts w:ascii="Times New Roman" w:hAnsi="Times New Roman" w:eastAsia="仿宋_GB2312"/>
          <w:color w:val="auto"/>
          <w:kern w:val="0"/>
          <w:sz w:val="30"/>
          <w:szCs w:val="30"/>
        </w:rPr>
        <w:t>km</w:t>
      </w:r>
      <w:r>
        <w:rPr>
          <w:rFonts w:ascii="Times New Roman" w:hAnsi="Times New Roman" w:eastAsia="仿宋_GB2312"/>
          <w:color w:val="auto"/>
          <w:kern w:val="0"/>
          <w:sz w:val="30"/>
          <w:szCs w:val="30"/>
          <w:vertAlign w:val="superscript"/>
        </w:rPr>
        <w:t>2</w:t>
      </w:r>
      <w:r>
        <w:rPr>
          <w:rFonts w:hint="eastAsia" w:ascii="Times New Roman" w:hAnsi="Times New Roman" w:eastAsia="仿宋_GB2312"/>
          <w:color w:val="auto"/>
          <w:kern w:val="0"/>
          <w:sz w:val="30"/>
          <w:szCs w:val="30"/>
        </w:rPr>
        <w:t>，</w:t>
      </w:r>
      <w:r>
        <w:rPr>
          <w:rFonts w:hint="eastAsia" w:ascii="Times New Roman" w:hAnsi="Times New Roman" w:eastAsia="仿宋_GB2312"/>
          <w:color w:val="auto"/>
          <w:kern w:val="0"/>
          <w:sz w:val="30"/>
          <w:szCs w:val="30"/>
          <w:lang w:val="zh-CN"/>
        </w:rPr>
        <w:t>海域面积35</w:t>
      </w:r>
      <w:r>
        <w:rPr>
          <w:rFonts w:hint="eastAsia" w:ascii="Times New Roman" w:hAnsi="Times New Roman" w:eastAsia="仿宋_GB2312"/>
          <w:color w:val="auto"/>
          <w:kern w:val="0"/>
          <w:sz w:val="30"/>
          <w:szCs w:val="30"/>
          <w:lang w:val="en-US" w:eastAsia="zh-CN"/>
        </w:rPr>
        <w:t>43</w:t>
      </w:r>
      <w:r>
        <w:rPr>
          <w:rFonts w:ascii="Times New Roman" w:hAnsi="Times New Roman" w:eastAsia="仿宋_GB2312"/>
          <w:color w:val="auto"/>
          <w:kern w:val="0"/>
          <w:sz w:val="30"/>
          <w:szCs w:val="30"/>
        </w:rPr>
        <w:t>km</w:t>
      </w:r>
      <w:r>
        <w:rPr>
          <w:rFonts w:ascii="Times New Roman" w:hAnsi="Times New Roman" w:eastAsia="仿宋_GB2312"/>
          <w:color w:val="auto"/>
          <w:kern w:val="0"/>
          <w:sz w:val="30"/>
          <w:szCs w:val="30"/>
          <w:vertAlign w:val="superscript"/>
        </w:rPr>
        <w:t>2</w:t>
      </w:r>
      <w:r>
        <w:rPr>
          <w:rFonts w:hint="eastAsia" w:ascii="Times New Roman" w:hAnsi="Times New Roman" w:eastAsia="仿宋_GB2312"/>
          <w:color w:val="auto"/>
          <w:kern w:val="0"/>
          <w:sz w:val="30"/>
          <w:szCs w:val="30"/>
          <w:lang w:val="zh-CN"/>
        </w:rPr>
        <w:t>，沿海10个海湾、115个岛屿</w:t>
      </w:r>
      <w:r>
        <w:rPr>
          <w:rFonts w:ascii="Times New Roman" w:hAnsi="Times New Roman" w:eastAsia="仿宋_GB2312"/>
          <w:color w:val="auto"/>
          <w:kern w:val="0"/>
          <w:sz w:val="30"/>
          <w:szCs w:val="30"/>
        </w:rPr>
        <w:t>。</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93" w:name="_Toc1361"/>
      <w:bookmarkStart w:id="94" w:name="_Toc16781"/>
      <w:bookmarkStart w:id="95" w:name="_Toc11945"/>
      <w:bookmarkStart w:id="96" w:name="_Toc29824"/>
      <w:r>
        <w:rPr>
          <w:rFonts w:hint="eastAsia" w:ascii="Times New Roman" w:hAnsi="Times New Roman" w:eastAsia="楷体"/>
          <w:b/>
          <w:bCs/>
          <w:color w:val="auto"/>
          <w:sz w:val="36"/>
          <w:szCs w:val="36"/>
        </w:rPr>
        <w:t>第六条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规划期限</w:t>
      </w:r>
      <w:bookmarkEnd w:id="93"/>
      <w:bookmarkEnd w:id="94"/>
      <w:bookmarkEnd w:id="95"/>
      <w:bookmarkEnd w:id="96"/>
    </w:p>
    <w:p>
      <w:pPr>
        <w:autoSpaceDE w:val="0"/>
        <w:autoSpaceDN w:val="0"/>
        <w:adjustRightInd w:val="0"/>
        <w:spacing w:line="360" w:lineRule="auto"/>
        <w:ind w:firstLine="600" w:firstLineChars="200"/>
        <w:jc w:val="left"/>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规划基准年：2020年；</w:t>
      </w:r>
    </w:p>
    <w:p>
      <w:pPr>
        <w:spacing w:line="360" w:lineRule="auto"/>
        <w:ind w:firstLine="600" w:firstLineChars="200"/>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规划期限：</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7" w:name="_Toc3963"/>
      <w:r>
        <w:rPr>
          <w:rFonts w:ascii="Times New Roman" w:hAnsi="Times New Roman" w:eastAsia="仿宋_GB2312"/>
          <w:color w:val="auto"/>
          <w:kern w:val="0"/>
          <w:sz w:val="30"/>
          <w:szCs w:val="30"/>
          <w:lang w:val="zh-CN"/>
        </w:rPr>
        <w:t>202</w:t>
      </w:r>
      <w:r>
        <w:rPr>
          <w:rFonts w:ascii="Times New Roman" w:hAnsi="Times New Roman" w:eastAsia="仿宋_GB2312"/>
          <w:color w:val="auto"/>
          <w:kern w:val="0"/>
          <w:sz w:val="30"/>
          <w:szCs w:val="30"/>
        </w:rPr>
        <w:t>1</w:t>
      </w:r>
      <w:r>
        <w:rPr>
          <w:rFonts w:ascii="Times New Roman" w:hAnsi="Times New Roman" w:eastAsia="仿宋_GB2312"/>
          <w:color w:val="auto"/>
          <w:kern w:val="0"/>
          <w:sz w:val="30"/>
          <w:szCs w:val="30"/>
          <w:lang w:val="zh-CN"/>
        </w:rPr>
        <w:t>～20</w:t>
      </w:r>
      <w:r>
        <w:rPr>
          <w:rFonts w:ascii="Times New Roman" w:hAnsi="Times New Roman" w:eastAsia="仿宋_GB2312"/>
          <w:color w:val="auto"/>
          <w:kern w:val="0"/>
          <w:sz w:val="30"/>
          <w:szCs w:val="30"/>
        </w:rPr>
        <w:t>30</w:t>
      </w:r>
      <w:r>
        <w:rPr>
          <w:rFonts w:ascii="Times New Roman" w:hAnsi="Times New Roman" w:eastAsia="仿宋_GB2312"/>
          <w:color w:val="auto"/>
          <w:kern w:val="0"/>
          <w:sz w:val="30"/>
          <w:szCs w:val="30"/>
          <w:lang w:val="zh-CN"/>
        </w:rPr>
        <w:t>年，</w:t>
      </w:r>
      <w:r>
        <w:rPr>
          <w:rFonts w:ascii="Times New Roman" w:hAnsi="Times New Roman" w:eastAsia="仿宋_GB2312"/>
          <w:color w:val="auto"/>
          <w:kern w:val="0"/>
          <w:sz w:val="30"/>
          <w:szCs w:val="30"/>
        </w:rPr>
        <w:t>规划近期：2021-2025年，规划远期：2026-2030年。</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98" w:name="_Toc8426"/>
      <w:bookmarkStart w:id="99" w:name="_Toc12426"/>
      <w:bookmarkStart w:id="100" w:name="_Toc31249"/>
      <w:r>
        <w:rPr>
          <w:rFonts w:hint="eastAsia" w:ascii="Times New Roman" w:hAnsi="Times New Roman" w:eastAsia="楷体"/>
          <w:b/>
          <w:bCs/>
          <w:color w:val="auto"/>
          <w:sz w:val="36"/>
          <w:szCs w:val="36"/>
        </w:rPr>
        <w:t>第七条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规划目标</w:t>
      </w:r>
      <w:bookmarkEnd w:id="97"/>
      <w:bookmarkEnd w:id="98"/>
      <w:bookmarkEnd w:id="99"/>
      <w:bookmarkEnd w:id="100"/>
    </w:p>
    <w:p>
      <w:pPr>
        <w:autoSpaceDE w:val="0"/>
        <w:autoSpaceDN w:val="0"/>
        <w:adjustRightInd w:val="0"/>
        <w:spacing w:line="360" w:lineRule="auto"/>
        <w:ind w:firstLine="600" w:firstLineChars="200"/>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立足荣成市经济、社会、环境和文化的具体情况，综合考虑荣成市生态</w:t>
      </w:r>
      <w:r>
        <w:rPr>
          <w:rFonts w:hint="eastAsia" w:ascii="Times New Roman" w:hAnsi="Times New Roman" w:eastAsia="仿宋_GB2312"/>
          <w:color w:val="auto"/>
          <w:kern w:val="0"/>
          <w:sz w:val="30"/>
          <w:szCs w:val="30"/>
        </w:rPr>
        <w:t>文明建设</w:t>
      </w:r>
      <w:r>
        <w:rPr>
          <w:rFonts w:ascii="Times New Roman" w:hAnsi="Times New Roman" w:eastAsia="仿宋_GB2312"/>
          <w:color w:val="auto"/>
          <w:kern w:val="0"/>
          <w:sz w:val="30"/>
          <w:szCs w:val="30"/>
        </w:rPr>
        <w:t>所处阶段和美丽荣成建设的远景目标，充分发挥荣成生态环境、海洋经济和全域旅游特色优势，</w:t>
      </w:r>
      <w:r>
        <w:rPr>
          <w:rFonts w:hint="eastAsia" w:ascii="Times New Roman" w:hAnsi="Times New Roman" w:eastAsia="仿宋_GB2312"/>
          <w:color w:val="auto"/>
          <w:kern w:val="0"/>
          <w:sz w:val="30"/>
          <w:szCs w:val="30"/>
        </w:rPr>
        <w:t>进一步提升</w:t>
      </w:r>
      <w:r>
        <w:rPr>
          <w:rFonts w:ascii="Times New Roman" w:hAnsi="Times New Roman" w:eastAsia="仿宋_GB2312"/>
          <w:color w:val="auto"/>
          <w:kern w:val="0"/>
          <w:sz w:val="30"/>
          <w:szCs w:val="30"/>
        </w:rPr>
        <w:t>经济社会发展的生态化水平，广泛形成绿色生产生活方式，生态文明意识显著增强，生态环境质量总体稳定并持续改善，生态文明制度体系健全完善，成为全国有影响力的美丽宜居城市，满足人民日益增长的优美生态环境需要，</w:t>
      </w:r>
      <w:r>
        <w:rPr>
          <w:rFonts w:hint="eastAsia" w:ascii="Times New Roman" w:hAnsi="Times New Roman" w:eastAsia="仿宋_GB2312"/>
          <w:color w:val="auto"/>
          <w:kern w:val="0"/>
          <w:sz w:val="30"/>
          <w:szCs w:val="30"/>
        </w:rPr>
        <w:t>实现绿水青山、碧海蓝天的“颜值”和金山银山的“价值”相统一</w:t>
      </w:r>
      <w:r>
        <w:rPr>
          <w:rFonts w:hint="eastAsia" w:ascii="Times New Roman" w:hAnsi="Times New Roman" w:eastAsia="仿宋_GB2312"/>
          <w:color w:val="auto"/>
          <w:kern w:val="0"/>
          <w:sz w:val="30"/>
          <w:szCs w:val="30"/>
          <w:lang w:eastAsia="zh-CN"/>
        </w:rPr>
        <w:t>，</w:t>
      </w:r>
      <w:r>
        <w:rPr>
          <w:rFonts w:hint="eastAsia" w:ascii="Times New Roman" w:hAnsi="Times New Roman" w:eastAsia="仿宋_GB2312"/>
          <w:color w:val="auto"/>
          <w:kern w:val="0"/>
          <w:sz w:val="30"/>
          <w:szCs w:val="30"/>
          <w:lang w:val="en-US" w:eastAsia="zh-CN"/>
        </w:rPr>
        <w:t>为</w:t>
      </w:r>
      <w:r>
        <w:rPr>
          <w:rFonts w:ascii="Times New Roman" w:hAnsi="Times New Roman" w:eastAsia="仿宋_GB2312"/>
          <w:color w:val="auto"/>
          <w:kern w:val="0"/>
          <w:sz w:val="30"/>
          <w:szCs w:val="30"/>
        </w:rPr>
        <w:t>生态文明建设提供荣成样本、荣成智慧、荣成力量。</w:t>
      </w:r>
    </w:p>
    <w:p>
      <w:pPr>
        <w:widowControl/>
        <w:adjustRightInd w:val="0"/>
        <w:snapToGrid w:val="0"/>
        <w:spacing w:line="360" w:lineRule="auto"/>
        <w:ind w:firstLine="600" w:firstLineChars="200"/>
        <w:jc w:val="left"/>
        <w:rPr>
          <w:rFonts w:ascii="Times New Roman" w:hAnsi="Times New Roman" w:eastAsia="仿宋_GB2312"/>
          <w:color w:val="auto"/>
          <w:kern w:val="0"/>
          <w:sz w:val="30"/>
          <w:szCs w:val="30"/>
        </w:rPr>
      </w:pPr>
      <w:bookmarkStart w:id="101" w:name="_Toc3386"/>
      <w:r>
        <w:rPr>
          <w:rFonts w:ascii="Times New Roman" w:hAnsi="Times New Roman" w:eastAsia="仿宋_GB2312"/>
          <w:color w:val="auto"/>
          <w:kern w:val="0"/>
          <w:sz w:val="30"/>
          <w:szCs w:val="30"/>
        </w:rPr>
        <w:t>近期目标（2021-2025年）：</w:t>
      </w:r>
      <w:r>
        <w:rPr>
          <w:rFonts w:hint="eastAsia" w:ascii="Times New Roman" w:hAnsi="Times New Roman" w:eastAsia="仿宋_GB2312"/>
          <w:color w:val="auto"/>
          <w:kern w:val="0"/>
          <w:sz w:val="30"/>
          <w:szCs w:val="30"/>
        </w:rPr>
        <w:t>推动产业生态化和生态产业化协调统一，强化污染防治，协同推进减污降碳，坚决克服“蓝天白云综合症”，推动空气、水、土壤等方面污染</w:t>
      </w:r>
      <w:r>
        <w:rPr>
          <w:rFonts w:hint="eastAsia" w:ascii="Times New Roman" w:hAnsi="Times New Roman" w:eastAsia="仿宋_GB2312"/>
          <w:color w:val="auto"/>
          <w:kern w:val="0"/>
          <w:sz w:val="30"/>
          <w:szCs w:val="30"/>
          <w:lang w:val="en-US" w:eastAsia="zh-CN"/>
        </w:rPr>
        <w:t>防治</w:t>
      </w:r>
      <w:r>
        <w:rPr>
          <w:rFonts w:hint="eastAsia" w:ascii="Times New Roman" w:hAnsi="Times New Roman" w:eastAsia="仿宋_GB2312"/>
          <w:color w:val="auto"/>
          <w:kern w:val="0"/>
          <w:sz w:val="30"/>
          <w:szCs w:val="30"/>
        </w:rPr>
        <w:t>向纵深发展。主要污染物排放总量</w:t>
      </w:r>
      <w:r>
        <w:rPr>
          <w:rFonts w:hint="eastAsia" w:ascii="Times New Roman" w:hAnsi="Times New Roman" w:eastAsia="仿宋_GB2312"/>
          <w:color w:val="auto"/>
          <w:kern w:val="0"/>
          <w:sz w:val="30"/>
          <w:szCs w:val="30"/>
          <w:lang w:val="en-US" w:eastAsia="zh-CN"/>
        </w:rPr>
        <w:t>进一步削减</w:t>
      </w:r>
      <w:r>
        <w:rPr>
          <w:rFonts w:hint="eastAsia" w:ascii="Times New Roman" w:hAnsi="Times New Roman" w:eastAsia="仿宋_GB2312"/>
          <w:color w:val="auto"/>
          <w:kern w:val="0"/>
          <w:sz w:val="30"/>
          <w:szCs w:val="30"/>
        </w:rPr>
        <w:t>，生态环境指标保持全省前列，全面完成节能减排降碳约束性目标和环境</w:t>
      </w:r>
      <w:r>
        <w:rPr>
          <w:rFonts w:hint="eastAsia" w:ascii="Times New Roman" w:hAnsi="Times New Roman" w:eastAsia="仿宋_GB2312"/>
          <w:color w:val="auto"/>
          <w:kern w:val="0"/>
          <w:sz w:val="30"/>
          <w:szCs w:val="30"/>
          <w:lang w:val="en-US" w:eastAsia="zh-CN"/>
        </w:rPr>
        <w:t>质量改善目标。</w:t>
      </w:r>
      <w:r>
        <w:rPr>
          <w:rFonts w:hint="eastAsia" w:ascii="Times New Roman" w:hAnsi="Times New Roman" w:eastAsia="仿宋_GB2312"/>
          <w:color w:val="auto"/>
          <w:kern w:val="0"/>
          <w:sz w:val="30"/>
          <w:szCs w:val="30"/>
        </w:rPr>
        <w:t>生态制度</w:t>
      </w:r>
      <w:r>
        <w:rPr>
          <w:rFonts w:hint="eastAsia" w:ascii="Times New Roman" w:hAnsi="Times New Roman" w:eastAsia="仿宋_GB2312"/>
          <w:color w:val="auto"/>
          <w:kern w:val="0"/>
          <w:sz w:val="30"/>
          <w:szCs w:val="30"/>
          <w:lang w:val="en-US" w:eastAsia="zh-CN"/>
        </w:rPr>
        <w:t>进一步</w:t>
      </w:r>
      <w:r>
        <w:rPr>
          <w:rFonts w:hint="eastAsia" w:ascii="Times New Roman" w:hAnsi="Times New Roman" w:eastAsia="仿宋_GB2312"/>
          <w:color w:val="auto"/>
          <w:kern w:val="0"/>
          <w:sz w:val="30"/>
          <w:szCs w:val="30"/>
        </w:rPr>
        <w:t>健全，</w:t>
      </w:r>
      <w:r>
        <w:rPr>
          <w:rFonts w:ascii="Times New Roman" w:hAnsi="Times New Roman" w:eastAsia="仿宋_GB2312"/>
          <w:color w:val="auto"/>
          <w:kern w:val="0"/>
          <w:sz w:val="30"/>
          <w:szCs w:val="30"/>
        </w:rPr>
        <w:t>经济社会发展全面绿色转型</w:t>
      </w:r>
      <w:r>
        <w:rPr>
          <w:rFonts w:hint="eastAsia" w:ascii="Times New Roman" w:hAnsi="Times New Roman" w:eastAsia="仿宋_GB2312"/>
          <w:color w:val="auto"/>
          <w:kern w:val="0"/>
          <w:sz w:val="30"/>
          <w:szCs w:val="30"/>
        </w:rPr>
        <w:t>，现代化经济体系建设取得阶段性成果，在跻身全国县域经济发展一流行列的同时，能源资源节约利用取得显著成效，在社会主义现代化建设进程中展现荣成担当。海洋强市、乡村振兴创出新路径新模式。</w:t>
      </w:r>
      <w:r>
        <w:rPr>
          <w:rFonts w:ascii="Times New Roman" w:hAnsi="Times New Roman" w:eastAsia="仿宋_GB2312"/>
          <w:color w:val="auto"/>
          <w:kern w:val="0"/>
          <w:sz w:val="30"/>
          <w:szCs w:val="30"/>
        </w:rPr>
        <w:t>国家生态文明建设示范区各项指标全面优于国家考核标准，</w:t>
      </w:r>
      <w:r>
        <w:rPr>
          <w:rFonts w:hint="eastAsia" w:ascii="Times New Roman" w:hAnsi="Times New Roman" w:eastAsia="仿宋_GB2312"/>
          <w:color w:val="auto"/>
          <w:kern w:val="0"/>
          <w:sz w:val="30"/>
          <w:szCs w:val="30"/>
        </w:rPr>
        <w:t>生态文明建设取得新进步</w:t>
      </w:r>
      <w:r>
        <w:rPr>
          <w:rFonts w:ascii="Times New Roman" w:hAnsi="Times New Roman" w:eastAsia="仿宋_GB2312"/>
          <w:color w:val="auto"/>
          <w:kern w:val="0"/>
          <w:sz w:val="30"/>
          <w:szCs w:val="30"/>
        </w:rPr>
        <w:t>，为建设美丽荣成打下坚实基础。</w:t>
      </w:r>
    </w:p>
    <w:p>
      <w:pPr>
        <w:autoSpaceDE w:val="0"/>
        <w:autoSpaceDN w:val="0"/>
        <w:adjustRightInd w:val="0"/>
        <w:spacing w:line="360" w:lineRule="auto"/>
        <w:ind w:firstLine="600" w:firstLineChars="200"/>
        <w:rPr>
          <w:rFonts w:ascii="Times New Roman" w:hAnsi="Times New Roman" w:eastAsia="仿宋_GB2312"/>
          <w:color w:val="auto"/>
          <w:kern w:val="0"/>
          <w:sz w:val="30"/>
          <w:szCs w:val="30"/>
        </w:rPr>
      </w:pPr>
      <w:r>
        <w:rPr>
          <w:rFonts w:ascii="Times New Roman" w:hAnsi="Times New Roman" w:eastAsia="仿宋_GB2312"/>
          <w:color w:val="auto"/>
          <w:kern w:val="0"/>
          <w:sz w:val="30"/>
          <w:szCs w:val="30"/>
        </w:rPr>
        <w:t>远期目标（2026-2030年）：</w:t>
      </w:r>
      <w:r>
        <w:rPr>
          <w:rFonts w:hint="eastAsia" w:ascii="Times New Roman" w:hAnsi="Times New Roman" w:eastAsia="仿宋_GB2312"/>
          <w:color w:val="auto"/>
          <w:kern w:val="0"/>
          <w:sz w:val="30"/>
          <w:szCs w:val="30"/>
        </w:rPr>
        <w:t>提前建成高水平社会主义现代化，</w:t>
      </w:r>
      <w:r>
        <w:rPr>
          <w:rFonts w:ascii="Times New Roman" w:hAnsi="Times New Roman" w:eastAsia="仿宋_GB2312"/>
          <w:color w:val="auto"/>
          <w:kern w:val="0"/>
          <w:sz w:val="30"/>
          <w:szCs w:val="30"/>
        </w:rPr>
        <w:t>生态涵养功能更加强化，生态文明理念深入人心，生态文明建设成果巩固提升，以绿色低碳为核心的生态产业体系基本建立，生态旅游业、海洋经济、高新技术产业成为拉动经济增长的主要增长点，生态制度更加健全，生态环境持续改善，生态屏障功能进一步巩固，城乡人居质量持续改善，生态文化氛围浓厚，绿色生产生活方式广泛形成，碳排放达峰后稳中有降，</w:t>
      </w:r>
      <w:r>
        <w:rPr>
          <w:rFonts w:hint="eastAsia" w:ascii="Times New Roman" w:hAnsi="Times New Roman" w:eastAsia="仿宋_GB2312"/>
          <w:color w:val="auto"/>
          <w:kern w:val="0"/>
          <w:sz w:val="30"/>
          <w:szCs w:val="30"/>
        </w:rPr>
        <w:t>率先建成海洋强市，</w:t>
      </w:r>
      <w:r>
        <w:rPr>
          <w:rFonts w:ascii="Times New Roman" w:hAnsi="Times New Roman" w:eastAsia="仿宋_GB2312"/>
          <w:color w:val="auto"/>
          <w:kern w:val="0"/>
          <w:sz w:val="30"/>
          <w:szCs w:val="30"/>
        </w:rPr>
        <w:t>人与自然和谐共生的美丽荣成建设目标基本实现。</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102" w:name="_Toc4153"/>
      <w:bookmarkStart w:id="103" w:name="_Toc9521"/>
      <w:bookmarkStart w:id="104" w:name="_Toc9858"/>
      <w:r>
        <w:rPr>
          <w:rFonts w:hint="eastAsia" w:ascii="Times New Roman" w:hAnsi="Times New Roman" w:eastAsia="楷体"/>
          <w:b/>
          <w:bCs/>
          <w:color w:val="auto"/>
          <w:sz w:val="36"/>
          <w:szCs w:val="36"/>
        </w:rPr>
        <w:t>第八条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建设指标</w:t>
      </w:r>
      <w:bookmarkEnd w:id="101"/>
      <w:bookmarkEnd w:id="102"/>
      <w:bookmarkEnd w:id="103"/>
      <w:bookmarkEnd w:id="104"/>
    </w:p>
    <w:p>
      <w:pPr>
        <w:autoSpaceDE w:val="0"/>
        <w:autoSpaceDN w:val="0"/>
        <w:adjustRightInd w:val="0"/>
        <w:spacing w:line="360" w:lineRule="auto"/>
        <w:ind w:firstLine="600" w:firstLineChars="200"/>
        <w:jc w:val="left"/>
        <w:rPr>
          <w:rFonts w:ascii="Times New Roman" w:hAnsi="Times New Roman" w:eastAsia="仿宋_GB2312"/>
          <w:color w:val="auto"/>
          <w:kern w:val="0"/>
          <w:sz w:val="30"/>
          <w:szCs w:val="30"/>
        </w:rPr>
        <w:sectPr>
          <w:footerReference r:id="rId8" w:type="default"/>
          <w:pgSz w:w="11907" w:h="16839"/>
          <w:pgMar w:top="1418" w:right="1417" w:bottom="1418" w:left="1701" w:header="720" w:footer="720" w:gutter="0"/>
          <w:pgBorders>
            <w:top w:val="none" w:sz="0" w:space="0"/>
            <w:left w:val="none" w:sz="0" w:space="0"/>
            <w:bottom w:val="none" w:sz="0" w:space="0"/>
            <w:right w:val="none" w:sz="0" w:space="0"/>
          </w:pgBorders>
          <w:pgNumType w:fmt="decimal" w:start="1"/>
          <w:cols w:space="720" w:num="1"/>
          <w:docGrid w:linePitch="286" w:charSpace="0"/>
        </w:sectPr>
      </w:pPr>
      <w:r>
        <w:rPr>
          <w:rFonts w:ascii="Times New Roman" w:hAnsi="Times New Roman" w:eastAsia="仿宋_GB2312"/>
          <w:color w:val="auto"/>
          <w:kern w:val="0"/>
          <w:sz w:val="30"/>
          <w:szCs w:val="30"/>
        </w:rPr>
        <w:t>根据《国家生态文明建设示范</w:t>
      </w:r>
      <w:r>
        <w:rPr>
          <w:rFonts w:hint="eastAsia" w:ascii="Times New Roman" w:hAnsi="Times New Roman" w:eastAsia="仿宋_GB2312"/>
          <w:color w:val="auto"/>
          <w:kern w:val="0"/>
          <w:sz w:val="30"/>
          <w:szCs w:val="30"/>
        </w:rPr>
        <w:t>区</w:t>
      </w:r>
      <w:r>
        <w:rPr>
          <w:rFonts w:ascii="Times New Roman" w:hAnsi="Times New Roman" w:eastAsia="仿宋_GB2312"/>
          <w:color w:val="auto"/>
          <w:kern w:val="0"/>
          <w:sz w:val="30"/>
          <w:szCs w:val="30"/>
        </w:rPr>
        <w:t>建设指标》</w:t>
      </w:r>
      <w:r>
        <w:rPr>
          <w:rFonts w:hint="eastAsia" w:ascii="Times New Roman" w:hAnsi="Times New Roman" w:eastAsia="仿宋_GB2312"/>
          <w:color w:val="auto"/>
          <w:kern w:val="0"/>
          <w:sz w:val="30"/>
          <w:szCs w:val="30"/>
        </w:rPr>
        <w:t>（修订版）、</w:t>
      </w:r>
      <w:r>
        <w:rPr>
          <w:rFonts w:ascii="Times New Roman" w:hAnsi="Times New Roman" w:eastAsia="仿宋_GB2312"/>
          <w:color w:val="auto"/>
          <w:kern w:val="0"/>
          <w:sz w:val="30"/>
          <w:szCs w:val="30"/>
        </w:rPr>
        <w:t>《国家生态文明建设示范</w:t>
      </w:r>
      <w:r>
        <w:rPr>
          <w:rFonts w:hint="eastAsia" w:ascii="Times New Roman" w:hAnsi="Times New Roman" w:eastAsia="仿宋_GB2312"/>
          <w:color w:val="auto"/>
          <w:kern w:val="0"/>
          <w:sz w:val="30"/>
          <w:szCs w:val="30"/>
        </w:rPr>
        <w:t>区</w:t>
      </w:r>
      <w:r>
        <w:rPr>
          <w:rFonts w:ascii="Times New Roman" w:hAnsi="Times New Roman" w:eastAsia="仿宋_GB2312"/>
          <w:color w:val="auto"/>
          <w:kern w:val="0"/>
          <w:sz w:val="30"/>
          <w:szCs w:val="30"/>
        </w:rPr>
        <w:t>管理规程》</w:t>
      </w:r>
      <w:r>
        <w:rPr>
          <w:rFonts w:hint="eastAsia" w:ascii="Times New Roman" w:hAnsi="Times New Roman" w:eastAsia="仿宋_GB2312"/>
          <w:color w:val="auto"/>
          <w:kern w:val="0"/>
          <w:sz w:val="30"/>
          <w:szCs w:val="30"/>
        </w:rPr>
        <w:t>（修订版）</w:t>
      </w:r>
      <w:r>
        <w:rPr>
          <w:rFonts w:ascii="Times New Roman" w:hAnsi="Times New Roman" w:eastAsia="仿宋_GB2312"/>
          <w:color w:val="auto"/>
          <w:kern w:val="0"/>
          <w:sz w:val="30"/>
          <w:szCs w:val="30"/>
        </w:rPr>
        <w:t>要求，结合荣成市经济社会发展与生态文明建设实际，确定建设指标体系涵盖生态制度</w:t>
      </w:r>
      <w:r>
        <w:rPr>
          <w:rFonts w:hint="eastAsia" w:ascii="Times New Roman" w:hAnsi="Times New Roman" w:eastAsia="仿宋_GB2312"/>
          <w:color w:val="auto"/>
          <w:kern w:val="0"/>
          <w:sz w:val="30"/>
          <w:szCs w:val="30"/>
        </w:rPr>
        <w:t>、生态安全、</w:t>
      </w:r>
      <w:r>
        <w:rPr>
          <w:rFonts w:ascii="Times New Roman" w:hAnsi="Times New Roman" w:eastAsia="仿宋_GB2312"/>
          <w:color w:val="auto"/>
          <w:kern w:val="0"/>
          <w:sz w:val="30"/>
          <w:szCs w:val="30"/>
        </w:rPr>
        <w:t>生态空间、生态经济、生态生活、生态文化六个领域，涉及目标责任体系与制度建设、生态环境质量改善、生态系统保护、生态环境风险、空间格局优化、资源节约与利用、产业循环发展、人居环境改善、生活方式绿色化、观念意识普及十大任务，共设置</w:t>
      </w:r>
      <w:r>
        <w:rPr>
          <w:rFonts w:hint="eastAsia" w:ascii="Times New Roman" w:hAnsi="Times New Roman" w:eastAsia="仿宋_GB2312"/>
          <w:color w:val="auto"/>
          <w:kern w:val="0"/>
          <w:sz w:val="30"/>
          <w:szCs w:val="30"/>
        </w:rPr>
        <w:t>37</w:t>
      </w:r>
      <w:r>
        <w:rPr>
          <w:rFonts w:ascii="Times New Roman" w:hAnsi="Times New Roman" w:eastAsia="仿宋_GB2312"/>
          <w:color w:val="auto"/>
          <w:kern w:val="0"/>
          <w:sz w:val="30"/>
          <w:szCs w:val="30"/>
        </w:rPr>
        <w:t>项建设指标，其中约束性指标20项</w:t>
      </w:r>
      <w:r>
        <w:rPr>
          <w:rFonts w:hint="eastAsia" w:ascii="Times New Roman" w:hAnsi="Times New Roman" w:eastAsia="仿宋_GB2312"/>
          <w:color w:val="auto"/>
          <w:kern w:val="0"/>
          <w:sz w:val="30"/>
          <w:szCs w:val="30"/>
        </w:rPr>
        <w:t>（*表示约束性指标）</w:t>
      </w:r>
      <w:r>
        <w:rPr>
          <w:rFonts w:ascii="Times New Roman" w:hAnsi="Times New Roman" w:eastAsia="仿宋_GB2312"/>
          <w:color w:val="auto"/>
          <w:kern w:val="0"/>
          <w:sz w:val="30"/>
          <w:szCs w:val="30"/>
        </w:rPr>
        <w:t>，参考性指标</w:t>
      </w:r>
      <w:r>
        <w:rPr>
          <w:rFonts w:hint="eastAsia" w:ascii="Times New Roman" w:hAnsi="Times New Roman" w:eastAsia="仿宋_GB2312"/>
          <w:color w:val="auto"/>
          <w:kern w:val="0"/>
          <w:sz w:val="30"/>
          <w:szCs w:val="30"/>
        </w:rPr>
        <w:t>17</w:t>
      </w:r>
      <w:r>
        <w:rPr>
          <w:rFonts w:ascii="Times New Roman" w:hAnsi="Times New Roman" w:eastAsia="仿宋_GB2312"/>
          <w:color w:val="auto"/>
          <w:kern w:val="0"/>
          <w:sz w:val="30"/>
          <w:szCs w:val="30"/>
        </w:rPr>
        <w:t>项。</w:t>
      </w:r>
    </w:p>
    <w:p>
      <w:pPr>
        <w:pStyle w:val="25"/>
        <w:spacing w:line="360" w:lineRule="auto"/>
        <w:jc w:val="center"/>
        <w:rPr>
          <w:rFonts w:ascii="Times New Roman" w:hAnsi="Times New Roman" w:eastAsia="宋体"/>
          <w:b/>
          <w:bCs/>
          <w:color w:val="auto"/>
          <w:spacing w:val="-4"/>
          <w:kern w:val="2"/>
          <w:sz w:val="28"/>
          <w:szCs w:val="28"/>
        </w:rPr>
      </w:pPr>
      <w:r>
        <w:rPr>
          <w:rFonts w:ascii="Times New Roman" w:hAnsi="Times New Roman" w:eastAsia="方正仿宋_GB2312"/>
          <w:b/>
          <w:bCs/>
          <w:color w:val="auto"/>
          <w:kern w:val="2"/>
          <w:sz w:val="30"/>
          <w:szCs w:val="30"/>
        </w:rPr>
        <w:t>荣成市国家生态文明建设示范区规划建设指标表</w:t>
      </w:r>
    </w:p>
    <w:tbl>
      <w:tblPr>
        <w:tblStyle w:val="19"/>
        <w:tblW w:w="143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00"/>
        <w:gridCol w:w="711"/>
        <w:gridCol w:w="711"/>
        <w:gridCol w:w="880"/>
        <w:gridCol w:w="69"/>
        <w:gridCol w:w="2119"/>
        <w:gridCol w:w="720"/>
        <w:gridCol w:w="2119"/>
        <w:gridCol w:w="1795"/>
        <w:gridCol w:w="1563"/>
        <w:gridCol w:w="1538"/>
        <w:gridCol w:w="140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95" w:hRule="atLeast"/>
          <w:jc w:val="center"/>
        </w:trPr>
        <w:tc>
          <w:tcPr>
            <w:tcW w:w="70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bookmarkStart w:id="105" w:name="_Hlk49415060"/>
            <w:r>
              <w:rPr>
                <w:rFonts w:ascii="Times New Roman" w:hAnsi="Times New Roman" w:eastAsia="仿宋_GB2312"/>
                <w:b/>
                <w:color w:val="auto"/>
                <w:kern w:val="0"/>
                <w:szCs w:val="21"/>
              </w:rPr>
              <w:t>领域</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任务</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szCs w:val="21"/>
              </w:rPr>
            </w:pPr>
            <w:r>
              <w:rPr>
                <w:rFonts w:ascii="Times New Roman" w:hAnsi="Times New Roman" w:eastAsia="仿宋_GB2312"/>
                <w:b/>
                <w:color w:val="auto"/>
                <w:kern w:val="0"/>
                <w:szCs w:val="21"/>
              </w:rPr>
              <w:t>序号</w:t>
            </w:r>
          </w:p>
        </w:tc>
        <w:tc>
          <w:tcPr>
            <w:tcW w:w="3068" w:type="dxa"/>
            <w:gridSpan w:val="3"/>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szCs w:val="21"/>
              </w:rPr>
            </w:pPr>
            <w:r>
              <w:rPr>
                <w:rFonts w:ascii="Times New Roman" w:hAnsi="Times New Roman" w:eastAsia="仿宋_GB2312"/>
                <w:b/>
                <w:color w:val="auto"/>
                <w:kern w:val="0"/>
                <w:szCs w:val="21"/>
              </w:rPr>
              <w:t>指标名称</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szCs w:val="21"/>
              </w:rPr>
            </w:pPr>
            <w:r>
              <w:rPr>
                <w:rFonts w:ascii="Times New Roman" w:hAnsi="Times New Roman" w:eastAsia="仿宋_GB2312"/>
                <w:b/>
                <w:color w:val="auto"/>
                <w:kern w:val="0"/>
                <w:szCs w:val="21"/>
              </w:rPr>
              <w:t>单位</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szCs w:val="21"/>
              </w:rPr>
            </w:pPr>
            <w:r>
              <w:rPr>
                <w:rFonts w:ascii="Times New Roman" w:hAnsi="Times New Roman" w:eastAsia="仿宋_GB2312"/>
                <w:b/>
                <w:color w:val="auto"/>
                <w:kern w:val="0"/>
                <w:szCs w:val="21"/>
              </w:rPr>
              <w:t>指标值</w:t>
            </w:r>
          </w:p>
        </w:tc>
        <w:tc>
          <w:tcPr>
            <w:tcW w:w="1795" w:type="dxa"/>
            <w:tcBorders>
              <w:tl2br w:val="nil"/>
              <w:tr2bl w:val="nil"/>
            </w:tcBorders>
            <w:tcMar>
              <w:top w:w="10" w:type="dxa"/>
              <w:left w:w="10" w:type="dxa"/>
              <w:right w:w="10" w:type="dxa"/>
            </w:tcMar>
            <w:vAlign w:val="center"/>
          </w:tcPr>
          <w:p>
            <w:pPr>
              <w:widowControl/>
              <w:jc w:val="center"/>
              <w:textAlignment w:val="center"/>
              <w:rPr>
                <w:rStyle w:val="26"/>
                <w:rFonts w:ascii="Times New Roman" w:hAnsi="Times New Roman" w:cs="Times New Roman"/>
                <w:color w:val="auto"/>
              </w:rPr>
            </w:pPr>
            <w:r>
              <w:rPr>
                <w:rFonts w:ascii="Times New Roman" w:hAnsi="Times New Roman" w:eastAsia="仿宋_GB2312"/>
                <w:b/>
                <w:color w:val="auto"/>
                <w:kern w:val="0"/>
                <w:szCs w:val="21"/>
              </w:rPr>
              <w:t>2020</w:t>
            </w:r>
            <w:r>
              <w:rPr>
                <w:rStyle w:val="26"/>
                <w:rFonts w:ascii="Times New Roman" w:hAnsi="Times New Roman" w:cs="Times New Roman"/>
                <w:color w:val="auto"/>
              </w:rPr>
              <w:t>年</w:t>
            </w:r>
          </w:p>
          <w:p>
            <w:pPr>
              <w:widowControl/>
              <w:jc w:val="center"/>
              <w:textAlignment w:val="center"/>
              <w:rPr>
                <w:rFonts w:ascii="Times New Roman" w:hAnsi="Times New Roman" w:eastAsia="仿宋_GB2312"/>
                <w:b/>
                <w:color w:val="auto"/>
                <w:szCs w:val="21"/>
              </w:rPr>
            </w:pPr>
            <w:r>
              <w:rPr>
                <w:rStyle w:val="26"/>
                <w:rFonts w:ascii="Times New Roman" w:hAnsi="Times New Roman" w:cs="Times New Roman"/>
                <w:color w:val="auto"/>
              </w:rPr>
              <w:t>现状</w:t>
            </w:r>
          </w:p>
        </w:tc>
        <w:tc>
          <w:tcPr>
            <w:tcW w:w="1563" w:type="dxa"/>
            <w:tcBorders>
              <w:tl2br w:val="nil"/>
              <w:tr2bl w:val="nil"/>
            </w:tcBorders>
            <w:tcMar>
              <w:top w:w="10" w:type="dxa"/>
              <w:left w:w="10" w:type="dxa"/>
              <w:right w:w="10" w:type="dxa"/>
            </w:tcMar>
            <w:vAlign w:val="center"/>
          </w:tcPr>
          <w:p>
            <w:pPr>
              <w:widowControl/>
              <w:jc w:val="center"/>
              <w:textAlignment w:val="center"/>
              <w:rPr>
                <w:rStyle w:val="26"/>
                <w:rFonts w:ascii="Times New Roman" w:hAnsi="Times New Roman" w:cs="Times New Roman"/>
                <w:color w:val="auto"/>
              </w:rPr>
            </w:pPr>
            <w:r>
              <w:rPr>
                <w:rStyle w:val="26"/>
                <w:rFonts w:ascii="Times New Roman" w:hAnsi="Times New Roman" w:cs="Times New Roman"/>
                <w:color w:val="auto"/>
              </w:rPr>
              <w:t>2025年</w:t>
            </w:r>
          </w:p>
          <w:p>
            <w:pPr>
              <w:widowControl/>
              <w:jc w:val="center"/>
              <w:textAlignment w:val="center"/>
              <w:rPr>
                <w:rStyle w:val="26"/>
                <w:rFonts w:ascii="Times New Roman" w:hAnsi="Times New Roman" w:cs="Times New Roman"/>
                <w:color w:val="auto"/>
              </w:rPr>
            </w:pPr>
            <w:r>
              <w:rPr>
                <w:rStyle w:val="26"/>
                <w:rFonts w:ascii="Times New Roman" w:hAnsi="Times New Roman" w:cs="Times New Roman"/>
                <w:color w:val="auto"/>
              </w:rPr>
              <w:t>目标</w:t>
            </w:r>
          </w:p>
        </w:tc>
        <w:tc>
          <w:tcPr>
            <w:tcW w:w="1538" w:type="dxa"/>
            <w:tcBorders>
              <w:tl2br w:val="nil"/>
              <w:tr2bl w:val="nil"/>
            </w:tcBorders>
            <w:tcMar>
              <w:top w:w="10" w:type="dxa"/>
              <w:left w:w="10" w:type="dxa"/>
              <w:right w:w="10" w:type="dxa"/>
            </w:tcMar>
            <w:vAlign w:val="center"/>
          </w:tcPr>
          <w:p>
            <w:pPr>
              <w:widowControl/>
              <w:jc w:val="center"/>
              <w:textAlignment w:val="center"/>
              <w:rPr>
                <w:rStyle w:val="26"/>
                <w:rFonts w:ascii="Times New Roman" w:hAnsi="Times New Roman" w:cs="Times New Roman"/>
                <w:color w:val="auto"/>
              </w:rPr>
            </w:pPr>
            <w:r>
              <w:rPr>
                <w:rStyle w:val="26"/>
                <w:rFonts w:ascii="Times New Roman" w:hAnsi="Times New Roman" w:cs="Times New Roman"/>
                <w:color w:val="auto"/>
              </w:rPr>
              <w:t>2030年</w:t>
            </w:r>
          </w:p>
          <w:p>
            <w:pPr>
              <w:widowControl/>
              <w:jc w:val="center"/>
              <w:textAlignment w:val="center"/>
              <w:rPr>
                <w:rStyle w:val="26"/>
                <w:rFonts w:ascii="Times New Roman" w:hAnsi="Times New Roman" w:cs="Times New Roman"/>
                <w:color w:val="auto"/>
              </w:rPr>
            </w:pPr>
            <w:r>
              <w:rPr>
                <w:rStyle w:val="26"/>
                <w:rFonts w:ascii="Times New Roman" w:hAnsi="Times New Roman" w:cs="Times New Roman"/>
                <w:color w:val="auto"/>
              </w:rPr>
              <w:t>目标</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highlight w:val="yellow"/>
              </w:rPr>
            </w:pPr>
            <w:r>
              <w:rPr>
                <w:rFonts w:ascii="Times New Roman" w:hAnsi="Times New Roman" w:eastAsia="仿宋_GB2312"/>
                <w:b/>
                <w:color w:val="auto"/>
                <w:kern w:val="0"/>
                <w:szCs w:val="21"/>
              </w:rPr>
              <w:t>责任单位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700"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制度</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（一）目标责任体系与制度建设</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生态文明建设规划</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制定实施</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制定实施</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制定实施</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制定实施</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荣成市创建生态文明建设示范市工作领导小组</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9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党委政府对生态文明建设重大目标任务部署情况</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有效开展</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有效开展</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有效开展</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有效开展</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市委、市政府、生态环境局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9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生态文明建设工作占党政实绩考核的比例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≥20</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25</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30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32</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市委组织部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河长制</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全面实施</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全面实施</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全面实施</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全面实施</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市生态文明建设协调中心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9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5*</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生态环境信息公开率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100</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8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6</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依法开展规划环境影响评价</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开展</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开展</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开展</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开展</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700"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安全</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（二）生态环境质量改善</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7*</w:t>
            </w:r>
          </w:p>
        </w:tc>
        <w:tc>
          <w:tcPr>
            <w:tcW w:w="949" w:type="dxa"/>
            <w:gridSpan w:val="2"/>
            <w:vMerge w:val="restart"/>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环境空气质量</w:t>
            </w:r>
          </w:p>
        </w:tc>
        <w:tc>
          <w:tcPr>
            <w:tcW w:w="2119" w:type="dxa"/>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优良天数比例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完成上级规定的考核任务，保持稳定或持续改善</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98.4</w:t>
            </w:r>
          </w:p>
        </w:tc>
        <w:tc>
          <w:tcPr>
            <w:tcW w:w="156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完成上级规定的考核任务，保持稳定</w:t>
            </w:r>
          </w:p>
        </w:tc>
        <w:tc>
          <w:tcPr>
            <w:tcW w:w="1538"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完成上级规定的考核任务，保持稳定</w:t>
            </w:r>
          </w:p>
        </w:tc>
        <w:tc>
          <w:tcPr>
            <w:tcW w:w="140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5"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949" w:type="dxa"/>
            <w:gridSpan w:val="2"/>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19" w:type="dxa"/>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PM</w:t>
            </w:r>
            <w:r>
              <w:rPr>
                <w:rStyle w:val="27"/>
                <w:rFonts w:eastAsia="仿宋_GB2312"/>
                <w:color w:val="auto"/>
              </w:rPr>
              <w:t>2.5</w:t>
            </w:r>
            <w:r>
              <w:rPr>
                <w:rStyle w:val="28"/>
                <w:rFonts w:ascii="Times New Roman" w:hAnsi="Times New Roman" w:cs="Times New Roman"/>
                <w:color w:val="auto"/>
              </w:rPr>
              <w:t>浓度下降幅度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highlight w:val="yellow"/>
              </w:rPr>
            </w:pPr>
            <w:r>
              <w:rPr>
                <w:rFonts w:ascii="Times New Roman" w:hAnsi="Times New Roman" w:eastAsia="仿宋_GB2312"/>
                <w:color w:val="auto"/>
                <w:szCs w:val="21"/>
              </w:rPr>
              <w:t>4.8</w:t>
            </w:r>
          </w:p>
        </w:tc>
        <w:tc>
          <w:tcPr>
            <w:tcW w:w="1563"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1538"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0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w:t>
            </w:r>
          </w:p>
        </w:tc>
        <w:tc>
          <w:tcPr>
            <w:tcW w:w="949" w:type="dxa"/>
            <w:gridSpan w:val="2"/>
            <w:vMerge w:val="restart"/>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水环境质量</w:t>
            </w:r>
          </w:p>
        </w:tc>
        <w:tc>
          <w:tcPr>
            <w:tcW w:w="2119" w:type="dxa"/>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水质达到或优于</w:t>
            </w:r>
            <w:r>
              <w:rPr>
                <w:rStyle w:val="29"/>
                <w:rFonts w:eastAsia="仿宋_GB2312"/>
                <w:color w:val="auto"/>
              </w:rPr>
              <w:t>Ⅲ</w:t>
            </w:r>
            <w:r>
              <w:rPr>
                <w:rStyle w:val="28"/>
                <w:rFonts w:ascii="Times New Roman" w:hAnsi="Times New Roman" w:cs="Times New Roman"/>
                <w:color w:val="auto"/>
              </w:rPr>
              <w:t>类比例提高幅度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完成上级规定的考核任务；保持稳定或持续改善</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保持优良</w:t>
            </w:r>
          </w:p>
        </w:tc>
        <w:tc>
          <w:tcPr>
            <w:tcW w:w="156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完成上级规定的考核任务；保持稳定或持续改善</w:t>
            </w:r>
          </w:p>
        </w:tc>
        <w:tc>
          <w:tcPr>
            <w:tcW w:w="1538"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完成上级规定的考核任务；保持稳定或持续改善</w:t>
            </w:r>
          </w:p>
        </w:tc>
        <w:tc>
          <w:tcPr>
            <w:tcW w:w="140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25"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949" w:type="dxa"/>
            <w:gridSpan w:val="2"/>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19" w:type="dxa"/>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劣</w:t>
            </w:r>
            <w:r>
              <w:rPr>
                <w:rStyle w:val="29"/>
                <w:rFonts w:eastAsia="仿宋_GB2312"/>
                <w:color w:val="auto"/>
              </w:rPr>
              <w:t>Ⅴ</w:t>
            </w:r>
            <w:r>
              <w:rPr>
                <w:rStyle w:val="28"/>
                <w:rFonts w:ascii="Times New Roman" w:hAnsi="Times New Roman" w:cs="Times New Roman"/>
                <w:color w:val="auto"/>
              </w:rPr>
              <w:t>类水体比例下降幅度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无劣Ⅴ类</w:t>
            </w:r>
          </w:p>
        </w:tc>
        <w:tc>
          <w:tcPr>
            <w:tcW w:w="1563"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1538"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949" w:type="dxa"/>
            <w:gridSpan w:val="2"/>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19" w:type="dxa"/>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黑臭水体消除比例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1538"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2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numPr>
                <w:ilvl w:val="0"/>
                <w:numId w:val="2"/>
              </w:numPr>
              <w:jc w:val="center"/>
              <w:textAlignment w:val="center"/>
              <w:rPr>
                <w:rFonts w:ascii="Times New Roman" w:hAnsi="Times New Roman" w:eastAsia="仿宋_GB2312"/>
                <w:b/>
                <w:color w:val="auto"/>
                <w:kern w:val="0"/>
                <w:szCs w:val="21"/>
              </w:rPr>
            </w:pP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系统</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保护</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w:t>
            </w:r>
          </w:p>
        </w:tc>
        <w:tc>
          <w:tcPr>
            <w:tcW w:w="3068" w:type="dxa"/>
            <w:gridSpan w:val="3"/>
            <w:tcBorders>
              <w:tl2br w:val="nil"/>
              <w:tr2bl w:val="nil"/>
            </w:tcBorders>
            <w:tcMar>
              <w:top w:w="10" w:type="dxa"/>
              <w:left w:w="10" w:type="dxa"/>
              <w:right w:w="10" w:type="dxa"/>
            </w:tcMar>
            <w:vAlign w:val="center"/>
          </w:tcPr>
          <w:p>
            <w:pPr>
              <w:widowControl/>
              <w:textAlignment w:val="center"/>
              <w:rPr>
                <w:rStyle w:val="28"/>
                <w:rFonts w:ascii="Times New Roman" w:hAnsi="Times New Roman" w:cs="Times New Roman"/>
                <w:color w:val="auto"/>
              </w:rPr>
            </w:pPr>
            <w:r>
              <w:rPr>
                <w:rFonts w:ascii="Times New Roman" w:hAnsi="Times New Roman" w:eastAsia="仿宋_GB2312"/>
                <w:color w:val="auto"/>
                <w:kern w:val="0"/>
                <w:szCs w:val="21"/>
              </w:rPr>
              <w:t>生态环境状况指数（</w:t>
            </w:r>
            <w:r>
              <w:rPr>
                <w:rStyle w:val="29"/>
                <w:rFonts w:eastAsia="仿宋_GB2312"/>
                <w:color w:val="auto"/>
              </w:rPr>
              <w:t>EI</w:t>
            </w:r>
            <w:r>
              <w:rPr>
                <w:rStyle w:val="28"/>
                <w:rFonts w:ascii="Times New Roman" w:hAnsi="Times New Roman" w:cs="Times New Roman"/>
                <w:color w:val="auto"/>
              </w:rPr>
              <w:t>）</w:t>
            </w:r>
          </w:p>
          <w:p>
            <w:pPr>
              <w:widowControl/>
              <w:textAlignment w:val="center"/>
              <w:rPr>
                <w:rFonts w:ascii="Times New Roman" w:hAnsi="Times New Roman" w:eastAsia="仿宋_GB2312"/>
                <w:color w:val="auto"/>
                <w:szCs w:val="21"/>
              </w:rPr>
            </w:pPr>
            <w:r>
              <w:rPr>
                <w:rStyle w:val="28"/>
                <w:rFonts w:ascii="Times New Roman" w:hAnsi="Times New Roman" w:cs="Times New Roman"/>
                <w:color w:val="auto"/>
              </w:rPr>
              <w:t>（</w:t>
            </w:r>
            <w:r>
              <w:rPr>
                <w:rStyle w:val="28"/>
                <w:rFonts w:hint="eastAsia" w:ascii="Times New Roman" w:hAnsi="Times New Roman" w:cs="Times New Roman"/>
                <w:color w:val="auto"/>
              </w:rPr>
              <w:t>半湿润地区</w:t>
            </w:r>
            <w:r>
              <w:rPr>
                <w:rStyle w:val="28"/>
                <w:rFonts w:ascii="Times New Roman" w:hAnsi="Times New Roman" w:cs="Times New Roman"/>
                <w:color w:val="auto"/>
              </w:rPr>
              <w:t>）</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r>
              <w:rPr>
                <w:rFonts w:hint="eastAsia" w:ascii="Times New Roman" w:hAnsi="Times New Roman" w:eastAsia="仿宋_GB2312"/>
                <w:color w:val="auto"/>
                <w:kern w:val="0"/>
                <w:szCs w:val="21"/>
              </w:rPr>
              <w:t>55</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68.12（2019年）</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≥70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≥70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0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林草覆盖率（丘陵地区）</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40.7</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≥41</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≥41</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自然资源局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11</w:t>
            </w:r>
          </w:p>
        </w:tc>
        <w:tc>
          <w:tcPr>
            <w:tcW w:w="880" w:type="dxa"/>
            <w:vMerge w:val="restart"/>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生物多样性保护</w:t>
            </w: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国家重点保护野生动植物保护率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≥95</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96</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≥96</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≥96</w:t>
            </w:r>
          </w:p>
        </w:tc>
        <w:tc>
          <w:tcPr>
            <w:tcW w:w="140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自然资源局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00"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880" w:type="dxa"/>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外来物种入侵</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不明显</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kern w:val="0"/>
                <w:szCs w:val="21"/>
              </w:rPr>
              <w:t>不明显</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kern w:val="0"/>
                <w:szCs w:val="21"/>
              </w:rPr>
              <w:t>不明显</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kern w:val="0"/>
                <w:szCs w:val="21"/>
              </w:rPr>
              <w:t>不明显</w:t>
            </w: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880" w:type="dxa"/>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特有性或指示性水生物种保持率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不降低</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kern w:val="0"/>
                <w:szCs w:val="21"/>
              </w:rPr>
              <w:t>不降低</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kern w:val="0"/>
                <w:szCs w:val="21"/>
              </w:rPr>
              <w:t>不降低</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kern w:val="0"/>
                <w:szCs w:val="21"/>
              </w:rPr>
              <w:t>不降低</w:t>
            </w: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4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12</w:t>
            </w:r>
          </w:p>
        </w:tc>
        <w:tc>
          <w:tcPr>
            <w:tcW w:w="880" w:type="dxa"/>
            <w:vMerge w:val="restart"/>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海岸生态修复</w:t>
            </w: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自然岸线修复长度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公里</w:t>
            </w:r>
          </w:p>
        </w:tc>
        <w:tc>
          <w:tcPr>
            <w:tcW w:w="2119"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完成上级管控指标</w:t>
            </w:r>
          </w:p>
        </w:tc>
        <w:tc>
          <w:tcPr>
            <w:tcW w:w="1795"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完成上级管控指标</w:t>
            </w:r>
          </w:p>
        </w:tc>
        <w:tc>
          <w:tcPr>
            <w:tcW w:w="156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完成上级管控指标</w:t>
            </w:r>
          </w:p>
        </w:tc>
        <w:tc>
          <w:tcPr>
            <w:tcW w:w="1538"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完成上级管控指标</w:t>
            </w:r>
          </w:p>
        </w:tc>
        <w:tc>
          <w:tcPr>
            <w:tcW w:w="140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海洋发展局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4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880" w:type="dxa"/>
            <w:vMerge w:val="continue"/>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kern w:val="0"/>
                <w:szCs w:val="21"/>
              </w:rPr>
            </w:pP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滨海湿地修复面积</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公顷</w:t>
            </w:r>
          </w:p>
        </w:tc>
        <w:tc>
          <w:tcPr>
            <w:tcW w:w="2119"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795"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56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538"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4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（四）生态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环境</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风险</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13*</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危险废物利用处置率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14</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建设用地土壤污染风险管控和修复名录制度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建立</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建立</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实施</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实施</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生态环境局、自然资源局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8"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15*</w:t>
            </w:r>
          </w:p>
        </w:tc>
        <w:tc>
          <w:tcPr>
            <w:tcW w:w="3068" w:type="dxa"/>
            <w:gridSpan w:val="3"/>
            <w:tcBorders>
              <w:tl2br w:val="nil"/>
              <w:tr2bl w:val="nil"/>
            </w:tcBorders>
            <w:tcMar>
              <w:top w:w="10" w:type="dxa"/>
              <w:left w:w="10" w:type="dxa"/>
              <w:right w:w="10" w:type="dxa"/>
            </w:tcMar>
            <w:vAlign w:val="center"/>
          </w:tcPr>
          <w:p>
            <w:pPr>
              <w:widowControl/>
              <w:ind w:left="117"/>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突发环境事件应急管理机制</w:t>
            </w:r>
          </w:p>
        </w:tc>
        <w:tc>
          <w:tcPr>
            <w:tcW w:w="720"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建立</w:t>
            </w:r>
          </w:p>
        </w:tc>
        <w:tc>
          <w:tcPr>
            <w:tcW w:w="1795"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建立</w:t>
            </w:r>
          </w:p>
        </w:tc>
        <w:tc>
          <w:tcPr>
            <w:tcW w:w="1563"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实施</w:t>
            </w:r>
          </w:p>
        </w:tc>
        <w:tc>
          <w:tcPr>
            <w:tcW w:w="1538"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实施</w:t>
            </w:r>
          </w:p>
        </w:tc>
        <w:tc>
          <w:tcPr>
            <w:tcW w:w="1403"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生态环境局、应急管理局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700"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空间</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（五）空间</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格局</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优化</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16*</w:t>
            </w:r>
          </w:p>
        </w:tc>
        <w:tc>
          <w:tcPr>
            <w:tcW w:w="880" w:type="dxa"/>
            <w:vMerge w:val="restart"/>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自然生态空间</w:t>
            </w: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生态保护红线</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面积不减少，性质不改变，功能不降低</w:t>
            </w:r>
          </w:p>
        </w:tc>
        <w:tc>
          <w:tcPr>
            <w:tcW w:w="1795"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面积不减少，性质不改变，功能不降低</w:t>
            </w:r>
          </w:p>
        </w:tc>
        <w:tc>
          <w:tcPr>
            <w:tcW w:w="156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面积不减少，性质不改变，功能不降低</w:t>
            </w:r>
          </w:p>
        </w:tc>
        <w:tc>
          <w:tcPr>
            <w:tcW w:w="1538"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面积不减少，性质不改变，功能不降低</w:t>
            </w:r>
          </w:p>
        </w:tc>
        <w:tc>
          <w:tcPr>
            <w:tcW w:w="1403"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自然资源局、农业农村局、生态环境局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38"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880" w:type="dxa"/>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自然保护地</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795"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56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538"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c>
          <w:tcPr>
            <w:tcW w:w="1403"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7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17*</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自然岸线保有率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完成上级管控目标</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46.98，完成上级管控目标</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完成上级管控目标</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完成上级管控目标</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海洋发展局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7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18</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河湖岸线保护率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完成上级管控目标</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自然资源局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1080" w:hRule="atLeast"/>
          <w:jc w:val="center"/>
        </w:trPr>
        <w:tc>
          <w:tcPr>
            <w:tcW w:w="700"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经济</w:t>
            </w:r>
          </w:p>
        </w:tc>
        <w:tc>
          <w:tcPr>
            <w:tcW w:w="711" w:type="dxa"/>
            <w:vMerge w:val="restart"/>
            <w:tcBorders>
              <w:tl2br w:val="nil"/>
              <w:tr2bl w:val="nil"/>
            </w:tcBorders>
            <w:tcMar>
              <w:top w:w="10" w:type="dxa"/>
              <w:left w:w="10" w:type="dxa"/>
              <w:right w:w="10" w:type="dxa"/>
            </w:tcMar>
            <w:vAlign w:val="center"/>
          </w:tcPr>
          <w:p>
            <w:pPr>
              <w:widowControl/>
              <w:numPr>
                <w:ilvl w:val="0"/>
                <w:numId w:val="3"/>
              </w:numPr>
              <w:jc w:val="center"/>
              <w:textAlignment w:val="center"/>
              <w:rPr>
                <w:rFonts w:ascii="Times New Roman" w:hAnsi="Times New Roman" w:eastAsia="仿宋_GB2312"/>
                <w:b/>
                <w:color w:val="auto"/>
                <w:kern w:val="0"/>
                <w:szCs w:val="21"/>
              </w:rPr>
            </w:pP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资源</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节约</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与利</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用</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19*</w:t>
            </w:r>
          </w:p>
        </w:tc>
        <w:tc>
          <w:tcPr>
            <w:tcW w:w="3068" w:type="dxa"/>
            <w:gridSpan w:val="3"/>
            <w:tcBorders>
              <w:tl2br w:val="nil"/>
              <w:tr2bl w:val="nil"/>
            </w:tcBorders>
            <w:tcMar>
              <w:top w:w="10" w:type="dxa"/>
              <w:left w:w="10" w:type="dxa"/>
              <w:right w:w="10" w:type="dxa"/>
            </w:tcMar>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单位地区生产总值能耗</w:t>
            </w:r>
          </w:p>
        </w:tc>
        <w:tc>
          <w:tcPr>
            <w:tcW w:w="720" w:type="dxa"/>
            <w:tcBorders>
              <w:tl2br w:val="nil"/>
              <w:tr2bl w:val="nil"/>
            </w:tcBorders>
            <w:tcMar>
              <w:top w:w="10" w:type="dxa"/>
              <w:left w:w="10" w:type="dxa"/>
              <w:right w:w="10" w:type="dxa"/>
            </w:tcMar>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吨标煤</w:t>
            </w:r>
            <w:r>
              <w:rPr>
                <w:rStyle w:val="29"/>
                <w:rFonts w:eastAsia="仿宋_GB2312"/>
                <w:color w:val="auto"/>
              </w:rPr>
              <w:t>/</w:t>
            </w:r>
            <w:r>
              <w:rPr>
                <w:rStyle w:val="28"/>
                <w:rFonts w:ascii="Times New Roman" w:hAnsi="Times New Roman" w:cs="Times New Roman"/>
                <w:color w:val="auto"/>
              </w:rPr>
              <w:t>万元</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完成上级管控目标；荣成“十三五”能耗强度降低目标16%</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“十三五”期间降低30.47%，完成目标，其中2020年下降</w:t>
            </w:r>
            <w:r>
              <w:rPr>
                <w:rStyle w:val="29"/>
                <w:rFonts w:eastAsia="仿宋_GB2312"/>
                <w:color w:val="auto"/>
              </w:rPr>
              <w:t>7.73%</w:t>
            </w:r>
          </w:p>
        </w:tc>
        <w:tc>
          <w:tcPr>
            <w:tcW w:w="1563" w:type="dxa"/>
            <w:tcBorders>
              <w:tl2br w:val="nil"/>
              <w:tr2bl w:val="nil"/>
            </w:tcBorders>
            <w:tcMar>
              <w:top w:w="10" w:type="dxa"/>
              <w:left w:w="10" w:type="dxa"/>
              <w:right w:w="10" w:type="dxa"/>
            </w:tcMar>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完成上级规定的目标任务，保持稳定或持续改善</w:t>
            </w:r>
          </w:p>
        </w:tc>
        <w:tc>
          <w:tcPr>
            <w:tcW w:w="1538" w:type="dxa"/>
            <w:tcBorders>
              <w:tl2br w:val="nil"/>
              <w:tr2bl w:val="nil"/>
            </w:tcBorders>
            <w:tcMar>
              <w:top w:w="10" w:type="dxa"/>
              <w:left w:w="10" w:type="dxa"/>
              <w:right w:w="10" w:type="dxa"/>
            </w:tcMar>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完成上级规定的目标任务，保持稳定或持续改善</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发改委、统计局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单位地区生产总值用水量</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立方米</w:t>
            </w:r>
            <w:r>
              <w:rPr>
                <w:rStyle w:val="29"/>
                <w:rFonts w:eastAsia="仿宋_GB2312"/>
                <w:color w:val="auto"/>
              </w:rPr>
              <w:t>/</w:t>
            </w:r>
            <w:r>
              <w:rPr>
                <w:rStyle w:val="28"/>
                <w:rFonts w:ascii="Times New Roman" w:hAnsi="Times New Roman" w:cs="Times New Roman"/>
                <w:color w:val="auto"/>
              </w:rPr>
              <w:t>万元</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完成上级规定的目标任务；保持稳定或持续改善</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szCs w:val="21"/>
              </w:rPr>
              <w:t>10.23</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完成上级规定的目标任务；保持稳定或持续改善</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完成上级规定的目标任务；保持稳定或持续改善</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水利局、统计局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79"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21</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单位国内生产总值建设用地使用面积下降率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≥4.5</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5.67（2018年）</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自然资源局、统计局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79"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22</w:t>
            </w:r>
          </w:p>
        </w:tc>
        <w:tc>
          <w:tcPr>
            <w:tcW w:w="3068" w:type="dxa"/>
            <w:gridSpan w:val="3"/>
            <w:tcBorders>
              <w:tl2br w:val="nil"/>
              <w:tr2bl w:val="nil"/>
            </w:tcBorders>
            <w:tcMar>
              <w:top w:w="10" w:type="dxa"/>
              <w:left w:w="10" w:type="dxa"/>
              <w:right w:w="10" w:type="dxa"/>
            </w:tcMar>
            <w:vAlign w:val="center"/>
          </w:tcPr>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三大粮食作物化肥农药利用率</w:t>
            </w:r>
          </w:p>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化肥利用率</w:t>
            </w:r>
          </w:p>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农药利用率</w:t>
            </w:r>
          </w:p>
        </w:tc>
        <w:tc>
          <w:tcPr>
            <w:tcW w:w="720"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szCs w:val="21"/>
              </w:rPr>
              <w:t>≥43</w:t>
            </w:r>
          </w:p>
        </w:tc>
        <w:tc>
          <w:tcPr>
            <w:tcW w:w="1795"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预估达标</w:t>
            </w:r>
          </w:p>
        </w:tc>
        <w:tc>
          <w:tcPr>
            <w:tcW w:w="1563"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持续改善</w:t>
            </w:r>
          </w:p>
        </w:tc>
        <w:tc>
          <w:tcPr>
            <w:tcW w:w="1538"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持续改善</w:t>
            </w:r>
          </w:p>
        </w:tc>
        <w:tc>
          <w:tcPr>
            <w:tcW w:w="1403"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农业农村局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numPr>
                <w:ilvl w:val="0"/>
                <w:numId w:val="3"/>
              </w:numPr>
              <w:jc w:val="center"/>
              <w:textAlignment w:val="center"/>
              <w:rPr>
                <w:rFonts w:ascii="Times New Roman" w:hAnsi="Times New Roman" w:eastAsia="仿宋_GB2312"/>
                <w:b/>
                <w:color w:val="auto"/>
                <w:kern w:val="0"/>
                <w:szCs w:val="21"/>
              </w:rPr>
            </w:pP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产业</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循环</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发展</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23</w:t>
            </w:r>
          </w:p>
        </w:tc>
        <w:tc>
          <w:tcPr>
            <w:tcW w:w="880" w:type="dxa"/>
            <w:vMerge w:val="restart"/>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农业废弃物综合利用率</w:t>
            </w: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秸秆综合利用率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≥90</w:t>
            </w:r>
          </w:p>
        </w:tc>
        <w:tc>
          <w:tcPr>
            <w:tcW w:w="1795"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szCs w:val="21"/>
              </w:rPr>
            </w:pPr>
            <w:r>
              <w:rPr>
                <w:rFonts w:ascii="Times New Roman" w:hAnsi="Times New Roman" w:eastAsia="仿宋_GB2312"/>
                <w:color w:val="auto"/>
                <w:szCs w:val="21"/>
              </w:rPr>
              <w:t>97.6</w:t>
            </w:r>
            <w:r>
              <w:rPr>
                <w:rFonts w:hint="eastAsia" w:ascii="Times New Roman" w:hAnsi="Times New Roman" w:eastAsia="仿宋_GB2312"/>
                <w:color w:val="auto"/>
                <w:szCs w:val="21"/>
              </w:rPr>
              <w:t>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农业农村局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40"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880" w:type="dxa"/>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畜禽养殖场粪污综合利用率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≥75</w:t>
            </w:r>
          </w:p>
        </w:tc>
        <w:tc>
          <w:tcPr>
            <w:tcW w:w="1795"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szCs w:val="21"/>
              </w:rPr>
            </w:pPr>
            <w:r>
              <w:rPr>
                <w:rFonts w:ascii="Times New Roman" w:hAnsi="Times New Roman" w:eastAsia="仿宋_GB2312"/>
                <w:color w:val="auto"/>
                <w:szCs w:val="21"/>
              </w:rPr>
              <w:t>92.38</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≥95</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≥95</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农业农村局、各镇街道</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55" w:hRule="atLeast"/>
          <w:jc w:val="center"/>
        </w:trPr>
        <w:tc>
          <w:tcPr>
            <w:tcW w:w="700"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b/>
                <w:color w:val="auto"/>
                <w:szCs w:val="21"/>
              </w:rPr>
            </w:pPr>
          </w:p>
        </w:tc>
        <w:tc>
          <w:tcPr>
            <w:tcW w:w="711" w:type="dxa"/>
            <w:vMerge w:val="continue"/>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p>
        </w:tc>
        <w:tc>
          <w:tcPr>
            <w:tcW w:w="880" w:type="dxa"/>
            <w:vMerge w:val="continue"/>
            <w:tcBorders>
              <w:tl2br w:val="nil"/>
              <w:tr2bl w:val="nil"/>
            </w:tcBorders>
            <w:tcMar>
              <w:top w:w="10" w:type="dxa"/>
              <w:left w:w="10" w:type="dxa"/>
              <w:right w:w="10" w:type="dxa"/>
            </w:tcMar>
            <w:vAlign w:val="center"/>
          </w:tcPr>
          <w:p>
            <w:pPr>
              <w:rPr>
                <w:rFonts w:ascii="Times New Roman" w:hAnsi="Times New Roman" w:eastAsia="仿宋_GB2312"/>
                <w:color w:val="auto"/>
                <w:szCs w:val="21"/>
              </w:rPr>
            </w:pPr>
          </w:p>
        </w:tc>
        <w:tc>
          <w:tcPr>
            <w:tcW w:w="2188" w:type="dxa"/>
            <w:gridSpan w:val="2"/>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农膜回收利用率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≥80</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szCs w:val="21"/>
              </w:rPr>
              <w:t>90.88</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highlight w:val="yellow"/>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highlight w:val="yellow"/>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农业农村局、各镇街道</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9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24</w:t>
            </w:r>
          </w:p>
        </w:tc>
        <w:tc>
          <w:tcPr>
            <w:tcW w:w="3068" w:type="dxa"/>
            <w:gridSpan w:val="3"/>
            <w:tcBorders>
              <w:tl2br w:val="nil"/>
              <w:tr2bl w:val="nil"/>
            </w:tcBorders>
            <w:tcMar>
              <w:top w:w="10" w:type="dxa"/>
              <w:left w:w="10" w:type="dxa"/>
              <w:right w:w="10" w:type="dxa"/>
            </w:tcMar>
            <w:vAlign w:val="center"/>
          </w:tcPr>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一般工业固体废物综合利用率提高幅度</w:t>
            </w:r>
          </w:p>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综合利用率≤60%的地区</w:t>
            </w:r>
          </w:p>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综合利用率＞60%的地区</w:t>
            </w:r>
          </w:p>
        </w:tc>
        <w:tc>
          <w:tcPr>
            <w:tcW w:w="720"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≥2</w:t>
            </w:r>
          </w:p>
          <w:p>
            <w:pPr>
              <w:widowControl/>
              <w:adjustRightInd w:val="0"/>
              <w:snapToGrid w:val="0"/>
              <w:jc w:val="center"/>
              <w:rPr>
                <w:rFonts w:ascii="Times New Roman" w:hAnsi="Times New Roman" w:eastAsia="仿宋_GB2312"/>
                <w:color w:val="auto"/>
                <w:szCs w:val="21"/>
              </w:rPr>
            </w:pPr>
            <w:r>
              <w:rPr>
                <w:rFonts w:ascii="Times New Roman" w:hAnsi="Times New Roman" w:eastAsia="仿宋_GB2312"/>
                <w:color w:val="auto"/>
                <w:kern w:val="0"/>
                <w:szCs w:val="21"/>
              </w:rPr>
              <w:t>保持稳定或持续改善</w:t>
            </w:r>
          </w:p>
        </w:tc>
        <w:tc>
          <w:tcPr>
            <w:tcW w:w="1795"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szCs w:val="21"/>
              </w:rPr>
            </w:pPr>
            <w:r>
              <w:rPr>
                <w:rFonts w:ascii="Times New Roman" w:hAnsi="Times New Roman" w:eastAsia="仿宋_GB2312"/>
                <w:color w:val="auto"/>
                <w:szCs w:val="21"/>
              </w:rPr>
              <w:t>99.32</w:t>
            </w:r>
          </w:p>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szCs w:val="21"/>
              </w:rPr>
              <w:t>（2019年）</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700"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生活</w:t>
            </w: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（八）</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人居</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环境</w:t>
            </w:r>
          </w:p>
          <w:p>
            <w:pPr>
              <w:widowControl/>
              <w:jc w:val="center"/>
              <w:textAlignment w:val="center"/>
              <w:rPr>
                <w:rFonts w:ascii="Times New Roman" w:hAnsi="Times New Roman" w:eastAsia="仿宋_GB2312"/>
                <w:b/>
                <w:color w:val="auto"/>
                <w:szCs w:val="21"/>
              </w:rPr>
            </w:pPr>
            <w:r>
              <w:rPr>
                <w:rFonts w:ascii="Times New Roman" w:hAnsi="Times New Roman" w:eastAsia="仿宋_GB2312"/>
                <w:b/>
                <w:color w:val="auto"/>
                <w:kern w:val="0"/>
                <w:szCs w:val="21"/>
              </w:rPr>
              <w:t>改善</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25*</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集中式饮用水水源地水质优良比例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生态环境局、水利局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5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26*</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村镇饮用水卫生合格率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卫健局</w:t>
            </w:r>
            <w:r>
              <w:rPr>
                <w:rFonts w:hint="eastAsia" w:ascii="Times New Roman" w:hAnsi="Times New Roman" w:eastAsia="仿宋_GB2312"/>
                <w:color w:val="auto"/>
                <w:kern w:val="0"/>
                <w:szCs w:val="21"/>
              </w:rPr>
              <w:t>、</w:t>
            </w:r>
            <w:r>
              <w:rPr>
                <w:rFonts w:ascii="Times New Roman" w:hAnsi="Times New Roman" w:eastAsia="仿宋_GB2312"/>
                <w:color w:val="auto"/>
                <w:kern w:val="0"/>
                <w:szCs w:val="21"/>
              </w:rPr>
              <w:t>水利局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3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27*</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城镇污水处理率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≥85</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98</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住建局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28</w:t>
            </w:r>
          </w:p>
        </w:tc>
        <w:tc>
          <w:tcPr>
            <w:tcW w:w="3068" w:type="dxa"/>
            <w:gridSpan w:val="3"/>
            <w:tcBorders>
              <w:tl2br w:val="nil"/>
              <w:tr2bl w:val="nil"/>
            </w:tcBorders>
            <w:tcMar>
              <w:top w:w="10" w:type="dxa"/>
              <w:left w:w="10" w:type="dxa"/>
              <w:right w:w="10" w:type="dxa"/>
            </w:tcMar>
            <w:vAlign w:val="center"/>
          </w:tcPr>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农</w:t>
            </w:r>
            <w:r>
              <w:rPr>
                <w:rFonts w:hint="eastAsia" w:ascii="Times New Roman" w:hAnsi="Times New Roman" w:eastAsia="仿宋_GB2312"/>
                <w:color w:val="auto"/>
                <w:kern w:val="0"/>
                <w:szCs w:val="21"/>
              </w:rPr>
              <w:t>村</w:t>
            </w:r>
            <w:r>
              <w:rPr>
                <w:rFonts w:ascii="Times New Roman" w:hAnsi="Times New Roman" w:eastAsia="仿宋_GB2312"/>
                <w:color w:val="auto"/>
                <w:kern w:val="0"/>
                <w:szCs w:val="21"/>
              </w:rPr>
              <w:t>生活污水治理率</w:t>
            </w:r>
          </w:p>
        </w:tc>
        <w:tc>
          <w:tcPr>
            <w:tcW w:w="720"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kern w:val="0"/>
                <w:szCs w:val="21"/>
              </w:rPr>
              <w:t>≥50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hint="eastAsia" w:ascii="Times New Roman" w:hAnsi="Times New Roman" w:eastAsia="仿宋_GB2312"/>
                <w:color w:val="auto"/>
                <w:szCs w:val="21"/>
              </w:rPr>
              <w:t>56.53</w:t>
            </w:r>
          </w:p>
        </w:tc>
        <w:tc>
          <w:tcPr>
            <w:tcW w:w="1563" w:type="dxa"/>
            <w:tcBorders>
              <w:tl2br w:val="nil"/>
              <w:tr2bl w:val="nil"/>
            </w:tcBorders>
            <w:tcMar>
              <w:top w:w="10" w:type="dxa"/>
              <w:left w:w="10" w:type="dxa"/>
              <w:right w:w="10" w:type="dxa"/>
            </w:tcMar>
            <w:vAlign w:val="center"/>
          </w:tcPr>
          <w:p>
            <w:pPr>
              <w:jc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85</w:t>
            </w:r>
          </w:p>
        </w:tc>
        <w:tc>
          <w:tcPr>
            <w:tcW w:w="1538" w:type="dxa"/>
            <w:tcBorders>
              <w:tl2br w:val="nil"/>
              <w:tr2bl w:val="nil"/>
            </w:tcBorders>
            <w:tcMar>
              <w:top w:w="10" w:type="dxa"/>
              <w:left w:w="10" w:type="dxa"/>
              <w:right w:w="10" w:type="dxa"/>
            </w:tcMar>
            <w:vAlign w:val="center"/>
          </w:tcPr>
          <w:p>
            <w:pPr>
              <w:jc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90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4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29*</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城镇生活垃圾无害化处理率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住建局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4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30</w:t>
            </w:r>
          </w:p>
        </w:tc>
        <w:tc>
          <w:tcPr>
            <w:tcW w:w="3068" w:type="dxa"/>
            <w:gridSpan w:val="3"/>
            <w:tcBorders>
              <w:tl2br w:val="nil"/>
              <w:tr2bl w:val="nil"/>
            </w:tcBorders>
            <w:tcMar>
              <w:top w:w="10" w:type="dxa"/>
              <w:left w:w="10" w:type="dxa"/>
              <w:right w:w="10" w:type="dxa"/>
            </w:tcMar>
            <w:vAlign w:val="center"/>
          </w:tcPr>
          <w:p>
            <w:pPr>
              <w:widowControl/>
              <w:adjustRightInd w:val="0"/>
              <w:snapToGrid w:val="0"/>
              <w:jc w:val="left"/>
              <w:rPr>
                <w:rFonts w:ascii="Times New Roman" w:hAnsi="Times New Roman" w:eastAsia="仿宋_GB2312"/>
                <w:color w:val="auto"/>
                <w:kern w:val="0"/>
                <w:szCs w:val="21"/>
              </w:rPr>
            </w:pPr>
            <w:r>
              <w:rPr>
                <w:rFonts w:ascii="Times New Roman" w:hAnsi="Times New Roman" w:eastAsia="仿宋_GB2312"/>
                <w:color w:val="auto"/>
                <w:kern w:val="0"/>
                <w:szCs w:val="21"/>
              </w:rPr>
              <w:t>农村生活垃圾无害化处理村占比</w:t>
            </w:r>
          </w:p>
        </w:tc>
        <w:tc>
          <w:tcPr>
            <w:tcW w:w="720"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szCs w:val="21"/>
              </w:rPr>
              <w:t>%</w:t>
            </w:r>
          </w:p>
        </w:tc>
        <w:tc>
          <w:tcPr>
            <w:tcW w:w="2119"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kern w:val="0"/>
                <w:szCs w:val="21"/>
              </w:rPr>
            </w:pPr>
            <w:r>
              <w:rPr>
                <w:rFonts w:ascii="Times New Roman" w:hAnsi="Times New Roman" w:eastAsia="仿宋_GB2312"/>
                <w:color w:val="auto"/>
                <w:szCs w:val="21"/>
              </w:rPr>
              <w:t>≥80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住建局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79"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31*</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农村无害化厕所普及率</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完成上级规定的目标任务</w:t>
            </w:r>
          </w:p>
        </w:tc>
        <w:tc>
          <w:tcPr>
            <w:tcW w:w="1795"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szCs w:val="21"/>
              </w:rPr>
            </w:pPr>
            <w:r>
              <w:rPr>
                <w:rFonts w:ascii="Times New Roman" w:hAnsi="Times New Roman" w:eastAsia="仿宋_GB2312"/>
                <w:color w:val="auto"/>
                <w:szCs w:val="21"/>
              </w:rPr>
              <w:t>97</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完成上级规定的目标任务</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完成上级规定的目标任务</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住建局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3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（九）</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生活</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方式</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绿色</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化</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32</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城镇新建绿色建筑比例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≥50</w:t>
            </w:r>
          </w:p>
        </w:tc>
        <w:tc>
          <w:tcPr>
            <w:tcW w:w="1795" w:type="dxa"/>
            <w:tcBorders>
              <w:tl2br w:val="nil"/>
              <w:tr2bl w:val="nil"/>
            </w:tcBorders>
            <w:tcMar>
              <w:top w:w="10" w:type="dxa"/>
              <w:left w:w="10" w:type="dxa"/>
              <w:right w:w="10" w:type="dxa"/>
            </w:tcMar>
            <w:vAlign w:val="center"/>
          </w:tcPr>
          <w:p>
            <w:pPr>
              <w:adjustRightInd w:val="0"/>
              <w:snapToGrid w:val="0"/>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住建局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54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33</w:t>
            </w:r>
          </w:p>
        </w:tc>
        <w:tc>
          <w:tcPr>
            <w:tcW w:w="3068" w:type="dxa"/>
            <w:gridSpan w:val="3"/>
            <w:tcBorders>
              <w:tl2br w:val="nil"/>
              <w:tr2bl w:val="nil"/>
            </w:tcBorders>
            <w:tcMar>
              <w:top w:w="10" w:type="dxa"/>
              <w:left w:w="10" w:type="dxa"/>
              <w:right w:w="10" w:type="dxa"/>
            </w:tcMar>
            <w:vAlign w:val="center"/>
          </w:tcPr>
          <w:p>
            <w:pPr>
              <w:widowControl/>
              <w:ind w:left="117"/>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城镇生活垃圾分类减量化行动</w:t>
            </w:r>
          </w:p>
        </w:tc>
        <w:tc>
          <w:tcPr>
            <w:tcW w:w="720"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实施</w:t>
            </w:r>
          </w:p>
        </w:tc>
        <w:tc>
          <w:tcPr>
            <w:tcW w:w="1795"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szCs w:val="21"/>
              </w:rPr>
            </w:pPr>
            <w:r>
              <w:rPr>
                <w:rFonts w:hint="eastAsia" w:ascii="Times New Roman" w:hAnsi="Times New Roman" w:eastAsia="仿宋_GB2312"/>
                <w:color w:val="auto"/>
                <w:szCs w:val="21"/>
              </w:rPr>
              <w:t>实施</w:t>
            </w:r>
          </w:p>
        </w:tc>
        <w:tc>
          <w:tcPr>
            <w:tcW w:w="1563"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实施</w:t>
            </w:r>
          </w:p>
        </w:tc>
        <w:tc>
          <w:tcPr>
            <w:tcW w:w="1538"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实施</w:t>
            </w:r>
          </w:p>
        </w:tc>
        <w:tc>
          <w:tcPr>
            <w:tcW w:w="1403" w:type="dxa"/>
            <w:tcBorders>
              <w:tl2br w:val="nil"/>
              <w:tr2bl w:val="nil"/>
            </w:tcBorders>
            <w:tcMar>
              <w:top w:w="10" w:type="dxa"/>
              <w:left w:w="10" w:type="dxa"/>
              <w:right w:w="10" w:type="dxa"/>
            </w:tcMar>
            <w:vAlign w:val="center"/>
          </w:tcPr>
          <w:p>
            <w:pPr>
              <w:widowControl/>
              <w:ind w:left="117"/>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住建局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5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34*</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政府绿色采购比例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≥80</w:t>
            </w:r>
          </w:p>
        </w:tc>
        <w:tc>
          <w:tcPr>
            <w:tcW w:w="1795"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szCs w:val="21"/>
              </w:rPr>
              <w:t>85.86</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≥90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≥93</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财政局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80" w:hRule="atLeast"/>
          <w:jc w:val="center"/>
        </w:trPr>
        <w:tc>
          <w:tcPr>
            <w:tcW w:w="700" w:type="dxa"/>
            <w:vMerge w:val="restart"/>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生态</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文化</w:t>
            </w:r>
          </w:p>
        </w:tc>
        <w:tc>
          <w:tcPr>
            <w:tcW w:w="711" w:type="dxa"/>
            <w:vMerge w:val="restart"/>
            <w:tcBorders>
              <w:tl2br w:val="nil"/>
              <w:tr2bl w:val="nil"/>
            </w:tcBorders>
            <w:tcMar>
              <w:top w:w="10" w:type="dxa"/>
              <w:left w:w="10" w:type="dxa"/>
              <w:right w:w="10" w:type="dxa"/>
            </w:tcMar>
            <w:vAlign w:val="center"/>
          </w:tcPr>
          <w:p>
            <w:pPr>
              <w:widowControl/>
              <w:numPr>
                <w:ilvl w:val="0"/>
                <w:numId w:val="4"/>
              </w:numPr>
              <w:jc w:val="center"/>
              <w:textAlignment w:val="center"/>
              <w:rPr>
                <w:rFonts w:ascii="Times New Roman" w:hAnsi="Times New Roman" w:eastAsia="仿宋_GB2312"/>
                <w:b/>
                <w:color w:val="auto"/>
                <w:kern w:val="0"/>
                <w:szCs w:val="21"/>
              </w:rPr>
            </w:pP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观念</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意识</w:t>
            </w:r>
          </w:p>
          <w:p>
            <w:pPr>
              <w:widowControl/>
              <w:jc w:val="center"/>
              <w:textAlignment w:val="center"/>
              <w:rPr>
                <w:rFonts w:ascii="Times New Roman" w:hAnsi="Times New Roman" w:eastAsia="仿宋_GB2312"/>
                <w:b/>
                <w:color w:val="auto"/>
                <w:kern w:val="0"/>
                <w:szCs w:val="21"/>
              </w:rPr>
            </w:pPr>
            <w:r>
              <w:rPr>
                <w:rFonts w:ascii="Times New Roman" w:hAnsi="Times New Roman" w:eastAsia="仿宋_GB2312"/>
                <w:b/>
                <w:color w:val="auto"/>
                <w:kern w:val="0"/>
                <w:szCs w:val="21"/>
              </w:rPr>
              <w:t>普及</w:t>
            </w: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35</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党政领导干部参加生态文明培训的人数比例</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100</w:t>
            </w:r>
          </w:p>
        </w:tc>
        <w:tc>
          <w:tcPr>
            <w:tcW w:w="156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538"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100</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组织部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95"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36</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公众对生态文明建设的满意度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96.51</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60" w:hRule="atLeast"/>
          <w:jc w:val="center"/>
        </w:trPr>
        <w:tc>
          <w:tcPr>
            <w:tcW w:w="700"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vMerge w:val="continue"/>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b/>
                <w:color w:val="auto"/>
                <w:kern w:val="0"/>
                <w:szCs w:val="21"/>
              </w:rPr>
            </w:pPr>
          </w:p>
        </w:tc>
        <w:tc>
          <w:tcPr>
            <w:tcW w:w="711"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37</w:t>
            </w:r>
          </w:p>
        </w:tc>
        <w:tc>
          <w:tcPr>
            <w:tcW w:w="3068" w:type="dxa"/>
            <w:gridSpan w:val="3"/>
            <w:tcBorders>
              <w:tl2br w:val="nil"/>
              <w:tr2bl w:val="nil"/>
            </w:tcBorders>
            <w:tcMar>
              <w:top w:w="10" w:type="dxa"/>
              <w:left w:w="10" w:type="dxa"/>
              <w:right w:w="10" w:type="dxa"/>
            </w:tcMar>
            <w:vAlign w:val="center"/>
          </w:tcPr>
          <w:p>
            <w:pPr>
              <w:widowControl/>
              <w:textAlignment w:val="center"/>
              <w:rPr>
                <w:rFonts w:ascii="Times New Roman" w:hAnsi="Times New Roman" w:eastAsia="仿宋_GB2312"/>
                <w:color w:val="auto"/>
                <w:szCs w:val="21"/>
              </w:rPr>
            </w:pPr>
            <w:r>
              <w:rPr>
                <w:rFonts w:ascii="Times New Roman" w:hAnsi="Times New Roman" w:eastAsia="仿宋_GB2312"/>
                <w:color w:val="auto"/>
                <w:kern w:val="0"/>
                <w:szCs w:val="21"/>
              </w:rPr>
              <w:t>公众对生态文明建设的参与度</w:t>
            </w:r>
          </w:p>
        </w:tc>
        <w:tc>
          <w:tcPr>
            <w:tcW w:w="720"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w:t>
            </w:r>
          </w:p>
        </w:tc>
        <w:tc>
          <w:tcPr>
            <w:tcW w:w="2119"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≥80</w:t>
            </w:r>
          </w:p>
        </w:tc>
        <w:tc>
          <w:tcPr>
            <w:tcW w:w="1795"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szCs w:val="21"/>
              </w:rPr>
            </w:pPr>
            <w:r>
              <w:rPr>
                <w:rFonts w:ascii="Times New Roman" w:hAnsi="Times New Roman" w:eastAsia="仿宋_GB2312"/>
                <w:color w:val="auto"/>
                <w:szCs w:val="21"/>
              </w:rPr>
              <w:t>97.2</w:t>
            </w:r>
          </w:p>
        </w:tc>
        <w:tc>
          <w:tcPr>
            <w:tcW w:w="1563"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538" w:type="dxa"/>
            <w:tcBorders>
              <w:tl2br w:val="nil"/>
              <w:tr2bl w:val="nil"/>
            </w:tcBorders>
            <w:tcMar>
              <w:top w:w="10" w:type="dxa"/>
              <w:left w:w="10" w:type="dxa"/>
              <w:right w:w="10" w:type="dxa"/>
            </w:tcMar>
            <w:vAlign w:val="center"/>
          </w:tcPr>
          <w:p>
            <w:pPr>
              <w:jc w:val="center"/>
              <w:rPr>
                <w:rFonts w:ascii="Times New Roman" w:hAnsi="Times New Roman" w:eastAsia="仿宋_GB2312"/>
                <w:color w:val="auto"/>
                <w:kern w:val="0"/>
                <w:szCs w:val="21"/>
              </w:rPr>
            </w:pPr>
            <w:r>
              <w:rPr>
                <w:rFonts w:ascii="Times New Roman" w:hAnsi="Times New Roman" w:eastAsia="仿宋_GB2312"/>
                <w:color w:val="auto"/>
                <w:kern w:val="0"/>
                <w:szCs w:val="21"/>
              </w:rPr>
              <w:t>保持稳定</w:t>
            </w:r>
          </w:p>
        </w:tc>
        <w:tc>
          <w:tcPr>
            <w:tcW w:w="1403" w:type="dxa"/>
            <w:tcBorders>
              <w:tl2br w:val="nil"/>
              <w:tr2bl w:val="nil"/>
            </w:tcBorders>
            <w:tcMar>
              <w:top w:w="10" w:type="dxa"/>
              <w:left w:w="10" w:type="dxa"/>
              <w:right w:w="10" w:type="dxa"/>
            </w:tcMar>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生态环境局</w:t>
            </w:r>
          </w:p>
        </w:tc>
      </w:tr>
      <w:bookmarkEnd w:id="105"/>
    </w:tbl>
    <w:p>
      <w:pPr>
        <w:widowControl/>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注：*约束性指标</w:t>
      </w:r>
    </w:p>
    <w:p>
      <w:pPr>
        <w:pStyle w:val="25"/>
        <w:rPr>
          <w:rFonts w:ascii="Times New Roman" w:hAnsi="Times New Roman"/>
          <w:color w:val="auto"/>
        </w:rPr>
        <w:sectPr>
          <w:headerReference r:id="rId9" w:type="default"/>
          <w:pgSz w:w="16839" w:h="11907" w:orient="landscape"/>
          <w:pgMar w:top="1701" w:right="1418" w:bottom="1417" w:left="1418" w:header="720" w:footer="720" w:gutter="0"/>
          <w:pgBorders>
            <w:top w:val="none" w:sz="0" w:space="0"/>
            <w:left w:val="none" w:sz="0" w:space="0"/>
            <w:bottom w:val="none" w:sz="0" w:space="0"/>
            <w:right w:val="none" w:sz="0" w:space="0"/>
          </w:pgBorders>
          <w:pgNumType w:fmt="decimal"/>
          <w:cols w:space="720" w:num="1"/>
          <w:docGrid w:linePitch="286" w:charSpace="0"/>
        </w:sectPr>
      </w:pPr>
    </w:p>
    <w:p>
      <w:pPr>
        <w:spacing w:line="360" w:lineRule="auto"/>
        <w:jc w:val="center"/>
        <w:outlineLvl w:val="0"/>
        <w:rPr>
          <w:rFonts w:ascii="方正小标宋简体" w:hAnsi="方正小标宋简体" w:eastAsia="方正小标宋简体" w:cs="方正小标宋简体"/>
          <w:bCs/>
          <w:color w:val="auto"/>
          <w:sz w:val="44"/>
          <w:szCs w:val="44"/>
        </w:rPr>
      </w:pPr>
      <w:bookmarkStart w:id="106" w:name="_Toc11324"/>
      <w:bookmarkStart w:id="107" w:name="_Toc17286"/>
      <w:bookmarkStart w:id="108" w:name="_Toc19962"/>
      <w:r>
        <w:rPr>
          <w:rFonts w:hint="eastAsia" w:ascii="方正小标宋简体" w:hAnsi="方正小标宋简体" w:eastAsia="方正小标宋简体" w:cs="方正小标宋简体"/>
          <w:bCs/>
          <w:color w:val="auto"/>
          <w:sz w:val="44"/>
          <w:szCs w:val="44"/>
        </w:rPr>
        <w:t xml:space="preserve">第三章 </w:t>
      </w:r>
      <w:r>
        <w:rPr>
          <w:rFonts w:hint="eastAsia" w:ascii="方正小标宋简体" w:hAnsi="方正小标宋简体" w:eastAsia="方正小标宋简体" w:cs="方正小标宋简体"/>
          <w:bCs/>
          <w:color w:val="auto"/>
          <w:sz w:val="44"/>
          <w:szCs w:val="44"/>
          <w:lang w:val="en-US" w:eastAsia="zh-CN"/>
        </w:rPr>
        <w:t xml:space="preserve"> </w:t>
      </w:r>
      <w:r>
        <w:rPr>
          <w:rFonts w:hint="eastAsia" w:ascii="方正小标宋简体" w:hAnsi="方正小标宋简体" w:eastAsia="方正小标宋简体" w:cs="方正小标宋简体"/>
          <w:bCs/>
          <w:color w:val="auto"/>
          <w:sz w:val="44"/>
          <w:szCs w:val="44"/>
        </w:rPr>
        <w:t>规划任务与措施</w:t>
      </w:r>
      <w:bookmarkEnd w:id="106"/>
      <w:bookmarkEnd w:id="107"/>
      <w:bookmarkEnd w:id="108"/>
    </w:p>
    <w:p>
      <w:pPr>
        <w:spacing w:line="360" w:lineRule="auto"/>
        <w:jc w:val="center"/>
        <w:outlineLvl w:val="1"/>
        <w:rPr>
          <w:rFonts w:ascii="Times New Roman" w:hAnsi="Times New Roman" w:eastAsia="楷体"/>
          <w:b/>
          <w:bCs/>
          <w:color w:val="auto"/>
          <w:sz w:val="36"/>
          <w:szCs w:val="36"/>
        </w:rPr>
      </w:pPr>
      <w:bookmarkStart w:id="109" w:name="_Toc948"/>
      <w:bookmarkStart w:id="110" w:name="_Toc32321"/>
      <w:bookmarkStart w:id="111" w:name="_Toc7312"/>
      <w:bookmarkStart w:id="112" w:name="_Toc24970"/>
      <w:r>
        <w:rPr>
          <w:rFonts w:hint="eastAsia" w:ascii="Times New Roman" w:hAnsi="Times New Roman" w:eastAsia="楷体"/>
          <w:b/>
          <w:bCs/>
          <w:color w:val="auto"/>
          <w:sz w:val="36"/>
          <w:szCs w:val="36"/>
        </w:rPr>
        <w:t>第九条</w:t>
      </w:r>
      <w:r>
        <w:rPr>
          <w:rFonts w:hint="eastAsia" w:ascii="Times New Roman" w:hAnsi="Times New Roman" w:eastAsia="楷体"/>
          <w:b/>
          <w:bCs/>
          <w:color w:val="auto"/>
          <w:sz w:val="36"/>
          <w:szCs w:val="36"/>
          <w:lang w:val="en-US" w:eastAsia="zh-CN"/>
        </w:rPr>
        <w:t xml:space="preserve">  健全</w:t>
      </w:r>
      <w:r>
        <w:rPr>
          <w:rFonts w:hint="eastAsia" w:ascii="Times New Roman" w:hAnsi="Times New Roman" w:eastAsia="楷体"/>
          <w:b/>
          <w:bCs/>
          <w:color w:val="auto"/>
          <w:sz w:val="36"/>
          <w:szCs w:val="36"/>
        </w:rPr>
        <w:t>生态制度</w:t>
      </w:r>
      <w:bookmarkEnd w:id="109"/>
      <w:bookmarkEnd w:id="110"/>
      <w:bookmarkEnd w:id="111"/>
      <w:bookmarkEnd w:id="112"/>
    </w:p>
    <w:p>
      <w:pPr>
        <w:spacing w:line="360" w:lineRule="auto"/>
        <w:ind w:firstLine="643" w:firstLineChars="200"/>
        <w:outlineLvl w:val="2"/>
        <w:rPr>
          <w:rFonts w:ascii="Times New Roman" w:hAnsi="Times New Roman" w:eastAsia="仿宋_GB2312"/>
          <w:b/>
          <w:color w:val="auto"/>
          <w:sz w:val="32"/>
          <w:szCs w:val="21"/>
        </w:rPr>
      </w:pPr>
      <w:bookmarkStart w:id="113" w:name="_Toc9398"/>
      <w:bookmarkStart w:id="114" w:name="_Toc16306"/>
      <w:bookmarkStart w:id="115" w:name="_Toc1831"/>
      <w:r>
        <w:rPr>
          <w:rFonts w:hint="eastAsia" w:ascii="Times New Roman" w:hAnsi="Times New Roman" w:eastAsia="仿宋_GB2312"/>
          <w:b/>
          <w:color w:val="auto"/>
          <w:sz w:val="32"/>
          <w:szCs w:val="21"/>
        </w:rPr>
        <w:t>（一）加严生态环境保护制度</w:t>
      </w:r>
      <w:bookmarkEnd w:id="113"/>
      <w:bookmarkEnd w:id="114"/>
      <w:bookmarkEnd w:id="115"/>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ascii="楷体" w:hAnsi="楷体" w:eastAsia="楷体" w:cs="楷体"/>
          <w:b/>
          <w:bCs/>
          <w:color w:val="auto"/>
          <w:kern w:val="0"/>
          <w:sz w:val="30"/>
          <w:szCs w:val="30"/>
        </w:rPr>
        <w:t>严格环境准入制度。</w:t>
      </w:r>
      <w:r>
        <w:rPr>
          <w:rFonts w:ascii="Times New Roman" w:hAnsi="Times New Roman" w:eastAsia="仿宋_GB2312"/>
          <w:color w:val="auto"/>
          <w:kern w:val="0"/>
          <w:sz w:val="30"/>
          <w:szCs w:val="30"/>
        </w:rPr>
        <w:t>全面</w:t>
      </w:r>
      <w:r>
        <w:rPr>
          <w:rFonts w:hint="eastAsia" w:ascii="Times New Roman" w:hAnsi="Times New Roman" w:eastAsia="仿宋_GB2312"/>
          <w:color w:val="auto"/>
          <w:kern w:val="0"/>
          <w:sz w:val="30"/>
          <w:szCs w:val="30"/>
        </w:rPr>
        <w:t>落实“</w:t>
      </w:r>
      <w:r>
        <w:rPr>
          <w:rFonts w:ascii="Times New Roman" w:hAnsi="Times New Roman" w:eastAsia="仿宋_GB2312"/>
          <w:color w:val="auto"/>
          <w:kern w:val="0"/>
          <w:sz w:val="30"/>
          <w:szCs w:val="30"/>
        </w:rPr>
        <w:t>三线一单</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要求，基于环境管控单元，统筹考虑生态保护红线、环境质量底线、资源利用上线的管控要求，提出空间布局、污染物排放、环境风险、资源开发利用等方面的环境准入要求，强化项目建设的事中、事后环境监管。明确资源配置的具体要求及能源节约和污染物排放等指标，根据各镇街的资源禀赋、环境容量和生态状况，提高环境准入门槛。</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ascii="楷体" w:hAnsi="楷体" w:eastAsia="楷体" w:cs="楷体"/>
          <w:b/>
          <w:bCs/>
          <w:color w:val="auto"/>
          <w:kern w:val="0"/>
          <w:sz w:val="30"/>
          <w:szCs w:val="30"/>
        </w:rPr>
        <w:t>全面执行排污许可管理制度。</w:t>
      </w:r>
      <w:r>
        <w:rPr>
          <w:rFonts w:ascii="Times New Roman" w:hAnsi="Times New Roman" w:eastAsia="仿宋_GB2312"/>
          <w:color w:val="auto"/>
          <w:kern w:val="0"/>
          <w:sz w:val="30"/>
          <w:szCs w:val="30"/>
        </w:rPr>
        <w:t>遵循《排污许可管理条例》要求，完善以排污许可制为核心的固定污染源监管制度，实行</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一证式</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管理，从过去以准入为主的管理向既抓审批又抓事中事后监管的全流程管理转变。有序推进固定污染源</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全覆盖</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工作，完善重点排污单位名录，扩大污染源自动监测安装联网覆盖范围。推进生态环境管理制度衔接整合，推动形成环评与排污许可</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一个名录、一套标准、一张表单、一个平台、一套数据</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。强化证后检查和依证监管执法，强化排污许可与环评执法联动</w:t>
      </w:r>
      <w:r>
        <w:rPr>
          <w:rFonts w:hint="eastAsia" w:ascii="Times New Roman" w:hAnsi="Times New Roman" w:eastAsia="仿宋_GB2312"/>
          <w:color w:val="auto"/>
          <w:kern w:val="0"/>
          <w:sz w:val="30"/>
          <w:szCs w:val="30"/>
        </w:rPr>
        <w:t>。</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ascii="楷体" w:hAnsi="楷体" w:eastAsia="楷体" w:cs="楷体"/>
          <w:b/>
          <w:bCs/>
          <w:color w:val="auto"/>
          <w:kern w:val="0"/>
          <w:sz w:val="30"/>
          <w:szCs w:val="30"/>
        </w:rPr>
        <w:t>完善生态环境督查制度。</w:t>
      </w:r>
      <w:r>
        <w:rPr>
          <w:rFonts w:ascii="Times New Roman" w:hAnsi="Times New Roman" w:eastAsia="仿宋_GB2312"/>
          <w:color w:val="auto"/>
          <w:kern w:val="0"/>
          <w:sz w:val="30"/>
          <w:szCs w:val="30"/>
        </w:rPr>
        <w:t>严格落实专项督查、问题曝光、销号管理、预警约谈、考核问责、生态补偿等</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六项机制</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采取铁腕手段，扎实推进生态环境保护督察整改及长效机制建设。积极争取财政资金，加大对大气环境自动监测系统建设投入。持续开展危险废物规范化管理督查考核，定期公布结果，不断提高环境监管水平。针对危险废物产生单位、危险化学品生产经营单位和道路及建筑工地等重点污染源进行深入排查，发现问题立即整改或者限期整改。严格查处环境违法企业。切实开展各类执法检查行动，着力整治重点行业建设项目，推动环境质量好转。着力解决</w:t>
      </w:r>
      <w:r>
        <w:rPr>
          <w:rFonts w:hint="eastAsia" w:ascii="Times New Roman" w:hAnsi="Times New Roman" w:eastAsia="仿宋_GB2312"/>
          <w:color w:val="auto"/>
          <w:kern w:val="0"/>
          <w:sz w:val="30"/>
          <w:szCs w:val="30"/>
        </w:rPr>
        <w:t>群众反映</w:t>
      </w:r>
      <w:r>
        <w:rPr>
          <w:rFonts w:ascii="Times New Roman" w:hAnsi="Times New Roman" w:eastAsia="仿宋_GB2312"/>
          <w:color w:val="auto"/>
          <w:kern w:val="0"/>
          <w:sz w:val="30"/>
          <w:szCs w:val="30"/>
        </w:rPr>
        <w:t>突出的环境问题，切实从群众利益出发，认真处理各类环境信访投诉案件，切实做到及时消除环境安全隐患，保障群众环境权益。健全部门协作机制。坚持管发展必须管环保、管生产必须管环保、管行业必须管环保，落实相关部门责任。</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ascii="楷体" w:hAnsi="楷体" w:eastAsia="楷体" w:cs="楷体"/>
          <w:b/>
          <w:bCs/>
          <w:color w:val="auto"/>
          <w:kern w:val="0"/>
          <w:sz w:val="30"/>
          <w:szCs w:val="30"/>
        </w:rPr>
        <w:t>夯实河湖湾长制。</w:t>
      </w:r>
      <w:r>
        <w:rPr>
          <w:rFonts w:ascii="Times New Roman" w:hAnsi="Times New Roman" w:eastAsia="仿宋_GB2312"/>
          <w:color w:val="auto"/>
          <w:kern w:val="0"/>
          <w:sz w:val="30"/>
          <w:szCs w:val="30"/>
        </w:rPr>
        <w:t>强化河湖湾长有名有实，制定完善河湖湾长履职规范，细化履职内容、履职标准和监督方式，建立调度、考核、约谈机制，抓实河湖湾长履职尽责，从</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有名</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到</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有实</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推动工作落实。按照河湖</w:t>
      </w:r>
      <w:r>
        <w:rPr>
          <w:rFonts w:hint="eastAsia" w:ascii="Times New Roman" w:hAnsi="Times New Roman" w:eastAsia="仿宋_GB2312"/>
          <w:color w:val="auto"/>
          <w:kern w:val="0"/>
          <w:sz w:val="30"/>
          <w:szCs w:val="30"/>
        </w:rPr>
        <w:t>湾</w:t>
      </w:r>
      <w:r>
        <w:rPr>
          <w:rFonts w:ascii="Times New Roman" w:hAnsi="Times New Roman" w:eastAsia="仿宋_GB2312"/>
          <w:color w:val="auto"/>
          <w:kern w:val="0"/>
          <w:sz w:val="30"/>
          <w:szCs w:val="30"/>
        </w:rPr>
        <w:t>长制工作要求，编制河湖湾综合整治方案，实施</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一河一策、一湖一策、一湾一策</w:t>
      </w:r>
      <w:r>
        <w:rPr>
          <w:rFonts w:hint="eastAsia" w:ascii="Times New Roman" w:hAnsi="Times New Roman" w:eastAsia="仿宋_GB2312"/>
          <w:color w:val="auto"/>
          <w:kern w:val="0"/>
          <w:sz w:val="30"/>
          <w:szCs w:val="30"/>
        </w:rPr>
        <w:t>”</w:t>
      </w:r>
      <w:r>
        <w:rPr>
          <w:rFonts w:ascii="Times New Roman" w:hAnsi="Times New Roman" w:eastAsia="仿宋_GB2312"/>
          <w:color w:val="auto"/>
          <w:kern w:val="0"/>
          <w:sz w:val="30"/>
          <w:szCs w:val="30"/>
        </w:rPr>
        <w:t>。建立部门联动协作工作机制，实行问题协商联席会议制度，定期召开成员单位联席会议，通报信息、协商解决重点难点问题。</w:t>
      </w:r>
      <w:r>
        <w:rPr>
          <w:rFonts w:hint="eastAsia" w:ascii="Times New Roman" w:hAnsi="Times New Roman" w:eastAsia="仿宋_GB2312"/>
          <w:color w:val="auto"/>
          <w:kern w:val="0"/>
          <w:sz w:val="30"/>
          <w:szCs w:val="30"/>
        </w:rPr>
        <w:t>严厉打击</w:t>
      </w:r>
      <w:r>
        <w:rPr>
          <w:rFonts w:ascii="Times New Roman" w:hAnsi="Times New Roman" w:eastAsia="仿宋_GB2312"/>
          <w:color w:val="auto"/>
          <w:kern w:val="0"/>
          <w:sz w:val="30"/>
          <w:szCs w:val="30"/>
        </w:rPr>
        <w:t>河湖湾违法违规行为，</w:t>
      </w:r>
      <w:r>
        <w:rPr>
          <w:rFonts w:hint="eastAsia" w:ascii="Times New Roman" w:hAnsi="Times New Roman" w:eastAsia="仿宋_GB2312"/>
          <w:color w:val="auto"/>
          <w:kern w:val="0"/>
          <w:sz w:val="30"/>
          <w:szCs w:val="30"/>
        </w:rPr>
        <w:t>建立</w:t>
      </w:r>
      <w:r>
        <w:rPr>
          <w:rFonts w:ascii="Times New Roman" w:hAnsi="Times New Roman" w:eastAsia="仿宋_GB2312"/>
          <w:color w:val="auto"/>
          <w:kern w:val="0"/>
          <w:sz w:val="30"/>
          <w:szCs w:val="30"/>
        </w:rPr>
        <w:t>生态环境、海洋发展、水利、住建、工信、交通等部门联合检查、案件移交和依法处置机制。</w:t>
      </w:r>
      <w:r>
        <w:rPr>
          <w:rFonts w:hint="eastAsia" w:ascii="Times New Roman" w:hAnsi="Times New Roman" w:eastAsia="仿宋_GB2312"/>
          <w:color w:val="auto"/>
          <w:kern w:val="0"/>
          <w:sz w:val="30"/>
          <w:szCs w:val="30"/>
        </w:rPr>
        <w:t>常态化规范化推进河湖“清四乱”、海湾生态治理，建设美丽幸福河湖湾，人与自然和谐共生。</w:t>
      </w:r>
    </w:p>
    <w:p>
      <w:pPr>
        <w:pStyle w:val="2"/>
        <w:spacing w:line="360" w:lineRule="auto"/>
        <w:ind w:firstLine="602"/>
        <w:rPr>
          <w:rFonts w:hint="eastAsia" w:ascii="楷体" w:hAnsi="楷体" w:eastAsia="楷体" w:cs="楷体"/>
          <w:b/>
          <w:bCs/>
          <w:color w:val="auto"/>
          <w:kern w:val="0"/>
          <w:sz w:val="30"/>
          <w:szCs w:val="30"/>
        </w:rPr>
      </w:pPr>
      <w:r>
        <w:rPr>
          <w:rFonts w:hint="eastAsia" w:ascii="楷体" w:hAnsi="楷体" w:eastAsia="楷体" w:cs="楷体"/>
          <w:b/>
          <w:bCs/>
          <w:color w:val="auto"/>
          <w:kern w:val="0"/>
          <w:sz w:val="30"/>
          <w:szCs w:val="30"/>
        </w:rPr>
        <w:t>全面推行林长制。</w:t>
      </w:r>
      <w:r>
        <w:rPr>
          <w:rFonts w:ascii="Times New Roman" w:hAnsi="Times New Roman" w:eastAsia="仿宋_GB2312"/>
          <w:color w:val="auto"/>
          <w:kern w:val="0"/>
          <w:sz w:val="30"/>
          <w:szCs w:val="30"/>
        </w:rPr>
        <w:t>建立健全林长制管理制度，巩固国家森林城市建设成果，实现森林资</w:t>
      </w:r>
      <w:r>
        <w:rPr>
          <w:rFonts w:hint="eastAsia" w:ascii="仿宋_GB2312" w:hAnsi="仿宋_GB2312" w:eastAsia="仿宋_GB2312" w:cs="仿宋_GB2312"/>
          <w:color w:val="auto"/>
          <w:kern w:val="0"/>
          <w:sz w:val="30"/>
          <w:szCs w:val="30"/>
        </w:rPr>
        <w:t>源“三保”“三增”“三防”，打造</w:t>
      </w:r>
      <w:r>
        <w:rPr>
          <w:rFonts w:ascii="Times New Roman" w:hAnsi="Times New Roman" w:eastAsia="仿宋_GB2312"/>
          <w:color w:val="auto"/>
          <w:kern w:val="0"/>
          <w:sz w:val="30"/>
          <w:szCs w:val="30"/>
        </w:rPr>
        <w:t>一批经济林标准化示范园，构建起健康发达的林业产业体系，森林生态功能更加完善稳定。</w:t>
      </w:r>
      <w:r>
        <w:rPr>
          <w:rFonts w:hint="eastAsia" w:ascii="Times New Roman" w:hAnsi="Times New Roman" w:eastAsia="仿宋_GB2312"/>
          <w:color w:val="auto"/>
          <w:kern w:val="0"/>
          <w:sz w:val="30"/>
          <w:szCs w:val="30"/>
        </w:rPr>
        <w:t>全面加强各级林长、监督员、护林员管理，将林地、林长组织体系纳入信息化管理，探索开展林长制考核评价。聚焦生态修复、森林防火、松材线虫病防控和森林资源管理等重点工作，制定各级林长巡林工作职责清单，压实各级林长责任。壮大“民间林长”、志愿者队伍，扩充林长力量。</w:t>
      </w:r>
    </w:p>
    <w:p>
      <w:pPr>
        <w:autoSpaceDE w:val="0"/>
        <w:autoSpaceDN w:val="0"/>
        <w:adjustRightInd w:val="0"/>
        <w:spacing w:line="360" w:lineRule="auto"/>
        <w:ind w:firstLine="602" w:firstLineChars="200"/>
        <w:jc w:val="left"/>
        <w:rPr>
          <w:rFonts w:ascii="Times New Roman" w:hAnsi="Times New Roman" w:eastAsia="仿宋_GB2312"/>
          <w:color w:val="auto"/>
          <w:kern w:val="0"/>
          <w:sz w:val="30"/>
          <w:szCs w:val="30"/>
        </w:rPr>
      </w:pPr>
      <w:r>
        <w:rPr>
          <w:rFonts w:ascii="楷体" w:hAnsi="楷体" w:eastAsia="楷体" w:cs="楷体"/>
          <w:b/>
          <w:bCs/>
          <w:color w:val="auto"/>
          <w:kern w:val="0"/>
          <w:sz w:val="30"/>
          <w:szCs w:val="30"/>
        </w:rPr>
        <w:t>强化信息公开制度。</w:t>
      </w:r>
      <w:r>
        <w:rPr>
          <w:rFonts w:ascii="Times New Roman" w:hAnsi="Times New Roman" w:eastAsia="仿宋_GB2312"/>
          <w:color w:val="auto"/>
          <w:kern w:val="0"/>
          <w:sz w:val="30"/>
          <w:szCs w:val="30"/>
        </w:rPr>
        <w:t>建立健全生态环境信息统一发布机制，确保公众知情权，拓宽社会监督渠道，建立全方位环境信访举报渠道，落实有奖举报。完善舆情闭环处置机制，建立有效的监控数据及信访、举报、舆情反映问题的处置后督查机制，形成公众参与环境管理决策的有效渠道和合理机制。</w:t>
      </w:r>
    </w:p>
    <w:p>
      <w:pPr>
        <w:spacing w:line="360" w:lineRule="auto"/>
        <w:ind w:firstLine="643" w:firstLineChars="200"/>
        <w:outlineLvl w:val="2"/>
        <w:rPr>
          <w:rFonts w:ascii="Times New Roman" w:hAnsi="Times New Roman" w:eastAsia="仿宋_GB2312"/>
          <w:b/>
          <w:color w:val="auto"/>
          <w:sz w:val="32"/>
          <w:szCs w:val="21"/>
        </w:rPr>
      </w:pPr>
      <w:bookmarkStart w:id="116" w:name="_Toc13797"/>
      <w:bookmarkStart w:id="117" w:name="_Toc3488"/>
      <w:bookmarkStart w:id="118" w:name="_Toc11408"/>
      <w:r>
        <w:rPr>
          <w:rFonts w:hint="eastAsia" w:ascii="Times New Roman" w:hAnsi="Times New Roman" w:eastAsia="仿宋_GB2312"/>
          <w:b/>
          <w:color w:val="auto"/>
          <w:sz w:val="32"/>
          <w:szCs w:val="21"/>
        </w:rPr>
        <w:t>（二）建立资源高效利用制度</w:t>
      </w:r>
      <w:bookmarkEnd w:id="116"/>
      <w:bookmarkEnd w:id="117"/>
      <w:bookmarkEnd w:id="118"/>
    </w:p>
    <w:p>
      <w:pPr>
        <w:spacing w:line="360" w:lineRule="auto"/>
        <w:ind w:firstLine="602" w:firstLineChars="200"/>
        <w:rPr>
          <w:rFonts w:ascii="Times New Roman" w:hAnsi="Times New Roman" w:eastAsia="仿宋_GB2312"/>
          <w:bCs/>
          <w:color w:val="auto"/>
          <w:kern w:val="0"/>
          <w:sz w:val="30"/>
          <w:szCs w:val="30"/>
        </w:rPr>
      </w:pPr>
      <w:r>
        <w:rPr>
          <w:rFonts w:hint="eastAsia" w:ascii="楷体" w:hAnsi="楷体" w:eastAsia="楷体" w:cs="楷体"/>
          <w:b/>
          <w:bCs/>
          <w:color w:val="auto"/>
          <w:kern w:val="0"/>
          <w:sz w:val="30"/>
          <w:szCs w:val="30"/>
        </w:rPr>
        <w:t>开展自然资源统一确权登记。</w:t>
      </w:r>
      <w:r>
        <w:rPr>
          <w:rFonts w:hint="eastAsia" w:ascii="Times New Roman" w:hAnsi="Times New Roman" w:eastAsia="仿宋_GB2312"/>
          <w:bCs/>
          <w:color w:val="auto"/>
          <w:kern w:val="0"/>
          <w:sz w:val="30"/>
          <w:szCs w:val="30"/>
        </w:rPr>
        <w:t>根据省自然资源厅安排，确定一批自然资源确权登记项目，包括县级管理河流、水库等，待政府批准后实施。2021年，根据《自然资源确权登记操作指南（试行）》相关要求，完成山东省伟德山国家森林自然公园自然资源确权登记工作。适时推进荣成大天鹅国家级自然保护区自然资源统一确权登记工作。</w:t>
      </w:r>
    </w:p>
    <w:p>
      <w:pPr>
        <w:keepNext/>
        <w:keepLines/>
        <w:adjustRightInd w:val="0"/>
        <w:snapToGrid w:val="0"/>
        <w:spacing w:line="360" w:lineRule="auto"/>
        <w:ind w:firstLine="602" w:firstLineChars="200"/>
        <w:rPr>
          <w:rFonts w:eastAsia="仿宋_GB2312"/>
          <w:bCs/>
          <w:color w:val="auto"/>
          <w:kern w:val="0"/>
          <w:szCs w:val="30"/>
        </w:rPr>
      </w:pPr>
      <w:r>
        <w:rPr>
          <w:rFonts w:ascii="楷体" w:hAnsi="楷体" w:eastAsia="楷体" w:cs="楷体"/>
          <w:b/>
          <w:bCs/>
          <w:color w:val="auto"/>
          <w:kern w:val="0"/>
          <w:sz w:val="30"/>
          <w:szCs w:val="30"/>
        </w:rPr>
        <w:t>严格执行休渔制度。</w:t>
      </w:r>
      <w:r>
        <w:rPr>
          <w:rFonts w:ascii="Times New Roman" w:hAnsi="Times New Roman" w:eastAsia="仿宋_GB2312"/>
          <w:bCs/>
          <w:color w:val="auto"/>
          <w:kern w:val="0"/>
          <w:sz w:val="30"/>
          <w:szCs w:val="30"/>
        </w:rPr>
        <w:t>禁渔期所有休渔渔船必须在荣成湾、石岛湾、靖海湾、王家湾、俚岛湾5处海湾内指定的</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母港</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停靠，所有渔船不得拆卸北斗定位终端设备，不得擅自离港或转移停泊地点，不得违规出海作业</w:t>
      </w:r>
      <w:r>
        <w:rPr>
          <w:rFonts w:hint="eastAsia" w:ascii="Times New Roman" w:hAnsi="Times New Roman" w:eastAsia="仿宋_GB2312"/>
          <w:bCs/>
          <w:color w:val="auto"/>
          <w:kern w:val="0"/>
          <w:sz w:val="30"/>
          <w:szCs w:val="30"/>
        </w:rPr>
        <w:t>。严禁生产、销售和使用违规禁用渔具，严禁在休渔期间收购、销售、运输、加工、储藏违规渔船渔获。对违反伏季休渔管理规定的渔船，一律列入征信“黑名单”，申请吊销职务船员证书，依法追究船东、船长等相关人员的刑事责任。所有渔港伏休期间不得为渔船提供加油、加水、加冰或卸载渔获等服务，一经查处，高限处罚，情节严重的取消“母港”资格，并将信用等级降为D级，取消金融贷款。</w:t>
      </w:r>
    </w:p>
    <w:p>
      <w:pPr>
        <w:spacing w:line="360" w:lineRule="auto"/>
        <w:ind w:firstLine="602" w:firstLineChars="200"/>
        <w:rPr>
          <w:rFonts w:ascii="Times New Roman" w:hAnsi="Times New Roman" w:eastAsia="仿宋_GB2312"/>
          <w:bCs/>
          <w:color w:val="auto"/>
          <w:kern w:val="0"/>
          <w:sz w:val="30"/>
          <w:szCs w:val="30"/>
        </w:rPr>
      </w:pPr>
      <w:r>
        <w:rPr>
          <w:rFonts w:ascii="楷体" w:hAnsi="楷体" w:eastAsia="楷体" w:cs="楷体"/>
          <w:b/>
          <w:bCs/>
          <w:color w:val="auto"/>
          <w:kern w:val="0"/>
          <w:sz w:val="30"/>
          <w:szCs w:val="30"/>
        </w:rPr>
        <w:t>探索环境资源管理体制改革。</w:t>
      </w:r>
      <w:r>
        <w:rPr>
          <w:rFonts w:ascii="Times New Roman" w:hAnsi="Times New Roman" w:eastAsia="仿宋_GB2312"/>
          <w:bCs/>
          <w:color w:val="auto"/>
          <w:kern w:val="0"/>
          <w:sz w:val="30"/>
          <w:szCs w:val="30"/>
        </w:rPr>
        <w:t>按照环境资源保护的整体性特征和一体化要求，整合环境资源的管理职能，严格监管所有污染物排放。按照</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山、水、林、田、湖、草</w:t>
      </w:r>
      <w:r>
        <w:rPr>
          <w:rFonts w:hint="eastAsia" w:ascii="Times New Roman" w:hAnsi="Times New Roman" w:eastAsia="仿宋_GB2312"/>
          <w:bCs/>
          <w:color w:val="auto"/>
          <w:kern w:val="0"/>
          <w:sz w:val="30"/>
          <w:szCs w:val="30"/>
        </w:rPr>
        <w:t>、沙”</w:t>
      </w:r>
      <w:r>
        <w:rPr>
          <w:rFonts w:ascii="Times New Roman" w:hAnsi="Times New Roman" w:eastAsia="仿宋_GB2312"/>
          <w:bCs/>
          <w:color w:val="auto"/>
          <w:kern w:val="0"/>
          <w:sz w:val="30"/>
          <w:szCs w:val="30"/>
        </w:rPr>
        <w:t>统一管护的思路，整合全民所有自然资源资产所有者职责，对全民所有的矿藏、水流、森林、山岭、草原、荒地、海域、滩涂等各类自然资源统一行使所有权。统筹全市各类自然资源的整体保护、系统修复和综合治理，加强国土空间规划管理，加强包括海洋资源、森林资源等在内的自然资源管理，建立生态系统保护修复和污染防治区域联动机制，实现统一规划、统一建设和统一标准，优化环境资源配置。</w:t>
      </w:r>
    </w:p>
    <w:p>
      <w:pPr>
        <w:spacing w:line="360" w:lineRule="auto"/>
        <w:ind w:firstLine="602" w:firstLineChars="200"/>
        <w:rPr>
          <w:rFonts w:ascii="Times New Roman" w:hAnsi="Times New Roman" w:eastAsia="仿宋_GB2312"/>
          <w:bCs/>
          <w:color w:val="auto"/>
          <w:kern w:val="0"/>
          <w:sz w:val="30"/>
          <w:szCs w:val="30"/>
        </w:rPr>
      </w:pPr>
      <w:r>
        <w:rPr>
          <w:rFonts w:ascii="楷体" w:hAnsi="楷体" w:eastAsia="楷体" w:cs="楷体"/>
          <w:b/>
          <w:bCs/>
          <w:color w:val="auto"/>
          <w:kern w:val="0"/>
          <w:sz w:val="30"/>
          <w:szCs w:val="30"/>
        </w:rPr>
        <w:t>全面实行资源有偿使用制度。</w:t>
      </w:r>
      <w:r>
        <w:rPr>
          <w:rFonts w:ascii="Times New Roman" w:hAnsi="Times New Roman" w:eastAsia="仿宋_GB2312"/>
          <w:bCs/>
          <w:color w:val="auto"/>
          <w:kern w:val="0"/>
          <w:sz w:val="30"/>
          <w:szCs w:val="30"/>
        </w:rPr>
        <w:t>坚持</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开发中保护，保护中开发</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原则，综合信贷、价格、财税、行政等多种手段，促进政府调控与市场机制相结合，建立体现资源稀缺程度、市场供求关系和环境恢复成本的资源有偿使用制度。坚持使用资源付费和谁污染环境、谁破坏生态谁付费原则，严格征收资源税，通过税收杠杆抑制不合理需求。建立有效调节工业用地和居住用地合理比价机制。有序实现耕地、河湖休养生息。</w:t>
      </w:r>
    </w:p>
    <w:p>
      <w:pPr>
        <w:spacing w:line="360" w:lineRule="auto"/>
        <w:ind w:firstLine="643" w:firstLineChars="200"/>
        <w:outlineLvl w:val="2"/>
        <w:rPr>
          <w:rFonts w:ascii="Times New Roman" w:hAnsi="Times New Roman" w:eastAsia="仿宋_GB2312"/>
          <w:b/>
          <w:color w:val="auto"/>
          <w:sz w:val="32"/>
          <w:szCs w:val="21"/>
        </w:rPr>
      </w:pPr>
      <w:bookmarkStart w:id="119" w:name="_Toc26753"/>
      <w:bookmarkStart w:id="120" w:name="_Toc6744"/>
      <w:bookmarkStart w:id="121" w:name="_Toc12107"/>
      <w:r>
        <w:rPr>
          <w:rFonts w:hint="eastAsia" w:ascii="Times New Roman" w:hAnsi="Times New Roman" w:eastAsia="仿宋_GB2312"/>
          <w:b/>
          <w:color w:val="auto"/>
          <w:sz w:val="32"/>
          <w:szCs w:val="21"/>
        </w:rPr>
        <w:t>（三）推进生态保护和修复制度</w:t>
      </w:r>
      <w:bookmarkEnd w:id="119"/>
      <w:bookmarkEnd w:id="120"/>
      <w:bookmarkEnd w:id="121"/>
    </w:p>
    <w:p>
      <w:pPr>
        <w:spacing w:line="360" w:lineRule="auto"/>
        <w:ind w:firstLine="602" w:firstLineChars="200"/>
        <w:rPr>
          <w:rFonts w:ascii="Times New Roman" w:hAnsi="Times New Roman" w:eastAsia="仿宋_GB2312"/>
          <w:bCs/>
          <w:color w:val="auto"/>
          <w:kern w:val="0"/>
          <w:sz w:val="30"/>
          <w:szCs w:val="30"/>
        </w:rPr>
      </w:pPr>
      <w:r>
        <w:rPr>
          <w:rFonts w:ascii="楷体" w:hAnsi="楷体" w:eastAsia="楷体" w:cs="楷体"/>
          <w:b/>
          <w:bCs/>
          <w:color w:val="auto"/>
          <w:kern w:val="0"/>
          <w:sz w:val="30"/>
          <w:szCs w:val="30"/>
        </w:rPr>
        <w:t>实行生态环境损害责任追究制度。</w:t>
      </w:r>
      <w:r>
        <w:rPr>
          <w:rFonts w:ascii="Times New Roman" w:hAnsi="Times New Roman" w:eastAsia="仿宋_GB2312"/>
          <w:bCs/>
          <w:color w:val="auto"/>
          <w:kern w:val="0"/>
          <w:sz w:val="30"/>
          <w:szCs w:val="30"/>
        </w:rPr>
        <w:t>落实国家、省</w:t>
      </w:r>
      <w:r>
        <w:rPr>
          <w:rFonts w:hint="eastAsia" w:ascii="Times New Roman" w:hAnsi="Times New Roman" w:eastAsia="仿宋_GB2312"/>
          <w:bCs/>
          <w:color w:val="auto"/>
          <w:kern w:val="0"/>
          <w:sz w:val="30"/>
          <w:szCs w:val="30"/>
        </w:rPr>
        <w:t>、市</w:t>
      </w:r>
      <w:r>
        <w:rPr>
          <w:rFonts w:ascii="Times New Roman" w:hAnsi="Times New Roman" w:eastAsia="仿宋_GB2312"/>
          <w:bCs/>
          <w:color w:val="auto"/>
          <w:kern w:val="0"/>
          <w:sz w:val="30"/>
          <w:szCs w:val="30"/>
        </w:rPr>
        <w:t>生态环境损害责任追究制度，对企业和个人在国土空间开发和经济发展中违反法律规定、违背空间规划、违反污染物排放许可和总量控制，造成生态环境严重破坏的行为，严惩重罚。对造成生态环境损害的责任者严格实行赔偿制度，加大违法违规成本。探索建立荣成市生态环境损害赔偿基金，明确生态环境损害治理费用的严格责任和连带责任，并对责任溯本追源，实施终身追究。建立日常联络、案件会商、信息共享联动机制，定期调度、沟通会商，各部门建立案件线索搜集机制，确保做到</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应赔尽赔</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。做好与公益诉讼的衔接，优先启动生态环境损害赔偿程序。建立生态环境损害赔偿资金专户，做好生态环境损害赔偿资金管理。</w:t>
      </w:r>
    </w:p>
    <w:p>
      <w:pPr>
        <w:spacing w:line="360" w:lineRule="auto"/>
        <w:ind w:firstLine="602" w:firstLineChars="200"/>
        <w:rPr>
          <w:rFonts w:hint="eastAsia" w:ascii="Times New Roman" w:hAnsi="Times New Roman" w:eastAsia="仿宋_GB2312"/>
          <w:bCs/>
          <w:color w:val="auto"/>
          <w:kern w:val="0"/>
          <w:sz w:val="30"/>
          <w:szCs w:val="30"/>
        </w:rPr>
      </w:pPr>
      <w:r>
        <w:rPr>
          <w:rFonts w:hint="eastAsia" w:ascii="楷体" w:hAnsi="楷体" w:eastAsia="楷体" w:cs="楷体"/>
          <w:b/>
          <w:bCs/>
          <w:color w:val="auto"/>
          <w:kern w:val="0"/>
          <w:sz w:val="30"/>
          <w:szCs w:val="30"/>
          <w:lang w:val="en-US" w:eastAsia="zh-CN"/>
        </w:rPr>
        <w:t>建立健全</w:t>
      </w:r>
      <w:r>
        <w:rPr>
          <w:rFonts w:hint="eastAsia" w:ascii="楷体" w:hAnsi="楷体" w:eastAsia="楷体" w:cs="楷体"/>
          <w:b/>
          <w:bCs/>
          <w:color w:val="auto"/>
          <w:kern w:val="0"/>
          <w:sz w:val="30"/>
          <w:szCs w:val="30"/>
        </w:rPr>
        <w:t>生态保护补偿制度。</w:t>
      </w:r>
      <w:r>
        <w:rPr>
          <w:rFonts w:hint="eastAsia" w:ascii="Times New Roman" w:hAnsi="Times New Roman" w:eastAsia="仿宋_GB2312"/>
          <w:bCs/>
          <w:color w:val="auto"/>
          <w:kern w:val="0"/>
          <w:sz w:val="30"/>
          <w:szCs w:val="30"/>
        </w:rPr>
        <w:t>按照“谁改善、谁受益；谁污染、谁付费”的原则，建立完善空气、地表水、</w:t>
      </w:r>
      <w:r>
        <w:rPr>
          <w:rFonts w:hint="eastAsia" w:ascii="Times New Roman" w:hAnsi="Times New Roman" w:eastAsia="仿宋_GB2312"/>
          <w:bCs/>
          <w:color w:val="auto"/>
          <w:kern w:val="0"/>
          <w:sz w:val="30"/>
          <w:szCs w:val="30"/>
          <w:lang w:val="en-US" w:eastAsia="zh-CN"/>
        </w:rPr>
        <w:t>海洋、</w:t>
      </w:r>
      <w:r>
        <w:rPr>
          <w:rFonts w:hint="eastAsia" w:ascii="Times New Roman" w:hAnsi="Times New Roman" w:eastAsia="仿宋_GB2312"/>
          <w:bCs/>
          <w:color w:val="auto"/>
          <w:kern w:val="0"/>
          <w:sz w:val="30"/>
          <w:szCs w:val="30"/>
        </w:rPr>
        <w:t>自然保护区等领域的纵向生态补偿及横纵结合的流域生态补偿体系。探索建立政府主导、企业和社会各界参与、市场化运作、可持续的生态产品价值实现路径。到2025年，生态保护补偿和生态环境损害赔偿政策制度逐步完善，生态产品价值实现的政府考核评估机制初步形成。通过市场化、多元化方式，促进生态保护者利益得到有效补偿，激发全社会参与生态保护的积极性。</w:t>
      </w:r>
    </w:p>
    <w:p>
      <w:pPr>
        <w:spacing w:line="360" w:lineRule="auto"/>
        <w:ind w:firstLine="602" w:firstLineChars="200"/>
        <w:rPr>
          <w:rFonts w:ascii="Times New Roman" w:hAnsi="Times New Roman" w:eastAsia="仿宋_GB2312"/>
          <w:bCs/>
          <w:color w:val="auto"/>
          <w:kern w:val="0"/>
          <w:sz w:val="30"/>
          <w:szCs w:val="30"/>
        </w:rPr>
      </w:pPr>
      <w:r>
        <w:rPr>
          <w:rFonts w:ascii="楷体" w:hAnsi="楷体" w:eastAsia="楷体" w:cs="楷体"/>
          <w:b/>
          <w:bCs/>
          <w:color w:val="auto"/>
          <w:kern w:val="0"/>
          <w:sz w:val="30"/>
          <w:szCs w:val="30"/>
        </w:rPr>
        <w:t>健全自然资源资产用途管制制度。</w:t>
      </w:r>
      <w:r>
        <w:rPr>
          <w:rFonts w:ascii="Times New Roman" w:hAnsi="Times New Roman" w:eastAsia="仿宋_GB2312"/>
          <w:bCs/>
          <w:color w:val="auto"/>
          <w:kern w:val="0"/>
          <w:sz w:val="30"/>
          <w:szCs w:val="30"/>
        </w:rPr>
        <w:t>统一行使所有国土空间用途管制职责。坚持并完善最严格的耕地保护和节约用地制度，强化国土空间规划和年度计划管控，明确各类国土空间开发、利用、保护边界，加强土地用途转用许可管理。推进实施能源、水资源、矿产资源等按质量分级、梯级利用，严格节能评估审查、水资源论证和取水许可制度。完善矿产资源规划制度，强化矿产开发准入管理。</w:t>
      </w:r>
    </w:p>
    <w:p>
      <w:pPr>
        <w:spacing w:line="360" w:lineRule="auto"/>
        <w:ind w:firstLine="602" w:firstLineChars="200"/>
        <w:rPr>
          <w:rFonts w:ascii="Times New Roman" w:hAnsi="Times New Roman" w:eastAsia="仿宋_GB2312"/>
          <w:bCs/>
          <w:color w:val="auto"/>
          <w:kern w:val="0"/>
          <w:sz w:val="30"/>
          <w:szCs w:val="30"/>
        </w:rPr>
      </w:pPr>
      <w:r>
        <w:rPr>
          <w:rFonts w:ascii="楷体" w:hAnsi="楷体" w:eastAsia="楷体" w:cs="楷体"/>
          <w:b/>
          <w:bCs/>
          <w:color w:val="auto"/>
          <w:kern w:val="0"/>
          <w:sz w:val="30"/>
          <w:szCs w:val="30"/>
        </w:rPr>
        <w:t>统筹山水林田湖草</w:t>
      </w:r>
      <w:r>
        <w:rPr>
          <w:rFonts w:hint="eastAsia" w:ascii="楷体" w:hAnsi="楷体" w:eastAsia="楷体" w:cs="楷体"/>
          <w:b/>
          <w:bCs/>
          <w:color w:val="auto"/>
          <w:kern w:val="0"/>
          <w:sz w:val="30"/>
          <w:szCs w:val="30"/>
        </w:rPr>
        <w:t>沙</w:t>
      </w:r>
      <w:r>
        <w:rPr>
          <w:rFonts w:ascii="楷体" w:hAnsi="楷体" w:eastAsia="楷体" w:cs="楷体"/>
          <w:b/>
          <w:bCs/>
          <w:color w:val="auto"/>
          <w:kern w:val="0"/>
          <w:sz w:val="30"/>
          <w:szCs w:val="30"/>
        </w:rPr>
        <w:t>系统修复和管理制度。</w:t>
      </w:r>
      <w:r>
        <w:rPr>
          <w:rFonts w:ascii="Times New Roman" w:hAnsi="Times New Roman" w:eastAsia="仿宋_GB2312"/>
          <w:bCs/>
          <w:color w:val="auto"/>
          <w:kern w:val="0"/>
          <w:sz w:val="30"/>
          <w:szCs w:val="30"/>
        </w:rPr>
        <w:t>理顺管理机制，破解生态系统管理的</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破碎化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，探索推进山水林田湖草</w:t>
      </w:r>
      <w:r>
        <w:rPr>
          <w:rFonts w:hint="eastAsia" w:ascii="Times New Roman" w:hAnsi="Times New Roman" w:eastAsia="仿宋_GB2312"/>
          <w:bCs/>
          <w:color w:val="auto"/>
          <w:kern w:val="0"/>
          <w:sz w:val="30"/>
          <w:szCs w:val="30"/>
        </w:rPr>
        <w:t>沙</w:t>
      </w:r>
      <w:r>
        <w:rPr>
          <w:rFonts w:ascii="Times New Roman" w:hAnsi="Times New Roman" w:eastAsia="仿宋_GB2312"/>
          <w:bCs/>
          <w:color w:val="auto"/>
          <w:kern w:val="0"/>
          <w:sz w:val="30"/>
          <w:szCs w:val="30"/>
        </w:rPr>
        <w:t>生态系统修复和综合管理，提高生态系统管理绩效。将所有生态系统类型和要素，纳入生态管理体系，按照生态格局安全和生态服务功能最优的原则，统筹设计区域生态保护格局。积极构建从</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山顶</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到</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平原</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生态管理体系，从水源涵养、生态服务功能维护，城乡环境污染治理，生态保护、岸线保护，统筹设计全区不同河段、不同生态系统类型和功能区的环境功能、生态保护策略以及全区生态环境管理机制。</w:t>
      </w:r>
    </w:p>
    <w:p>
      <w:pPr>
        <w:spacing w:line="360" w:lineRule="auto"/>
        <w:ind w:firstLine="602" w:firstLineChars="200"/>
        <w:rPr>
          <w:rFonts w:ascii="Times New Roman" w:hAnsi="Times New Roman" w:eastAsia="仿宋_GB2312"/>
          <w:bCs/>
          <w:color w:val="auto"/>
          <w:kern w:val="0"/>
          <w:sz w:val="30"/>
          <w:szCs w:val="30"/>
        </w:rPr>
      </w:pPr>
      <w:r>
        <w:rPr>
          <w:rFonts w:ascii="楷体" w:hAnsi="楷体" w:eastAsia="楷体" w:cs="楷体"/>
          <w:b/>
          <w:bCs/>
          <w:color w:val="auto"/>
          <w:kern w:val="0"/>
          <w:sz w:val="30"/>
          <w:szCs w:val="30"/>
        </w:rPr>
        <w:t>健全生态环境风险防范应急机制。</w:t>
      </w:r>
      <w:r>
        <w:rPr>
          <w:rFonts w:ascii="Times New Roman" w:hAnsi="Times New Roman" w:eastAsia="仿宋_GB2312"/>
          <w:bCs/>
          <w:color w:val="auto"/>
          <w:kern w:val="0"/>
          <w:sz w:val="30"/>
          <w:szCs w:val="30"/>
        </w:rPr>
        <w:t>结合荣成市实际，加快制定环境风险联防联控制度。加强环境应急能力建设，建立健全应急管理体系和协调机制。开展突发环境事件应急演练，依法科学妥善处置突发环境事件，完善突发环境事件处置和损害赔偿恢复机制，将有效防范和妥善应对重大以上突发环境事件作为地方政府的重要任务，纳入环境保护目标责任制。</w:t>
      </w:r>
    </w:p>
    <w:p>
      <w:pPr>
        <w:spacing w:line="360" w:lineRule="auto"/>
        <w:ind w:firstLine="643" w:firstLineChars="200"/>
        <w:outlineLvl w:val="2"/>
        <w:rPr>
          <w:rFonts w:ascii="Times New Roman" w:hAnsi="Times New Roman" w:eastAsia="仿宋_GB2312"/>
          <w:b/>
          <w:color w:val="auto"/>
          <w:sz w:val="32"/>
          <w:szCs w:val="21"/>
        </w:rPr>
      </w:pPr>
      <w:bookmarkStart w:id="122" w:name="_Toc20037"/>
      <w:bookmarkStart w:id="123" w:name="_Toc27307"/>
      <w:bookmarkStart w:id="124" w:name="_Toc19560"/>
      <w:r>
        <w:rPr>
          <w:rFonts w:hint="eastAsia" w:ascii="Times New Roman" w:hAnsi="Times New Roman" w:eastAsia="仿宋_GB2312"/>
          <w:b/>
          <w:color w:val="auto"/>
          <w:sz w:val="32"/>
          <w:szCs w:val="21"/>
        </w:rPr>
        <w:t>（四）完善生态环境保护责任制度</w:t>
      </w:r>
      <w:bookmarkEnd w:id="122"/>
      <w:bookmarkEnd w:id="123"/>
      <w:bookmarkEnd w:id="124"/>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全面落实“党政同责”“一岗双责”。</w:t>
      </w:r>
      <w:r>
        <w:rPr>
          <w:rFonts w:ascii="Times New Roman" w:hAnsi="Times New Roman" w:eastAsia="仿宋_GB2312"/>
          <w:bCs/>
          <w:color w:val="auto"/>
          <w:kern w:val="0"/>
          <w:sz w:val="30"/>
          <w:szCs w:val="30"/>
        </w:rPr>
        <w:t>各级党委、政府对本行政区域的生态环境保护工作及生态环境质量负总责，将生态环境保护要求融入经济社会发展决策全过程，用经济和环境</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双指标</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综合评价区域发展质量。完善全市生态环境保护责任制度体系和责任清单，健全工作机制，有效发挥生态环境委员会作用。各级领导干部对分管业务工作范围内的生态环境保护工作负直接责任，将生态环境保护工作与业务工作同时安排部署，同时组织实施，同时监督检查，同时考核奖惩，各相关部门（单位）对本领域生态环境保护工作负具体责任。</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rPr>
        <w:t>完善</w:t>
      </w:r>
      <w:r>
        <w:rPr>
          <w:rFonts w:hint="eastAsia" w:ascii="楷体_GB2312" w:hAnsi="楷体_GB2312" w:eastAsia="楷体_GB2312" w:cs="楷体_GB2312"/>
          <w:b w:val="0"/>
          <w:bCs w:val="0"/>
          <w:color w:val="auto"/>
          <w:kern w:val="0"/>
          <w:sz w:val="30"/>
          <w:szCs w:val="30"/>
          <w:lang w:val="zh-CN"/>
        </w:rPr>
        <w:t>生态环境保护责任考核机制。</w:t>
      </w:r>
      <w:r>
        <w:rPr>
          <w:rFonts w:ascii="Times New Roman" w:hAnsi="Times New Roman" w:eastAsia="仿宋_GB2312"/>
          <w:bCs/>
          <w:color w:val="auto"/>
          <w:kern w:val="0"/>
          <w:sz w:val="30"/>
          <w:szCs w:val="30"/>
        </w:rPr>
        <w:t>明确生态环境保护考核与评价的方法和内容，党委、政府每年应将生态环境目标任务及责任分解落实，并建立生态环境目标管理责任制。对各乡镇（街道）每月通报，实行</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月排名、季通报、年汇总</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，以考核倒逼责任落实。对不认真履行职责，没有完成年度工作目标或发生生态环境污染事故造成恶劣影响的，在评优评先中实行</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一票否决</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实行领导干部任期生态文明建设问责制。</w:t>
      </w:r>
      <w:r>
        <w:rPr>
          <w:rFonts w:hint="eastAsia" w:ascii="Times New Roman" w:hAnsi="Times New Roman" w:eastAsia="仿宋_GB2312"/>
          <w:bCs/>
          <w:color w:val="auto"/>
          <w:sz w:val="30"/>
          <w:szCs w:val="30"/>
        </w:rPr>
        <w:t>严格落实中共中央办公厅、国务院办公厅《党政领导干部生态环境损害责任追究办法（试行）》规定，</w:t>
      </w:r>
      <w:r>
        <w:rPr>
          <w:rFonts w:ascii="Times New Roman" w:hAnsi="Times New Roman" w:eastAsia="仿宋_GB2312"/>
          <w:bCs/>
          <w:color w:val="auto"/>
          <w:kern w:val="0"/>
          <w:sz w:val="30"/>
          <w:szCs w:val="30"/>
        </w:rPr>
        <w:t>明确乡镇党委和政府领导班子主要负责人、有关领导人员、部门负责人</w:t>
      </w:r>
      <w:r>
        <w:rPr>
          <w:rFonts w:hint="eastAsia" w:ascii="Times New Roman" w:hAnsi="Times New Roman" w:eastAsia="仿宋_GB2312"/>
          <w:bCs/>
          <w:color w:val="auto"/>
          <w:kern w:val="0"/>
          <w:sz w:val="30"/>
          <w:szCs w:val="30"/>
        </w:rPr>
        <w:t>生态环境损害</w:t>
      </w:r>
      <w:r>
        <w:rPr>
          <w:rFonts w:ascii="Times New Roman" w:hAnsi="Times New Roman" w:eastAsia="仿宋_GB2312"/>
          <w:bCs/>
          <w:color w:val="auto"/>
          <w:kern w:val="0"/>
          <w:sz w:val="30"/>
          <w:szCs w:val="30"/>
        </w:rPr>
        <w:t>的追责情形和认定程序</w:t>
      </w:r>
      <w:r>
        <w:rPr>
          <w:rFonts w:hint="eastAsia" w:ascii="Times New Roman" w:hAnsi="Times New Roman" w:eastAsia="仿宋_GB2312"/>
          <w:bCs/>
          <w:color w:val="auto"/>
          <w:kern w:val="0"/>
          <w:sz w:val="30"/>
          <w:szCs w:val="30"/>
        </w:rPr>
        <w:t>，对负有生态环境和资源保护监管职责的工作部门监督检查及自然资源资产离任审计发现的问题，</w:t>
      </w:r>
      <w:r>
        <w:rPr>
          <w:rFonts w:ascii="Times New Roman" w:hAnsi="Times New Roman" w:eastAsia="仿宋_GB2312"/>
          <w:bCs/>
          <w:color w:val="auto"/>
          <w:kern w:val="0"/>
          <w:sz w:val="30"/>
          <w:szCs w:val="30"/>
        </w:rPr>
        <w:t>区分情节轻重</w:t>
      </w:r>
      <w:r>
        <w:rPr>
          <w:rFonts w:hint="eastAsia" w:ascii="Times New Roman" w:hAnsi="Times New Roman" w:eastAsia="仿宋_GB2312"/>
          <w:bCs/>
          <w:color w:val="auto"/>
          <w:kern w:val="0"/>
          <w:sz w:val="30"/>
          <w:szCs w:val="30"/>
        </w:rPr>
        <w:t>予以追责问责。</w:t>
      </w:r>
      <w:r>
        <w:rPr>
          <w:rFonts w:ascii="Times New Roman" w:hAnsi="Times New Roman" w:eastAsia="仿宋_GB2312"/>
          <w:bCs/>
          <w:color w:val="auto"/>
          <w:kern w:val="0"/>
          <w:sz w:val="30"/>
          <w:szCs w:val="30"/>
        </w:rPr>
        <w:t>对造成生态环境损害的，予以诫勉、责令公开道歉、组织处理或党纪政纪处分；对构成犯罪的依法追究刑事责任。对领导干部离任后出现重大生态环境损害并认定其需要承担责任的，实行终身追责，切实增强领导干部的生态环保责任意识并转化为行动。</w:t>
      </w:r>
    </w:p>
    <w:p>
      <w:pPr>
        <w:spacing w:line="360" w:lineRule="auto"/>
        <w:ind w:firstLine="643" w:firstLineChars="200"/>
        <w:outlineLvl w:val="2"/>
        <w:rPr>
          <w:rFonts w:ascii="Times New Roman" w:hAnsi="Times New Roman" w:eastAsia="仿宋_GB2312"/>
          <w:b/>
          <w:color w:val="auto"/>
          <w:sz w:val="32"/>
          <w:szCs w:val="21"/>
        </w:rPr>
      </w:pPr>
      <w:bookmarkStart w:id="125" w:name="_Toc28857"/>
      <w:bookmarkStart w:id="126" w:name="_Toc11105"/>
      <w:bookmarkStart w:id="127" w:name="_Toc19095"/>
      <w:r>
        <w:rPr>
          <w:rFonts w:hint="eastAsia" w:ascii="Times New Roman" w:hAnsi="Times New Roman" w:eastAsia="仿宋_GB2312"/>
          <w:b/>
          <w:color w:val="auto"/>
          <w:sz w:val="32"/>
          <w:szCs w:val="21"/>
        </w:rPr>
        <w:t>（五）健全现代环境治理体系</w:t>
      </w:r>
      <w:bookmarkEnd w:id="125"/>
      <w:bookmarkEnd w:id="126"/>
      <w:bookmarkEnd w:id="127"/>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健全环境治理领导责任体系。</w:t>
      </w:r>
      <w:r>
        <w:rPr>
          <w:rFonts w:ascii="Times New Roman" w:hAnsi="Times New Roman" w:eastAsia="仿宋_GB2312"/>
          <w:bCs/>
          <w:color w:val="auto"/>
          <w:kern w:val="0"/>
          <w:sz w:val="30"/>
          <w:szCs w:val="30"/>
        </w:rPr>
        <w:t>市政府应承担具体责任，统筹做好生态环境保护重要任务的监管执法、市场规范、资金安排、宣传教育等工作。完善生态文明建设目标评价考核体系，对相关专项考核进行精简整合，促进开展环境治理。</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健全环境治理企业责任体系。</w:t>
      </w:r>
      <w:r>
        <w:rPr>
          <w:rFonts w:ascii="Times New Roman" w:hAnsi="Times New Roman" w:eastAsia="仿宋_GB2312"/>
          <w:bCs/>
          <w:color w:val="auto"/>
          <w:kern w:val="0"/>
          <w:sz w:val="30"/>
          <w:szCs w:val="30"/>
        </w:rPr>
        <w:t>逐步制定和完善企业责任制度，明确企业的生态环境责任，提高企业环境守法意识，规范环境管理制度，培育企业生态文化，健全企业环保奖惩机制，建立基于企业生态文明考核指标体系和责任报告制度。强化节能减排自觉行动，提高资源利用效率，深入推行企业环境监督员管理制度，构建环保他律和企业自律相结合的大自律机制，发挥企业在微观环境管理中的主导作用。</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健全环境治理全民行动体系。</w:t>
      </w:r>
      <w:r>
        <w:rPr>
          <w:rFonts w:ascii="Times New Roman" w:hAnsi="Times New Roman" w:eastAsia="仿宋_GB2312"/>
          <w:bCs/>
          <w:color w:val="auto"/>
          <w:kern w:val="0"/>
          <w:sz w:val="30"/>
          <w:szCs w:val="30"/>
        </w:rPr>
        <w:t>完善公众监督和举报反馈机制，加强舆论监督，鼓励新闻媒体对各类破坏生态环境问题、突发环境事件、环境违法行为进行曝光。引导具备资格的环保组织依法开展生态环境公益诉讼等活动。动员各类社会团体参与环境治理。</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健全环境治理监管体系。</w:t>
      </w:r>
      <w:r>
        <w:rPr>
          <w:rFonts w:hint="eastAsia" w:ascii="Times New Roman" w:hAnsi="Times New Roman" w:eastAsia="仿宋_GB2312"/>
          <w:bCs/>
          <w:color w:val="auto"/>
          <w:kern w:val="0"/>
          <w:sz w:val="30"/>
          <w:szCs w:val="30"/>
        </w:rPr>
        <w:t>加强生态环境保护执法队伍建设</w:t>
      </w:r>
      <w:r>
        <w:rPr>
          <w:rFonts w:ascii="Times New Roman" w:hAnsi="Times New Roman" w:eastAsia="仿宋_GB2312"/>
          <w:bCs/>
          <w:color w:val="auto"/>
          <w:kern w:val="0"/>
          <w:sz w:val="30"/>
          <w:szCs w:val="30"/>
        </w:rPr>
        <w:t>，强化监测能力。全面构建网格化长效管控机制。探索构建信访工作网络化管控机制。加强网格化环境监管，着力推动环境监管关口前移，触角向乡镇、村等基层一线延伸，实现对环境监管区域和环节的全方位、全覆盖、无缝隙管理，做到环境监管不留死角、不留盲区、不留隐患。环境监管关口前移，触角向下延伸，全力打通环境监管</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最后一公里</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，确保辖区生态环境安全。</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健全环境治理信用体系。</w:t>
      </w:r>
      <w:r>
        <w:rPr>
          <w:rFonts w:ascii="Times New Roman" w:hAnsi="Times New Roman" w:eastAsia="仿宋_GB2312"/>
          <w:bCs/>
          <w:color w:val="auto"/>
          <w:kern w:val="0"/>
          <w:sz w:val="30"/>
          <w:szCs w:val="30"/>
        </w:rPr>
        <w:t>加强政务诚信建设，健全企业信用建设。完善企业环保信用评价制度，依据评价结果实施分级分类监管。建立排污企业黑名单制度，</w:t>
      </w:r>
      <w:r>
        <w:rPr>
          <w:rFonts w:hint="eastAsia" w:ascii="Times New Roman" w:hAnsi="Times New Roman" w:eastAsia="仿宋_GB2312"/>
          <w:bCs/>
          <w:color w:val="auto"/>
          <w:kern w:val="0"/>
          <w:sz w:val="30"/>
          <w:szCs w:val="30"/>
        </w:rPr>
        <w:t>将环境违法企业依法依规纳入失信联合惩戒对象名单，记入信用档案，</w:t>
      </w:r>
      <w:r>
        <w:rPr>
          <w:rFonts w:ascii="Times New Roman" w:hAnsi="Times New Roman" w:eastAsia="仿宋_GB2312"/>
          <w:bCs/>
          <w:color w:val="auto"/>
          <w:kern w:val="0"/>
          <w:sz w:val="30"/>
          <w:szCs w:val="30"/>
        </w:rPr>
        <w:t>依法向社会公开</w:t>
      </w:r>
      <w:r>
        <w:rPr>
          <w:rFonts w:hint="eastAsia" w:ascii="Times New Roman" w:hAnsi="Times New Roman" w:eastAsia="仿宋_GB2312"/>
          <w:bCs/>
          <w:color w:val="auto"/>
          <w:kern w:val="0"/>
          <w:sz w:val="30"/>
          <w:szCs w:val="30"/>
        </w:rPr>
        <w:t>，形成“一处失信，处处受限”的守法氛围。</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健全环境治理市场体系。</w:t>
      </w:r>
      <w:r>
        <w:rPr>
          <w:rFonts w:ascii="Times New Roman" w:hAnsi="Times New Roman" w:eastAsia="仿宋_GB2312"/>
          <w:bCs/>
          <w:color w:val="auto"/>
          <w:kern w:val="0"/>
          <w:sz w:val="30"/>
          <w:szCs w:val="30"/>
        </w:rPr>
        <w:t>健全价格税收机制，严格落实</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谁污染、谁付费</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政策，建立健全</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污染者付费+第三方治理</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模式，建立城乡环境基础设施建设、运维资金筹措长效机制。大力发展绿色金融。</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128" w:name="_Toc5973"/>
      <w:bookmarkStart w:id="129" w:name="_Toc10784"/>
      <w:bookmarkStart w:id="130" w:name="_Toc12638"/>
      <w:bookmarkStart w:id="131" w:name="_Toc15141"/>
      <w:r>
        <w:rPr>
          <w:rFonts w:hint="eastAsia" w:ascii="Times New Roman" w:hAnsi="Times New Roman" w:eastAsia="楷体"/>
          <w:b/>
          <w:bCs/>
          <w:color w:val="auto"/>
          <w:sz w:val="36"/>
          <w:szCs w:val="36"/>
        </w:rPr>
        <w:t>第十条</w:t>
      </w:r>
      <w:r>
        <w:rPr>
          <w:rFonts w:hint="eastAsia" w:ascii="Times New Roman" w:hAnsi="Times New Roman" w:eastAsia="楷体"/>
          <w:b/>
          <w:bCs/>
          <w:color w:val="auto"/>
          <w:sz w:val="36"/>
          <w:szCs w:val="36"/>
          <w:lang w:val="en-US" w:eastAsia="zh-CN"/>
        </w:rPr>
        <w:t xml:space="preserve">  巩固</w:t>
      </w:r>
      <w:r>
        <w:rPr>
          <w:rFonts w:hint="eastAsia" w:ascii="Times New Roman" w:hAnsi="Times New Roman" w:eastAsia="楷体"/>
          <w:b/>
          <w:bCs/>
          <w:color w:val="auto"/>
          <w:sz w:val="36"/>
          <w:szCs w:val="36"/>
        </w:rPr>
        <w:t>生态安全</w:t>
      </w:r>
      <w:bookmarkEnd w:id="128"/>
      <w:bookmarkEnd w:id="129"/>
      <w:bookmarkEnd w:id="130"/>
      <w:bookmarkEnd w:id="131"/>
    </w:p>
    <w:p>
      <w:pPr>
        <w:spacing w:line="360" w:lineRule="auto"/>
        <w:ind w:firstLine="643" w:firstLineChars="200"/>
        <w:outlineLvl w:val="2"/>
        <w:rPr>
          <w:rFonts w:ascii="Times New Roman" w:hAnsi="Times New Roman" w:eastAsia="仿宋_GB2312"/>
          <w:b/>
          <w:color w:val="auto"/>
          <w:sz w:val="32"/>
          <w:szCs w:val="21"/>
        </w:rPr>
      </w:pPr>
      <w:bookmarkStart w:id="132" w:name="_Toc9498"/>
      <w:bookmarkStart w:id="133" w:name="_Toc1960"/>
      <w:bookmarkStart w:id="134" w:name="_Toc16336"/>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rPr>
        <w:t>一</w:t>
      </w:r>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lang w:val="en-US" w:eastAsia="zh-CN"/>
        </w:rPr>
        <w:t>主动适应</w:t>
      </w:r>
      <w:r>
        <w:rPr>
          <w:rFonts w:hint="eastAsia" w:ascii="Times New Roman" w:hAnsi="Times New Roman" w:eastAsia="仿宋_GB2312"/>
          <w:b/>
          <w:color w:val="auto"/>
          <w:sz w:val="32"/>
          <w:szCs w:val="21"/>
        </w:rPr>
        <w:t>气候变化</w:t>
      </w:r>
      <w:bookmarkEnd w:id="132"/>
      <w:bookmarkEnd w:id="133"/>
      <w:bookmarkEnd w:id="134"/>
    </w:p>
    <w:p>
      <w:pPr>
        <w:spacing w:line="360" w:lineRule="auto"/>
        <w:ind w:firstLine="602" w:firstLineChars="200"/>
        <w:rPr>
          <w:rFonts w:ascii="楷体" w:hAnsi="楷体" w:eastAsia="楷体" w:cs="楷体"/>
          <w:b/>
          <w:bCs/>
          <w:color w:val="auto"/>
          <w:kern w:val="0"/>
          <w:sz w:val="30"/>
          <w:szCs w:val="30"/>
        </w:rPr>
      </w:pPr>
      <w:r>
        <w:rPr>
          <w:rFonts w:ascii="Times New Roman" w:hAnsi="Times New Roman" w:eastAsia="楷体"/>
          <w:b/>
          <w:bCs/>
          <w:color w:val="auto"/>
          <w:kern w:val="0"/>
          <w:sz w:val="30"/>
          <w:szCs w:val="30"/>
        </w:rPr>
        <w:t>1.加</w:t>
      </w:r>
      <w:r>
        <w:rPr>
          <w:rFonts w:hint="eastAsia" w:ascii="楷体" w:hAnsi="楷体" w:eastAsia="楷体" w:cs="楷体"/>
          <w:b/>
          <w:bCs/>
          <w:color w:val="auto"/>
          <w:kern w:val="0"/>
          <w:sz w:val="30"/>
          <w:szCs w:val="30"/>
        </w:rPr>
        <w:t>强组织领导和顶层设计</w:t>
      </w:r>
    </w:p>
    <w:p>
      <w:pPr>
        <w:spacing w:line="360" w:lineRule="auto"/>
        <w:ind w:firstLine="600" w:firstLineChars="200"/>
        <w:rPr>
          <w:rFonts w:ascii="楷体" w:hAnsi="楷体" w:eastAsia="仿宋_GB2312" w:cs="楷体"/>
          <w:b/>
          <w:bCs/>
          <w:color w:val="auto"/>
          <w:kern w:val="0"/>
          <w:sz w:val="30"/>
          <w:szCs w:val="30"/>
        </w:rPr>
      </w:pPr>
      <w:r>
        <w:rPr>
          <w:rFonts w:ascii="Times New Roman" w:hAnsi="Times New Roman" w:eastAsia="仿宋_GB2312"/>
          <w:bCs/>
          <w:color w:val="auto"/>
          <w:kern w:val="0"/>
          <w:sz w:val="30"/>
          <w:szCs w:val="30"/>
        </w:rPr>
        <w:t>建立碳达峰碳中和工作领导推进机制，结合</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十三五</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工作成效，基于荣成市工业、能源等实际情况，研究碳排放达峰、碳中和技术路线图，编制碳达峰、碳中和方案。强化各领域各层级的贯彻落实。加强达峰目标过程管理和考核监督</w:t>
      </w:r>
      <w:r>
        <w:rPr>
          <w:rFonts w:hint="eastAsia" w:ascii="Times New Roman" w:hAnsi="Times New Roman" w:eastAsia="仿宋_GB2312"/>
          <w:bCs/>
          <w:color w:val="auto"/>
          <w:kern w:val="0"/>
          <w:sz w:val="30"/>
          <w:szCs w:val="30"/>
        </w:rPr>
        <w:t>。</w:t>
      </w:r>
    </w:p>
    <w:p>
      <w:pPr>
        <w:adjustRightInd w:val="0"/>
        <w:snapToGrid w:val="0"/>
        <w:spacing w:line="360" w:lineRule="auto"/>
        <w:ind w:firstLine="602" w:firstLineChars="200"/>
        <w:rPr>
          <w:rFonts w:ascii="楷体" w:hAnsi="楷体" w:eastAsia="楷体" w:cs="楷体"/>
          <w:b/>
          <w:bCs/>
          <w:color w:val="auto"/>
          <w:kern w:val="0"/>
          <w:sz w:val="30"/>
          <w:szCs w:val="30"/>
        </w:rPr>
      </w:pPr>
      <w:r>
        <w:rPr>
          <w:rFonts w:ascii="Times New Roman" w:hAnsi="Times New Roman" w:eastAsia="楷体"/>
          <w:b/>
          <w:bCs/>
          <w:color w:val="auto"/>
          <w:kern w:val="0"/>
          <w:sz w:val="30"/>
          <w:szCs w:val="30"/>
        </w:rPr>
        <w:t>2.</w:t>
      </w:r>
      <w:r>
        <w:rPr>
          <w:rFonts w:ascii="楷体" w:hAnsi="楷体" w:eastAsia="楷体" w:cs="楷体"/>
          <w:b/>
          <w:bCs/>
          <w:color w:val="auto"/>
          <w:kern w:val="0"/>
          <w:sz w:val="30"/>
          <w:szCs w:val="30"/>
        </w:rPr>
        <w:t>积极开展碳达峰行动</w:t>
      </w:r>
    </w:p>
    <w:p>
      <w:pPr>
        <w:numPr>
          <w:ilvl w:val="255"/>
          <w:numId w:val="0"/>
        </w:numPr>
        <w:adjustRightInd w:val="0"/>
        <w:snapToGrid w:val="0"/>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实施二氧化碳排放强度和总量双控。探索开展温室气体排放清单编制工作，开展低碳社区试点、近零碳排放示范工程建设、碳中和示范创建。推动电力等重点行业制定达峰目标，推进大型企业制定二氧化碳达峰行动方案。推动重点行业企业开展碳排放强度对标活动。</w:t>
      </w:r>
      <w:r>
        <w:rPr>
          <w:rFonts w:hint="eastAsia" w:ascii="Times New Roman" w:hAnsi="Times New Roman" w:eastAsia="仿宋_GB2312"/>
          <w:bCs/>
          <w:color w:val="auto"/>
          <w:kern w:val="0"/>
          <w:sz w:val="30"/>
          <w:szCs w:val="30"/>
        </w:rPr>
        <w:t>到2030年，实现</w:t>
      </w:r>
      <w:r>
        <w:rPr>
          <w:rFonts w:ascii="Times New Roman" w:hAnsi="Times New Roman" w:eastAsia="仿宋_GB2312"/>
          <w:bCs/>
          <w:color w:val="auto"/>
          <w:kern w:val="0"/>
          <w:sz w:val="30"/>
          <w:szCs w:val="30"/>
        </w:rPr>
        <w:t>二氧化碳排放达峰，为率先实现碳中和打好基础。</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强化建筑节能，持续提升建筑能效水平。积极推广被动式超低能耗建筑</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新建建筑全部执行绿色建筑标准，逐步实施绿色建筑专项验收。到2025年，城镇新建建筑中绿色建筑面积占比达到100%。推进超低能耗建筑规模化建设，鼓励近零能耗建筑发展。持续推进既有居住建筑和公共建筑的绿色节能改造。持续推动可再生能源建筑一体化。推广节能绿色建材、装配式和钢结构建筑。</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推进交通运输节能，促进绿色交通发展。推动交通用能终端新能源化发展。到2025年，营运车辆、船舶单位运输周转量二氧化碳排放较2020年分别下降4%和3.5%以上。加快绿色仓储设施建设和改造，建设生态良港，打造高效节能冷链物流体系。持续降低单位周转量能耗。加强交通节能减排示范工程推广。</w:t>
      </w:r>
    </w:p>
    <w:p>
      <w:pPr>
        <w:adjustRightInd w:val="0"/>
        <w:snapToGrid w:val="0"/>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3.增加</w:t>
      </w:r>
      <w:r>
        <w:rPr>
          <w:rFonts w:hint="eastAsia" w:ascii="Times New Roman" w:hAnsi="Times New Roman" w:eastAsia="楷体"/>
          <w:b/>
          <w:bCs/>
          <w:color w:val="auto"/>
          <w:kern w:val="0"/>
          <w:sz w:val="30"/>
          <w:szCs w:val="30"/>
        </w:rPr>
        <w:t>海洋</w:t>
      </w:r>
      <w:r>
        <w:rPr>
          <w:rFonts w:ascii="Times New Roman" w:hAnsi="Times New Roman" w:eastAsia="楷体"/>
          <w:b/>
          <w:bCs/>
          <w:color w:val="auto"/>
          <w:kern w:val="0"/>
          <w:sz w:val="30"/>
          <w:szCs w:val="30"/>
        </w:rPr>
        <w:t>生态系统碳汇</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通过增加滨海湿地、改善海洋渔业结构、保护海床生态等方式对海洋生态进行恢复与重建，提升海洋系统碳汇能力。推广桑沟湾多营养层次综合养殖模式，利用藻类、鱼类、贝类、底栖生物等养殖品种间的营养层级互补优势，避免近岸水域富营养化，提高养殖产品质效，增加渔业碳汇功能。探索建设大叶藻海洋碳汇实验区，挖掘海洋固碳潜力，增加海洋负排放。推广爱伦湾海洋牧场“零碳”智慧用能示范项目经验和做法，打造海洋牧场“零碳”智慧园区建设样板。</w:t>
      </w:r>
    </w:p>
    <w:p>
      <w:pPr>
        <w:adjustRightInd w:val="0"/>
        <w:snapToGrid w:val="0"/>
        <w:spacing w:line="360" w:lineRule="auto"/>
        <w:ind w:firstLine="602" w:firstLineChars="200"/>
        <w:rPr>
          <w:rFonts w:ascii="楷体" w:hAnsi="楷体" w:eastAsia="楷体" w:cs="楷体"/>
          <w:b/>
          <w:bCs/>
          <w:color w:val="auto"/>
          <w:kern w:val="0"/>
          <w:sz w:val="30"/>
          <w:szCs w:val="30"/>
        </w:rPr>
      </w:pPr>
      <w:r>
        <w:rPr>
          <w:rFonts w:hint="eastAsia" w:ascii="Times New Roman" w:hAnsi="Times New Roman" w:eastAsia="楷体"/>
          <w:b/>
          <w:bCs/>
          <w:color w:val="auto"/>
          <w:kern w:val="0"/>
          <w:sz w:val="30"/>
          <w:szCs w:val="30"/>
        </w:rPr>
        <w:t>4</w:t>
      </w:r>
      <w:r>
        <w:rPr>
          <w:rFonts w:ascii="Times New Roman" w:hAnsi="Times New Roman" w:eastAsia="楷体"/>
          <w:b/>
          <w:bCs/>
          <w:color w:val="auto"/>
          <w:kern w:val="0"/>
          <w:sz w:val="30"/>
          <w:szCs w:val="30"/>
        </w:rPr>
        <w:t>.</w:t>
      </w:r>
      <w:r>
        <w:rPr>
          <w:rFonts w:hint="eastAsia" w:ascii="楷体" w:hAnsi="楷体" w:eastAsia="楷体" w:cs="楷体"/>
          <w:b/>
          <w:bCs/>
          <w:color w:val="auto"/>
          <w:kern w:val="0"/>
          <w:sz w:val="30"/>
          <w:szCs w:val="30"/>
        </w:rPr>
        <w:t>加强节能减排监督执法</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加强对节能减排法规和标准执行情况的监督检查，对违法违规行为进行公开通报并督促整改。加强节能监察队伍建设，完善节能减排执法监察体系。实行节能执法责任制，对行政不作为、执法不严等行为，严肃追究有关主管部门和执法机构负责人的责任。强化对重点减排企业（设施）的监督执法，确保减排设施稳定高效运行。</w:t>
      </w:r>
    </w:p>
    <w:p>
      <w:pPr>
        <w:spacing w:line="360" w:lineRule="auto"/>
        <w:ind w:firstLine="602" w:firstLineChars="200"/>
        <w:rPr>
          <w:rFonts w:ascii="Times New Roman" w:hAnsi="Times New Roman" w:eastAsia="仿宋_GB2312"/>
          <w:bCs/>
          <w:color w:val="auto"/>
          <w:kern w:val="0"/>
          <w:sz w:val="30"/>
          <w:szCs w:val="30"/>
        </w:rPr>
      </w:pPr>
      <w:r>
        <w:rPr>
          <w:rFonts w:hint="default" w:ascii="Times New Roman" w:hAnsi="Times New Roman" w:eastAsia="楷体" w:cs="Times New Roman"/>
          <w:b/>
          <w:bCs/>
          <w:color w:val="auto"/>
          <w:kern w:val="0"/>
          <w:sz w:val="30"/>
          <w:szCs w:val="30"/>
        </w:rPr>
        <w:t>5.开</w:t>
      </w:r>
      <w:r>
        <w:rPr>
          <w:rFonts w:hint="eastAsia" w:ascii="楷体" w:hAnsi="楷体" w:eastAsia="楷体" w:cs="楷体"/>
          <w:b/>
          <w:bCs/>
          <w:color w:val="auto"/>
          <w:kern w:val="0"/>
          <w:sz w:val="30"/>
          <w:szCs w:val="30"/>
        </w:rPr>
        <w:t>展全民减碳行动</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加快公共机构节能改造，鼓励政府购买合同能源管理服务。公共机构率先使用太阳能，优先采购使用节能和新能源汽车。积极创国家级节能型公共机构示范单位。加强宣传引导，组织好全国节能宣传周、全国低碳日等主题宣传活动。探索“碳普惠”项目，把市民各种低碳行为所减少的二氧化碳排放量核算出来，变成“碳积分”对接商业消费平台。202</w:t>
      </w:r>
      <w:r>
        <w:rPr>
          <w:rFonts w:hint="eastAsia" w:ascii="Times New Roman" w:hAnsi="Times New Roman" w:eastAsia="仿宋_GB2312"/>
          <w:bCs/>
          <w:color w:val="auto"/>
          <w:kern w:val="0"/>
          <w:sz w:val="30"/>
          <w:szCs w:val="30"/>
          <w:lang w:val="en-US" w:eastAsia="zh-CN"/>
        </w:rPr>
        <w:t>5</w:t>
      </w:r>
      <w:r>
        <w:rPr>
          <w:rFonts w:hint="eastAsia" w:ascii="Times New Roman" w:hAnsi="Times New Roman" w:eastAsia="仿宋_GB2312"/>
          <w:bCs/>
          <w:color w:val="auto"/>
          <w:kern w:val="0"/>
          <w:sz w:val="30"/>
          <w:szCs w:val="30"/>
        </w:rPr>
        <w:t>年底前，实现人均能耗比2020年下降5%以上。</w:t>
      </w:r>
    </w:p>
    <w:p>
      <w:pPr>
        <w:spacing w:line="360" w:lineRule="auto"/>
        <w:ind w:firstLine="643" w:firstLineChars="200"/>
        <w:outlineLvl w:val="2"/>
        <w:rPr>
          <w:rFonts w:ascii="Times New Roman" w:hAnsi="Times New Roman" w:eastAsia="仿宋_GB2312"/>
          <w:b/>
          <w:color w:val="auto"/>
          <w:sz w:val="32"/>
          <w:szCs w:val="21"/>
        </w:rPr>
      </w:pPr>
      <w:bookmarkStart w:id="135" w:name="_Toc24262"/>
      <w:bookmarkStart w:id="136" w:name="_Toc32137"/>
      <w:bookmarkStart w:id="137" w:name="_Toc19588"/>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rPr>
        <w:t>二</w:t>
      </w:r>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lang w:val="en-US" w:eastAsia="zh-CN"/>
        </w:rPr>
        <w:t>巩固</w:t>
      </w:r>
      <w:r>
        <w:rPr>
          <w:rFonts w:hint="eastAsia" w:ascii="Times New Roman" w:hAnsi="Times New Roman" w:eastAsia="仿宋_GB2312"/>
          <w:b/>
          <w:color w:val="auto"/>
          <w:sz w:val="32"/>
          <w:szCs w:val="21"/>
        </w:rPr>
        <w:t>提升水环境质量</w:t>
      </w:r>
      <w:bookmarkEnd w:id="135"/>
      <w:bookmarkEnd w:id="136"/>
      <w:bookmarkEnd w:id="137"/>
    </w:p>
    <w:p>
      <w:p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1.持续深化水污染治理</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强化工业企业污染控制。</w:t>
      </w:r>
      <w:r>
        <w:rPr>
          <w:rFonts w:ascii="Times New Roman" w:hAnsi="Times New Roman" w:eastAsia="仿宋_GB2312"/>
          <w:bCs/>
          <w:color w:val="auto"/>
          <w:kern w:val="0"/>
          <w:sz w:val="30"/>
          <w:szCs w:val="30"/>
        </w:rPr>
        <w:t>排放污水的工业企业应依法持有排污许可证并严格按证排污。对超标或超总量的排污单位一律限制生产或停产整治。排入环境的工业污水应符合行业和山东省排放标准；对水环境容量超载河流，依法依规执行特别排放限值要求。加快各类工业园区、集聚区配套污水处理设施建设，对废水分类收集、分质处理、应收尽收，实现园区废水稳定达标排放。</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实施入河（海）排污口排查整治。</w:t>
      </w:r>
      <w:r>
        <w:rPr>
          <w:rFonts w:ascii="Times New Roman" w:hAnsi="Times New Roman" w:eastAsia="仿宋_GB2312"/>
          <w:bCs/>
          <w:color w:val="auto"/>
          <w:kern w:val="0"/>
          <w:sz w:val="30"/>
          <w:szCs w:val="30"/>
        </w:rPr>
        <w:t>按照山东省有关要求，聚焦国控、省控及市控断面达标攻坚，坚持陆海统筹，落实</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查、测、溯、治</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四项重点任务，将全市主要河流和所有中型以上水库、重要的小型水库，以及主要入海河流、海湾纳入排查范围，全面摸清入河（海）排污口底数，形成排污口管理清单，建立权责清晰、监控到位、管理规范的入河排污口监管体系。建立重点水域自动在线监测监控体系，严格落实入河（海）排污口审批制度，开展辖区排污口排查溯源，建立排污口管理档案，强化重点排污企业污水处理设施建设与管理，严厉打击违法排污。</w:t>
      </w:r>
    </w:p>
    <w:p>
      <w:pPr>
        <w:spacing w:line="360" w:lineRule="auto"/>
        <w:ind w:firstLine="600" w:firstLineChars="200"/>
        <w:rPr>
          <w:rFonts w:ascii="Times New Roman" w:hAnsi="Times New Roman" w:eastAsia="仿宋_GB2312"/>
          <w:b/>
          <w:color w:val="auto"/>
          <w:kern w:val="0"/>
          <w:sz w:val="30"/>
          <w:szCs w:val="30"/>
        </w:rPr>
      </w:pPr>
      <w:r>
        <w:rPr>
          <w:rFonts w:hint="eastAsia" w:ascii="楷体_GB2312" w:hAnsi="楷体_GB2312" w:eastAsia="楷体_GB2312" w:cs="楷体_GB2312"/>
          <w:b w:val="0"/>
          <w:bCs w:val="0"/>
          <w:color w:val="auto"/>
          <w:kern w:val="0"/>
          <w:sz w:val="30"/>
          <w:szCs w:val="30"/>
          <w:lang w:val="zh-CN"/>
        </w:rPr>
        <w:t>加快城镇污水处理能力建设。</w:t>
      </w:r>
      <w:r>
        <w:rPr>
          <w:rFonts w:ascii="Times New Roman" w:hAnsi="Times New Roman" w:eastAsia="仿宋_GB2312"/>
          <w:bCs/>
          <w:color w:val="auto"/>
          <w:kern w:val="0"/>
          <w:sz w:val="30"/>
          <w:szCs w:val="30"/>
        </w:rPr>
        <w:t>进一步增加城镇污水处理规模。根据人口集聚和产业发展需求补强城镇生活污水处理短板，到2025年</w:t>
      </w:r>
      <w:r>
        <w:rPr>
          <w:rFonts w:hint="eastAsia" w:ascii="仿宋_GB2312" w:hAnsi="仿宋_GB2312" w:eastAsia="仿宋_GB2312" w:cs="仿宋_GB2312"/>
          <w:color w:val="auto"/>
          <w:sz w:val="30"/>
          <w:szCs w:val="30"/>
        </w:rPr>
        <w:t>城镇污水处理率不低于</w:t>
      </w:r>
      <w:r>
        <w:rPr>
          <w:rFonts w:hint="eastAsia" w:ascii="TimesNewRomanPSMT" w:hAnsi="TimesNewRomanPSMT" w:cs="TimesNewRomanPSMT"/>
          <w:color w:val="auto"/>
          <w:sz w:val="30"/>
          <w:szCs w:val="30"/>
        </w:rPr>
        <w:t>98</w:t>
      </w:r>
      <w:r>
        <w:rPr>
          <w:rFonts w:ascii="TimesNewRomanPSMT" w:hAnsi="TimesNewRomanPSMT" w:eastAsia="TimesNewRomanPSMT" w:cs="TimesNewRomanPSMT"/>
          <w:color w:val="auto"/>
          <w:sz w:val="30"/>
          <w:szCs w:val="30"/>
        </w:rPr>
        <w:t>%</w:t>
      </w:r>
      <w:r>
        <w:rPr>
          <w:rFonts w:ascii="仿宋_GB2312" w:hAnsi="仿宋_GB2312" w:eastAsia="仿宋_GB2312" w:cs="仿宋_GB2312"/>
          <w:color w:val="auto"/>
          <w:sz w:val="30"/>
          <w:szCs w:val="30"/>
        </w:rPr>
        <w:t>。农村地区生活污水就近纳入城镇污水处理系统，偏远农村地区建设小型污水处理站</w:t>
      </w:r>
      <w:r>
        <w:rPr>
          <w:rFonts w:ascii="Times New Roman" w:hAnsi="Times New Roman" w:eastAsia="仿宋_GB2312"/>
          <w:bCs/>
          <w:color w:val="auto"/>
          <w:kern w:val="0"/>
          <w:sz w:val="30"/>
          <w:szCs w:val="30"/>
        </w:rPr>
        <w:t>。继续扩大具备初期雨水处理能力的城镇污水处理厂范围，全面推进城市建成区雨污分流改造</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到2025年</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城市新区建设均应实行雨污分流。有序推进城镇污水处理提质增效，确保氨氮和化学需氧量等主要污染物排放浓度稳定达标。加强技术研发应用，最大化利用初期雨水和污水资源。</w:t>
      </w:r>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default" w:ascii="Times New Roman" w:hAnsi="Times New Roman" w:eastAsia="楷体" w:cs="Times New Roman"/>
          <w:b/>
          <w:bCs/>
          <w:color w:val="auto"/>
          <w:kern w:val="0"/>
          <w:sz w:val="30"/>
          <w:szCs w:val="30"/>
          <w:lang w:val="en-US" w:eastAsia="zh-CN"/>
        </w:rPr>
        <w:t>2.</w:t>
      </w:r>
      <w:r>
        <w:rPr>
          <w:rFonts w:ascii="楷体" w:hAnsi="楷体" w:eastAsia="楷体" w:cs="楷体"/>
          <w:b/>
          <w:bCs/>
          <w:color w:val="auto"/>
          <w:kern w:val="0"/>
          <w:sz w:val="30"/>
          <w:szCs w:val="30"/>
        </w:rPr>
        <w:t>全面推动水生态环境改善</w:t>
      </w:r>
    </w:p>
    <w:p>
      <w:pPr>
        <w:spacing w:line="360" w:lineRule="auto"/>
        <w:ind w:firstLine="600" w:firstLineChars="200"/>
        <w:rPr>
          <w:rFonts w:ascii="仿宋" w:hAnsi="仿宋" w:eastAsia="仿宋"/>
          <w:color w:val="auto"/>
          <w:kern w:val="0"/>
          <w:sz w:val="30"/>
          <w:szCs w:val="30"/>
        </w:rPr>
      </w:pPr>
      <w:r>
        <w:rPr>
          <w:rFonts w:hint="eastAsia" w:ascii="楷体_GB2312" w:hAnsi="楷体_GB2312" w:eastAsia="楷体_GB2312" w:cs="楷体_GB2312"/>
          <w:b w:val="0"/>
          <w:bCs w:val="0"/>
          <w:color w:val="auto"/>
          <w:kern w:val="0"/>
          <w:sz w:val="30"/>
          <w:szCs w:val="30"/>
          <w:lang w:val="zh-CN"/>
        </w:rPr>
        <w:t>践行水资源、水生态、水环境“三水”统筹新思路。</w:t>
      </w:r>
      <w:r>
        <w:rPr>
          <w:rFonts w:hint="eastAsia" w:eastAsia="仿宋_GB2312" w:cs="Calibri"/>
          <w:color w:val="auto"/>
          <w:kern w:val="0"/>
          <w:sz w:val="30"/>
          <w:szCs w:val="30"/>
        </w:rPr>
        <w:t>根</w:t>
      </w:r>
      <w:r>
        <w:rPr>
          <w:rFonts w:hint="eastAsia" w:ascii="仿宋" w:hAnsi="仿宋" w:eastAsia="仿宋" w:cs="Calibri"/>
          <w:color w:val="auto"/>
          <w:kern w:val="0"/>
          <w:sz w:val="30"/>
          <w:szCs w:val="30"/>
        </w:rPr>
        <w:t>据水生态环境现状与目标的差距以及识别出的问题和</w:t>
      </w:r>
      <w:r>
        <w:rPr>
          <w:rFonts w:hint="eastAsia" w:ascii="仿宋" w:hAnsi="仿宋" w:eastAsia="仿宋" w:cs="微软雅黑"/>
          <w:color w:val="auto"/>
          <w:kern w:val="0"/>
          <w:sz w:val="30"/>
          <w:szCs w:val="30"/>
        </w:rPr>
        <w:t>症</w:t>
      </w:r>
      <w:r>
        <w:rPr>
          <w:rFonts w:hint="eastAsia" w:ascii="仿宋" w:hAnsi="仿宋" w:eastAsia="仿宋" w:cs="___WRD_EMBED_SUB_45"/>
          <w:color w:val="auto"/>
          <w:kern w:val="0"/>
          <w:sz w:val="30"/>
          <w:szCs w:val="30"/>
        </w:rPr>
        <w:t>结，从污染减排、水资源保障、水生态保护修复三</w:t>
      </w:r>
      <w:r>
        <w:rPr>
          <w:rFonts w:hint="eastAsia" w:ascii="仿宋" w:hAnsi="仿宋" w:eastAsia="仿宋" w:cs="Calibri"/>
          <w:color w:val="auto"/>
          <w:kern w:val="0"/>
          <w:sz w:val="30"/>
          <w:szCs w:val="30"/>
        </w:rPr>
        <w:t>个方面提出针对性的措施；污染减排</w:t>
      </w:r>
      <w:r>
        <w:rPr>
          <w:rFonts w:hint="eastAsia" w:ascii="仿宋" w:hAnsi="仿宋" w:eastAsia="仿宋" w:cs="___WRD_EMBED_SUB_45"/>
          <w:color w:val="auto"/>
          <w:kern w:val="0"/>
          <w:sz w:val="30"/>
          <w:szCs w:val="30"/>
        </w:rPr>
        <w:t>，即协同推进工业、城镇生活、农业农村</w:t>
      </w:r>
      <w:r>
        <w:rPr>
          <w:rFonts w:hint="eastAsia" w:ascii="仿宋" w:hAnsi="仿宋" w:eastAsia="仿宋" w:cs="Calibri"/>
          <w:color w:val="auto"/>
          <w:kern w:val="0"/>
          <w:sz w:val="30"/>
          <w:szCs w:val="30"/>
        </w:rPr>
        <w:t>、船舶交通移动源污染防治和排污口整治；水资源保障主要以保障生态流量（水位）为根本出发点，加强再生水循环利用体系建设，结合</w:t>
      </w:r>
      <w:r>
        <w:rPr>
          <w:rFonts w:hint="eastAsia" w:ascii="仿宋" w:hAnsi="仿宋" w:eastAsia="仿宋" w:cs="微软雅黑"/>
          <w:color w:val="auto"/>
          <w:kern w:val="0"/>
          <w:sz w:val="30"/>
          <w:szCs w:val="30"/>
        </w:rPr>
        <w:t>闸</w:t>
      </w:r>
      <w:r>
        <w:rPr>
          <w:rFonts w:hint="eastAsia" w:ascii="仿宋" w:hAnsi="仿宋" w:eastAsia="仿宋" w:cs="___WRD_EMBED_SUB_45"/>
          <w:color w:val="auto"/>
          <w:kern w:val="0"/>
          <w:sz w:val="30"/>
          <w:szCs w:val="30"/>
        </w:rPr>
        <w:t>坝和水库科学调度、深化节水，解决河湖生态水量不足的问题；水生态保护修复遵循保护优先、自然恢复的方针，在划分并保护水源涵养区、河湖生态缓冲带等生态空间的基础上，进一步从退出人类活动、湿地恢复与建设、河湖生态建设、水生生物完整性恢复等方面提出针对性措</w:t>
      </w:r>
      <w:r>
        <w:rPr>
          <w:rFonts w:hint="eastAsia" w:ascii="仿宋" w:hAnsi="仿宋" w:eastAsia="仿宋" w:cs="Calibri"/>
          <w:color w:val="auto"/>
          <w:kern w:val="0"/>
          <w:sz w:val="30"/>
          <w:szCs w:val="30"/>
        </w:rPr>
        <w:t>施，最终实现</w:t>
      </w:r>
      <w:r>
        <w:rPr>
          <w:rFonts w:ascii="仿宋" w:hAnsi="仿宋" w:eastAsia="仿宋" w:cs="___WRD_EMBED_SUB_45"/>
          <w:color w:val="auto"/>
          <w:kern w:val="0"/>
          <w:sz w:val="30"/>
          <w:szCs w:val="30"/>
        </w:rPr>
        <w:t>“有河有水，有鱼有草，人水和谐”的目标</w:t>
      </w:r>
      <w:r>
        <w:rPr>
          <w:rFonts w:hint="eastAsia" w:ascii="仿宋" w:hAnsi="仿宋" w:eastAsia="仿宋" w:cs="___WRD_EMBED_SUB_45"/>
          <w:color w:val="auto"/>
          <w:kern w:val="0"/>
          <w:sz w:val="30"/>
          <w:szCs w:val="30"/>
        </w:rPr>
        <w:t>。</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健全水生态环境协同监管体制。</w:t>
      </w:r>
      <w:r>
        <w:rPr>
          <w:rFonts w:hint="eastAsia" w:ascii="Times New Roman" w:hAnsi="Times New Roman" w:eastAsia="仿宋_GB2312"/>
          <w:bCs/>
          <w:color w:val="auto"/>
          <w:kern w:val="0"/>
          <w:sz w:val="30"/>
          <w:szCs w:val="30"/>
        </w:rPr>
        <w:t>健全河湖湾“三长合一”管理体制，</w:t>
      </w:r>
      <w:r>
        <w:rPr>
          <w:rFonts w:ascii="Times New Roman" w:hAnsi="Times New Roman" w:eastAsia="仿宋_GB2312"/>
          <w:bCs/>
          <w:color w:val="auto"/>
          <w:kern w:val="0"/>
          <w:sz w:val="30"/>
          <w:szCs w:val="30"/>
        </w:rPr>
        <w:t>建立</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河湖湾长+检察长+警长</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联动工作机制，完成渔港环境综合治理。压实河长制、湖长制、湾长制责任，</w:t>
      </w:r>
      <w:r>
        <w:rPr>
          <w:rFonts w:hint="eastAsia" w:ascii="Times New Roman" w:hAnsi="Times New Roman" w:eastAsia="仿宋_GB2312"/>
          <w:bCs/>
          <w:color w:val="auto"/>
          <w:kern w:val="0"/>
          <w:sz w:val="30"/>
          <w:szCs w:val="30"/>
        </w:rPr>
        <w:t>完善调度、考核、约谈等机制。借助河湖湾长智慧监管平台，</w:t>
      </w:r>
      <w:r>
        <w:rPr>
          <w:rFonts w:ascii="Times New Roman" w:hAnsi="Times New Roman" w:eastAsia="仿宋_GB2312"/>
          <w:bCs/>
          <w:color w:val="auto"/>
          <w:kern w:val="0"/>
          <w:sz w:val="30"/>
          <w:szCs w:val="30"/>
        </w:rPr>
        <w:t>做深做细联合巡河、监测预警、信息通报、数据共享、应急响应、问题处置等工作，加强协同立法和联合执法，推动毗邻地区污水处理设施共建共享</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创新制度机制，落实一张负面清单管两地，统一保护标准和生态环境准入政策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探索建立流域横向生态补偿机制，努力打造跨流域跨区域生态保护合作典范。压实层层责任注活力。各级河湖湾长制组成部门各司其职、齐抓共管、协同联动，形成河湖</w:t>
      </w:r>
      <w:r>
        <w:rPr>
          <w:rFonts w:hint="eastAsia" w:ascii="Times New Roman" w:hAnsi="Times New Roman" w:eastAsia="仿宋_GB2312"/>
          <w:bCs/>
          <w:color w:val="auto"/>
          <w:kern w:val="0"/>
          <w:sz w:val="30"/>
          <w:szCs w:val="30"/>
        </w:rPr>
        <w:t>湾</w:t>
      </w:r>
      <w:r>
        <w:rPr>
          <w:rFonts w:ascii="Times New Roman" w:hAnsi="Times New Roman" w:eastAsia="仿宋_GB2312"/>
          <w:bCs/>
          <w:color w:val="auto"/>
          <w:kern w:val="0"/>
          <w:sz w:val="30"/>
          <w:szCs w:val="30"/>
        </w:rPr>
        <w:t>管理保护合力。</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开展水生态保护与修复。</w:t>
      </w:r>
      <w:r>
        <w:rPr>
          <w:rFonts w:ascii="Times New Roman" w:hAnsi="Times New Roman" w:eastAsia="仿宋_GB2312"/>
          <w:bCs/>
          <w:color w:val="auto"/>
          <w:kern w:val="0"/>
          <w:sz w:val="30"/>
          <w:szCs w:val="30"/>
        </w:rPr>
        <w:t>开展主要河库水生态健康调查评估。以富营养化趋势明显的河流水库为重点，有效抑制富营养化趋势。</w:t>
      </w:r>
      <w:r>
        <w:rPr>
          <w:rFonts w:hint="eastAsia" w:ascii="Times New Roman" w:hAnsi="Times New Roman" w:eastAsia="仿宋_GB2312"/>
          <w:bCs/>
          <w:color w:val="auto"/>
          <w:kern w:val="0"/>
          <w:sz w:val="30"/>
          <w:szCs w:val="30"/>
        </w:rPr>
        <w:t>实施河库水系连通工程，将沽河西支及车道河部分河水调至湾头、后龙河、逍遥水库。</w:t>
      </w:r>
      <w:r>
        <w:rPr>
          <w:rFonts w:ascii="Times New Roman" w:hAnsi="Times New Roman" w:eastAsia="仿宋_GB2312"/>
          <w:bCs/>
          <w:color w:val="auto"/>
          <w:kern w:val="0"/>
          <w:sz w:val="30"/>
          <w:szCs w:val="30"/>
        </w:rPr>
        <w:t>开展河流底泥疏浚，丰富水生植物结构，优化食物网结构，增强生态系统稳定性和控制力，增强水体自净能力。在现有河道绿化成果基础上，在农业面源污染相对严重且具备生态治理条件的河段，开展河道岸线生态缓冲带建设，并纳入河岸绿化带管理范围。</w:t>
      </w:r>
      <w:r>
        <w:rPr>
          <w:rFonts w:hint="eastAsia" w:ascii="Times New Roman" w:hAnsi="Times New Roman" w:eastAsia="仿宋_GB2312"/>
          <w:bCs/>
          <w:color w:val="auto"/>
          <w:kern w:val="0"/>
          <w:sz w:val="30"/>
          <w:szCs w:val="30"/>
        </w:rPr>
        <w:t>建设沽河</w:t>
      </w:r>
      <w:r>
        <w:rPr>
          <w:rFonts w:ascii="Times New Roman" w:hAnsi="Times New Roman" w:eastAsia="仿宋_GB2312"/>
          <w:bCs/>
          <w:color w:val="auto"/>
          <w:kern w:val="0"/>
          <w:sz w:val="30"/>
          <w:szCs w:val="30"/>
        </w:rPr>
        <w:t>人工湿地，提高水体自净能力。结合对自然保护地的生态监管，加大对自然湿地的保护</w:t>
      </w:r>
      <w:r>
        <w:rPr>
          <w:rFonts w:hint="eastAsia" w:ascii="Times New Roman" w:hAnsi="Times New Roman" w:eastAsia="仿宋_GB2312"/>
          <w:bCs/>
          <w:color w:val="auto"/>
          <w:kern w:val="0"/>
          <w:sz w:val="30"/>
          <w:szCs w:val="30"/>
        </w:rPr>
        <w:t>力度</w:t>
      </w:r>
      <w:r>
        <w:rPr>
          <w:rFonts w:ascii="Times New Roman" w:hAnsi="Times New Roman" w:eastAsia="仿宋_GB2312"/>
          <w:bCs/>
          <w:color w:val="auto"/>
          <w:kern w:val="0"/>
          <w:sz w:val="30"/>
          <w:szCs w:val="30"/>
        </w:rPr>
        <w:t>。</w:t>
      </w:r>
    </w:p>
    <w:p>
      <w:pPr>
        <w:spacing w:line="360" w:lineRule="auto"/>
        <w:ind w:firstLine="643" w:firstLineChars="200"/>
        <w:outlineLvl w:val="2"/>
        <w:rPr>
          <w:rFonts w:ascii="Times New Roman" w:hAnsi="Times New Roman" w:eastAsia="仿宋_GB2312"/>
          <w:b/>
          <w:color w:val="auto"/>
          <w:sz w:val="32"/>
          <w:szCs w:val="21"/>
        </w:rPr>
      </w:pPr>
      <w:bookmarkStart w:id="138" w:name="_Toc13704"/>
      <w:bookmarkStart w:id="139" w:name="_Toc5570"/>
      <w:bookmarkStart w:id="140" w:name="_Toc24673"/>
      <w:r>
        <w:rPr>
          <w:rFonts w:hint="eastAsia" w:ascii="Times New Roman" w:hAnsi="Times New Roman" w:eastAsia="仿宋_GB2312"/>
          <w:b/>
          <w:color w:val="auto"/>
          <w:sz w:val="32"/>
          <w:szCs w:val="21"/>
        </w:rPr>
        <w:t>（三）</w:t>
      </w:r>
      <w:r>
        <w:rPr>
          <w:rFonts w:hint="eastAsia" w:ascii="Times New Roman" w:hAnsi="Times New Roman" w:eastAsia="仿宋_GB2312"/>
          <w:b/>
          <w:color w:val="auto"/>
          <w:sz w:val="32"/>
          <w:szCs w:val="21"/>
          <w:lang w:val="en-US" w:eastAsia="zh-CN"/>
        </w:rPr>
        <w:t>稳定优化</w:t>
      </w:r>
      <w:r>
        <w:rPr>
          <w:rFonts w:hint="eastAsia" w:ascii="Times New Roman" w:hAnsi="Times New Roman" w:eastAsia="仿宋_GB2312"/>
          <w:b/>
          <w:color w:val="auto"/>
          <w:sz w:val="32"/>
          <w:szCs w:val="21"/>
        </w:rPr>
        <w:t>环境</w:t>
      </w:r>
      <w:r>
        <w:rPr>
          <w:rFonts w:hint="eastAsia" w:ascii="Times New Roman" w:hAnsi="Times New Roman" w:eastAsia="仿宋_GB2312"/>
          <w:b/>
          <w:color w:val="auto"/>
          <w:sz w:val="32"/>
          <w:szCs w:val="21"/>
          <w:lang w:val="en-US" w:eastAsia="zh-CN"/>
        </w:rPr>
        <w:t>空气</w:t>
      </w:r>
      <w:r>
        <w:rPr>
          <w:rFonts w:hint="eastAsia" w:ascii="Times New Roman" w:hAnsi="Times New Roman" w:eastAsia="仿宋_GB2312"/>
          <w:b/>
          <w:color w:val="auto"/>
          <w:sz w:val="32"/>
          <w:szCs w:val="21"/>
        </w:rPr>
        <w:t>质量</w:t>
      </w:r>
      <w:bookmarkEnd w:id="138"/>
      <w:bookmarkEnd w:id="139"/>
      <w:bookmarkEnd w:id="140"/>
    </w:p>
    <w:p>
      <w:pPr>
        <w:spacing w:line="360" w:lineRule="auto"/>
        <w:ind w:firstLine="602" w:firstLineChars="200"/>
        <w:rPr>
          <w:rFonts w:ascii="楷体" w:hAnsi="楷体" w:eastAsia="楷体" w:cs="楷体"/>
          <w:b/>
          <w:bCs/>
          <w:color w:val="auto"/>
          <w:kern w:val="0"/>
          <w:sz w:val="30"/>
          <w:szCs w:val="30"/>
        </w:rPr>
      </w:pPr>
      <w:r>
        <w:rPr>
          <w:rFonts w:hint="default" w:ascii="Times New Roman" w:hAnsi="Times New Roman" w:eastAsia="楷体" w:cs="Times New Roman"/>
          <w:b/>
          <w:bCs/>
          <w:color w:val="auto"/>
          <w:kern w:val="0"/>
          <w:sz w:val="30"/>
          <w:szCs w:val="30"/>
          <w:lang w:val="en-US" w:eastAsia="zh-CN"/>
        </w:rPr>
        <w:t>1.</w:t>
      </w:r>
      <w:r>
        <w:rPr>
          <w:rFonts w:hint="default" w:ascii="Times New Roman" w:hAnsi="Times New Roman" w:eastAsia="楷体" w:cs="Times New Roman"/>
          <w:b/>
          <w:bCs/>
          <w:color w:val="auto"/>
          <w:kern w:val="0"/>
          <w:sz w:val="30"/>
          <w:szCs w:val="30"/>
        </w:rPr>
        <w:t>强</w:t>
      </w:r>
      <w:r>
        <w:rPr>
          <w:rFonts w:ascii="楷体" w:hAnsi="楷体" w:eastAsia="楷体" w:cs="楷体"/>
          <w:b/>
          <w:bCs/>
          <w:color w:val="auto"/>
          <w:kern w:val="0"/>
          <w:sz w:val="30"/>
          <w:szCs w:val="30"/>
        </w:rPr>
        <w:t>化多污染物协同控制</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加强PM</w:t>
      </w:r>
      <w:r>
        <w:rPr>
          <w:rFonts w:ascii="Times New Roman" w:hAnsi="Times New Roman" w:eastAsia="仿宋_GB2312"/>
          <w:bCs/>
          <w:color w:val="auto"/>
          <w:kern w:val="0"/>
          <w:sz w:val="30"/>
          <w:szCs w:val="30"/>
          <w:vertAlign w:val="subscript"/>
        </w:rPr>
        <w:t>2.5</w:t>
      </w:r>
      <w:r>
        <w:rPr>
          <w:rFonts w:ascii="Times New Roman" w:hAnsi="Times New Roman" w:eastAsia="仿宋_GB2312"/>
          <w:bCs/>
          <w:color w:val="auto"/>
          <w:kern w:val="0"/>
          <w:sz w:val="30"/>
          <w:szCs w:val="30"/>
        </w:rPr>
        <w:t>和臭氧协同控制研究，着力解决</w:t>
      </w:r>
      <w:r>
        <w:rPr>
          <w:rFonts w:hint="eastAsia" w:ascii="Times New Roman" w:hAnsi="Times New Roman" w:eastAsia="仿宋_GB2312"/>
          <w:bCs/>
          <w:color w:val="auto"/>
          <w:kern w:val="0"/>
          <w:sz w:val="30"/>
          <w:szCs w:val="30"/>
          <w:lang w:val="en-US" w:eastAsia="zh-CN"/>
        </w:rPr>
        <w:t>臭氧</w:t>
      </w:r>
      <w:r>
        <w:rPr>
          <w:rFonts w:ascii="Times New Roman" w:hAnsi="Times New Roman" w:eastAsia="仿宋_GB2312"/>
          <w:bCs/>
          <w:color w:val="auto"/>
          <w:kern w:val="0"/>
          <w:sz w:val="30"/>
          <w:szCs w:val="30"/>
        </w:rPr>
        <w:t>污染突出问题。强化差异化精细化协同管控，在夏季以工业涂装为主，重点控制苯、甲苯、二甲苯等臭氧生成潜势较大的挥发性有机物；在秋冬季以移动源、燃煤污染管控为主，重点控制不利扩散条件下氮氧化物排放，协同减少二氧化硫、氨等排放。探索研究臭氧的形成机理以及NOx和VOCs最佳协同减排比例，推进VOCs和NOx协同减排，</w:t>
      </w:r>
      <w:r>
        <w:rPr>
          <w:rFonts w:hint="eastAsia" w:ascii="Times New Roman" w:hAnsi="Times New Roman" w:eastAsia="仿宋_GB2312"/>
          <w:bCs/>
          <w:color w:val="auto"/>
          <w:kern w:val="0"/>
          <w:sz w:val="30"/>
          <w:szCs w:val="30"/>
          <w:lang w:val="en-US" w:eastAsia="zh-CN"/>
        </w:rPr>
        <w:t>遏制臭氧浓度上升</w:t>
      </w:r>
      <w:r>
        <w:rPr>
          <w:rFonts w:ascii="Times New Roman" w:hAnsi="Times New Roman" w:eastAsia="仿宋_GB2312"/>
          <w:bCs/>
          <w:color w:val="auto"/>
          <w:kern w:val="0"/>
          <w:sz w:val="30"/>
          <w:szCs w:val="30"/>
        </w:rPr>
        <w:t>。</w:t>
      </w:r>
    </w:p>
    <w:p>
      <w:pPr>
        <w:numPr>
          <w:ilvl w:val="0"/>
          <w:numId w:val="5"/>
        </w:num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深化重点行业VOCs综合治理</w:t>
      </w:r>
    </w:p>
    <w:p>
      <w:pPr>
        <w:numPr>
          <w:ilvl w:val="255"/>
          <w:numId w:val="0"/>
        </w:num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制定并动态更新</w:t>
      </w:r>
      <w:r>
        <w:rPr>
          <w:rFonts w:hint="eastAsia" w:ascii="Times New Roman" w:hAnsi="Times New Roman" w:eastAsia="仿宋_GB2312"/>
          <w:bCs/>
          <w:color w:val="auto"/>
          <w:kern w:val="0"/>
          <w:sz w:val="30"/>
          <w:szCs w:val="30"/>
        </w:rPr>
        <w:t>全市</w:t>
      </w:r>
      <w:r>
        <w:rPr>
          <w:rFonts w:ascii="Times New Roman" w:hAnsi="Times New Roman" w:eastAsia="仿宋_GB2312"/>
          <w:bCs/>
          <w:color w:val="auto"/>
          <w:kern w:val="0"/>
          <w:sz w:val="30"/>
          <w:szCs w:val="30"/>
        </w:rPr>
        <w:t>VOCs污染排放清单，不断完善VOCs基础数据台账</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加大对</w:t>
      </w:r>
      <w:r>
        <w:rPr>
          <w:rFonts w:hint="eastAsia" w:ascii="Times New Roman" w:hAnsi="Times New Roman" w:eastAsia="仿宋_GB2312"/>
          <w:bCs/>
          <w:color w:val="auto"/>
          <w:kern w:val="0"/>
          <w:sz w:val="30"/>
          <w:szCs w:val="30"/>
        </w:rPr>
        <w:t>橡胶、造船、房车</w:t>
      </w:r>
      <w:r>
        <w:rPr>
          <w:rFonts w:ascii="Times New Roman" w:hAnsi="Times New Roman" w:eastAsia="仿宋_GB2312"/>
          <w:bCs/>
          <w:color w:val="auto"/>
          <w:kern w:val="0"/>
          <w:sz w:val="30"/>
          <w:szCs w:val="30"/>
        </w:rPr>
        <w:t>企业VOCs</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一厂一策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减排措施落实监督监控力度，大力推进重点行业挥发性有机物污染监控，开展重点时段挥发性有机物专项执法检查</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加强建筑和市政领域涉VOCs排放作业管理，实行错峰施工，减少VOCs排放</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积极开展储油罐及油气码头油气回收治理，推广油气回收在线监控平台在全市范围内应用，实现对重点储油库和加油站油气回收远程集中监测、管理和控制。加强VOCs治理执法能力建设。</w:t>
      </w:r>
    </w:p>
    <w:p>
      <w:pPr>
        <w:numPr>
          <w:ilvl w:val="0"/>
          <w:numId w:val="5"/>
        </w:num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深入开展工业污染综合整治</w:t>
      </w:r>
    </w:p>
    <w:p>
      <w:pPr>
        <w:numPr>
          <w:ilvl w:val="255"/>
          <w:numId w:val="0"/>
        </w:num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进一步强化工业</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散乱污</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场所的排查和整治，巩固网格化治理成果，严防</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散乱污</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企业死灰复燃，推动工业</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散乱污</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环境整治长效化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严格控制燃煤污染，加强中心城区禁燃区管控，推广深化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洁净煤+节能环保炉具</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模式</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打造海产品加工烘干炉电能替代示范基地</w:t>
      </w:r>
      <w:r>
        <w:rPr>
          <w:rFonts w:hint="eastAsia" w:ascii="Times New Roman" w:hAnsi="Times New Roman" w:eastAsia="仿宋_GB2312"/>
          <w:bCs/>
          <w:color w:val="auto"/>
          <w:kern w:val="0"/>
          <w:sz w:val="30"/>
          <w:szCs w:val="30"/>
        </w:rPr>
        <w:t>。加快</w:t>
      </w:r>
      <w:r>
        <w:rPr>
          <w:rFonts w:ascii="Times New Roman" w:hAnsi="Times New Roman" w:eastAsia="仿宋_GB2312"/>
          <w:bCs/>
          <w:color w:val="auto"/>
          <w:kern w:val="0"/>
          <w:sz w:val="30"/>
          <w:szCs w:val="30"/>
        </w:rPr>
        <w:t>推进</w:t>
      </w:r>
      <w:r>
        <w:rPr>
          <w:rFonts w:hint="eastAsia" w:ascii="Times New Roman" w:hAnsi="Times New Roman" w:eastAsia="仿宋_GB2312"/>
          <w:bCs/>
          <w:color w:val="auto"/>
          <w:kern w:val="0"/>
          <w:sz w:val="30"/>
          <w:szCs w:val="30"/>
        </w:rPr>
        <w:t>全市</w:t>
      </w:r>
      <w:r>
        <w:rPr>
          <w:rFonts w:ascii="Times New Roman" w:hAnsi="Times New Roman" w:eastAsia="仿宋_GB2312"/>
          <w:bCs/>
          <w:color w:val="auto"/>
          <w:kern w:val="0"/>
          <w:sz w:val="30"/>
          <w:szCs w:val="30"/>
        </w:rPr>
        <w:t>35蒸吨</w:t>
      </w:r>
      <w:r>
        <w:rPr>
          <w:rFonts w:hint="eastAsia" w:ascii="Times New Roman" w:hAnsi="Times New Roman" w:eastAsia="仿宋_GB2312"/>
          <w:bCs/>
          <w:color w:val="auto"/>
          <w:kern w:val="0"/>
          <w:sz w:val="30"/>
          <w:szCs w:val="30"/>
        </w:rPr>
        <w:t>及</w:t>
      </w:r>
      <w:r>
        <w:rPr>
          <w:rFonts w:ascii="Times New Roman" w:hAnsi="Times New Roman" w:eastAsia="仿宋_GB2312"/>
          <w:bCs/>
          <w:color w:val="auto"/>
          <w:kern w:val="0"/>
          <w:sz w:val="30"/>
          <w:szCs w:val="30"/>
        </w:rPr>
        <w:t>以下燃煤锅炉淘汰，研究制定全市燃煤锅炉淘汰工作方案，协助企业制定</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一厂一策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淘汰实施方案，确保2021年底完成淘汰任务。</w:t>
      </w:r>
      <w:r>
        <w:rPr>
          <w:rFonts w:hint="eastAsia" w:ascii="Times New Roman" w:hAnsi="Times New Roman" w:eastAsia="仿宋_GB2312"/>
          <w:bCs/>
          <w:color w:val="auto"/>
          <w:kern w:val="0"/>
          <w:sz w:val="30"/>
          <w:szCs w:val="30"/>
        </w:rPr>
        <w:t>65蒸吨/小时以上燃煤锅炉全部实现超低排放。</w:t>
      </w:r>
      <w:r>
        <w:rPr>
          <w:rFonts w:ascii="Times New Roman" w:hAnsi="Times New Roman" w:eastAsia="仿宋_GB2312"/>
          <w:bCs/>
          <w:color w:val="auto"/>
          <w:kern w:val="0"/>
          <w:sz w:val="30"/>
          <w:szCs w:val="30"/>
        </w:rPr>
        <w:t>针对存在突出问题的工业园区、企业集群、重点管控企业制定整改方案，开展综合整治。</w:t>
      </w:r>
    </w:p>
    <w:p>
      <w:pPr>
        <w:numPr>
          <w:ilvl w:val="0"/>
          <w:numId w:val="5"/>
        </w:num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落实扬尘污染精细化</w:t>
      </w:r>
      <w:r>
        <w:rPr>
          <w:rFonts w:hint="eastAsia" w:ascii="Times New Roman" w:hAnsi="Times New Roman" w:eastAsia="楷体"/>
          <w:b/>
          <w:bCs/>
          <w:color w:val="auto"/>
          <w:kern w:val="0"/>
          <w:sz w:val="30"/>
          <w:szCs w:val="30"/>
        </w:rPr>
        <w:t>管控</w:t>
      </w:r>
    </w:p>
    <w:p>
      <w:pPr>
        <w:numPr>
          <w:ilvl w:val="255"/>
          <w:numId w:val="0"/>
        </w:numPr>
        <w:spacing w:line="360" w:lineRule="auto"/>
        <w:ind w:firstLine="600" w:firstLineChars="200"/>
        <w:rPr>
          <w:rFonts w:hint="eastAsia" w:ascii="Times New Roman" w:hAnsi="Times New Roman" w:eastAsia="仿宋_GB2312"/>
          <w:bCs/>
          <w:color w:val="auto"/>
          <w:kern w:val="0"/>
          <w:sz w:val="30"/>
          <w:szCs w:val="30"/>
          <w:lang w:eastAsia="zh-CN"/>
        </w:rPr>
      </w:pPr>
      <w:r>
        <w:rPr>
          <w:rFonts w:hint="eastAsia" w:ascii="楷体_GB2312" w:hAnsi="楷体_GB2312" w:eastAsia="楷体_GB2312" w:cs="楷体_GB2312"/>
          <w:b w:val="0"/>
          <w:bCs w:val="0"/>
          <w:color w:val="auto"/>
          <w:kern w:val="0"/>
          <w:sz w:val="30"/>
          <w:szCs w:val="30"/>
          <w:lang w:val="zh-CN"/>
        </w:rPr>
        <w:t>加强鱼粉行业监管</w:t>
      </w:r>
      <w:r>
        <w:rPr>
          <w:rFonts w:hint="eastAsia" w:ascii="楷体_GB2312" w:hAnsi="楷体_GB2312" w:eastAsia="楷体_GB2312" w:cs="楷体_GB2312"/>
          <w:b w:val="0"/>
          <w:bCs w:val="0"/>
          <w:color w:val="auto"/>
          <w:kern w:val="0"/>
          <w:sz w:val="30"/>
          <w:szCs w:val="30"/>
          <w:lang w:val="zh-CN" w:eastAsia="zh-CN"/>
        </w:rPr>
        <w:t>。</w:t>
      </w:r>
      <w:r>
        <w:rPr>
          <w:rFonts w:hint="eastAsia" w:ascii="Times New Roman" w:hAnsi="Times New Roman" w:eastAsia="仿宋_GB2312"/>
          <w:bCs/>
          <w:color w:val="auto"/>
          <w:kern w:val="0"/>
          <w:sz w:val="30"/>
          <w:szCs w:val="30"/>
        </w:rPr>
        <w:t>采取昼夜巡查、定期检查和不定期抽查相结合的方式，对全市鱼粉企业开展检查。本着“强化监管”的原则，对开机生产的鱼粉企业加大监督检查和监测频次，对超标企业坚决予以停产整治和处罚，从根源上规范鱼粉生产行为</w:t>
      </w:r>
      <w:r>
        <w:rPr>
          <w:rFonts w:hint="eastAsia" w:ascii="Times New Roman" w:hAnsi="Times New Roman" w:eastAsia="仿宋_GB2312"/>
          <w:bCs/>
          <w:color w:val="auto"/>
          <w:kern w:val="0"/>
          <w:sz w:val="30"/>
          <w:szCs w:val="30"/>
          <w:lang w:eastAsia="zh-CN"/>
        </w:rPr>
        <w:t>。</w:t>
      </w:r>
    </w:p>
    <w:p>
      <w:pPr>
        <w:numPr>
          <w:ilvl w:val="255"/>
          <w:numId w:val="0"/>
        </w:num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完成修造船企业粉尘整治</w:t>
      </w:r>
      <w:r>
        <w:rPr>
          <w:rFonts w:hint="eastAsia" w:ascii="楷体_GB2312" w:hAnsi="楷体_GB2312" w:eastAsia="楷体_GB2312" w:cs="楷体_GB2312"/>
          <w:b w:val="0"/>
          <w:bCs w:val="0"/>
          <w:color w:val="auto"/>
          <w:kern w:val="0"/>
          <w:sz w:val="30"/>
          <w:szCs w:val="30"/>
          <w:lang w:val="zh-CN" w:eastAsia="zh-CN"/>
        </w:rPr>
        <w:t>。</w:t>
      </w:r>
      <w:r>
        <w:rPr>
          <w:rFonts w:ascii="Times New Roman" w:hAnsi="Times New Roman" w:eastAsia="仿宋_GB2312"/>
          <w:bCs/>
          <w:color w:val="auto"/>
          <w:kern w:val="0"/>
          <w:sz w:val="30"/>
          <w:szCs w:val="30"/>
        </w:rPr>
        <w:t>继续推进码头、大型煤堆、料堆的料仓和传送装置密闭化改造。推进工业企业无组织排放在线监测、视频监控设施建设和联网工作，探索高效监管手段，不断提升工业企业无组织排放监管能力。推动重点行业无组织排放深度治理，实现无组织排放精细化管控</w:t>
      </w:r>
      <w:r>
        <w:rPr>
          <w:rFonts w:hint="eastAsia" w:ascii="Times New Roman" w:hAnsi="Times New Roman" w:eastAsia="仿宋_GB2312"/>
          <w:bCs/>
          <w:color w:val="auto"/>
          <w:kern w:val="0"/>
          <w:sz w:val="30"/>
          <w:szCs w:val="30"/>
        </w:rPr>
        <w:t>。</w:t>
      </w:r>
    </w:p>
    <w:p>
      <w:pPr>
        <w:numPr>
          <w:ilvl w:val="255"/>
          <w:numId w:val="0"/>
        </w:num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全面推行绿色施工</w:t>
      </w:r>
      <w:r>
        <w:rPr>
          <w:rFonts w:hint="eastAsia" w:ascii="楷体_GB2312" w:hAnsi="楷体_GB2312" w:eastAsia="楷体_GB2312" w:cs="楷体_GB2312"/>
          <w:b w:val="0"/>
          <w:bCs w:val="0"/>
          <w:color w:val="auto"/>
          <w:kern w:val="0"/>
          <w:sz w:val="30"/>
          <w:szCs w:val="30"/>
          <w:lang w:val="zh-CN" w:eastAsia="zh-CN"/>
        </w:rPr>
        <w:t>。</w:t>
      </w:r>
      <w:r>
        <w:rPr>
          <w:rFonts w:hint="eastAsia" w:ascii="Times New Roman" w:hAnsi="Times New Roman" w:eastAsia="仿宋_GB2312"/>
          <w:bCs/>
          <w:color w:val="auto"/>
          <w:kern w:val="0"/>
          <w:sz w:val="30"/>
          <w:szCs w:val="30"/>
        </w:rPr>
        <w:t>将绿色施工纳入企业资质评价、信用评价。严格落实建筑工地扬尘防治六个“100%”措施，道路、水利等线性工程进行分段施工。开展城市道路“深度保洁，以克论净”本色行动。推进低尘机械化湿式清扫作业，加大城市出入口、城乡结合部、支路街巷、工业园区等道路冲洗保洁力度，实施分类道路分级保洁作业方式。采取联合布控、增设卡点、增加巡查频次和范围等措施，强化全天候执法检查力度，对扬尘腥水“零容忍”，发现一起，坚决查处一起。</w:t>
      </w:r>
      <w:r>
        <w:rPr>
          <w:rFonts w:ascii="Times New Roman" w:hAnsi="Times New Roman" w:eastAsia="仿宋_GB2312"/>
          <w:bCs/>
          <w:color w:val="auto"/>
          <w:kern w:val="0"/>
          <w:sz w:val="30"/>
          <w:szCs w:val="30"/>
        </w:rPr>
        <w:t>规范铁路、公路、港口等货物运输管理，涉及散装货物运输业务且有烟粉尘排放的道路货运站场、港口码头以及其他物流露天堆场，应采取有效的封闭措施减少扬尘污染，确实无法封闭的应建设防风抑尘</w:t>
      </w:r>
      <w:r>
        <w:rPr>
          <w:rFonts w:hint="eastAsia" w:ascii="Times New Roman" w:hAnsi="Times New Roman" w:eastAsia="仿宋_GB2312"/>
          <w:bCs/>
          <w:color w:val="auto"/>
          <w:kern w:val="0"/>
          <w:sz w:val="30"/>
          <w:szCs w:val="30"/>
        </w:rPr>
        <w:t>设施。</w:t>
      </w:r>
    </w:p>
    <w:p>
      <w:pPr>
        <w:numPr>
          <w:ilvl w:val="0"/>
          <w:numId w:val="5"/>
        </w:num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持续推进移动源污染防治</w:t>
      </w:r>
    </w:p>
    <w:p>
      <w:pPr>
        <w:numPr>
          <w:ilvl w:val="255"/>
          <w:numId w:val="0"/>
        </w:numPr>
        <w:spacing w:line="360" w:lineRule="auto"/>
        <w:ind w:firstLine="600" w:firstLineChars="200"/>
        <w:rPr>
          <w:rFonts w:hint="eastAsia" w:ascii="Times New Roman" w:hAnsi="Times New Roman" w:eastAsia="仿宋_GB2312"/>
          <w:bCs/>
          <w:color w:val="auto"/>
          <w:kern w:val="0"/>
          <w:sz w:val="30"/>
          <w:szCs w:val="30"/>
          <w:lang w:eastAsia="zh-CN"/>
        </w:rPr>
      </w:pPr>
      <w:r>
        <w:rPr>
          <w:rFonts w:hint="eastAsia" w:ascii="楷体_GB2312" w:hAnsi="楷体_GB2312" w:eastAsia="楷体_GB2312" w:cs="楷体_GB2312"/>
          <w:b w:val="0"/>
          <w:bCs/>
          <w:color w:val="auto"/>
          <w:kern w:val="0"/>
          <w:sz w:val="30"/>
          <w:szCs w:val="30"/>
          <w:lang w:val="en-US" w:eastAsia="zh-CN"/>
        </w:rPr>
        <w:t>加强船舶污染防治。</w:t>
      </w:r>
      <w:r>
        <w:rPr>
          <w:rFonts w:hint="eastAsia" w:ascii="Times New Roman" w:hAnsi="Times New Roman" w:eastAsia="仿宋_GB2312"/>
          <w:bCs/>
          <w:color w:val="auto"/>
          <w:kern w:val="0"/>
          <w:sz w:val="30"/>
          <w:szCs w:val="30"/>
        </w:rPr>
        <w:t>重点开展港口非道路移动机械和船舶的排放控制，建立港口及船舶污染源清单，开展港作船、流动机械设备、工程船舶、码头加注设施建设等港口应用清洁能源试点示范。加快推进“绿色港口”建设，港口内拖车、装卸设备等实施“油改气”或“油改电”</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加快淘汰高耗能、低效率的老旧设备</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推广船用低硫油品使用。实施船舶发动机第二阶段标准和油船油气回收标准</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强化船舶发动机升级或尾气处理</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推进岸电使用常态化</w:t>
      </w:r>
      <w:r>
        <w:rPr>
          <w:rFonts w:hint="eastAsia" w:ascii="Times New Roman" w:hAnsi="Times New Roman" w:eastAsia="仿宋_GB2312"/>
          <w:bCs/>
          <w:color w:val="auto"/>
          <w:kern w:val="0"/>
          <w:sz w:val="30"/>
          <w:szCs w:val="30"/>
          <w:lang w:eastAsia="zh-CN"/>
        </w:rPr>
        <w:t>。</w:t>
      </w:r>
    </w:p>
    <w:p>
      <w:pPr>
        <w:numPr>
          <w:ilvl w:val="255"/>
          <w:numId w:val="0"/>
        </w:num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lang w:val="en-US" w:eastAsia="zh-CN"/>
        </w:rPr>
        <w:t>加强车辆污染防治。</w:t>
      </w:r>
      <w:r>
        <w:rPr>
          <w:rFonts w:hint="eastAsia" w:ascii="Times New Roman" w:hAnsi="Times New Roman" w:eastAsia="仿宋_GB2312"/>
          <w:bCs/>
          <w:color w:val="auto"/>
          <w:kern w:val="0"/>
          <w:sz w:val="30"/>
          <w:szCs w:val="30"/>
          <w:lang w:val="en-US" w:eastAsia="zh-CN"/>
        </w:rPr>
        <w:t>严格执行汽柴油质量标准，强化油品生产、运输、销售、储存、使用全链条监管，加大执法力度，取缔黑加油站点，严厉打击制售劣质和不合格油品等违法行为。2025年年底前,储油库和年销售汽油量大于3000吨的加油站，安装油气回收自动监控设备并与生态环境部门联网。房车生产企业严格执行国家新生产机动车排放标准。进一步扩大禁止使用高排放非道路移动机械的区域，淘汰或更新升级老旧工程机械，开展非道路移动机械编码登记、定位管控，基本消除未登记、未监管现象。</w:t>
      </w:r>
    </w:p>
    <w:p>
      <w:pPr>
        <w:numPr>
          <w:ilvl w:val="0"/>
          <w:numId w:val="5"/>
        </w:num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加强面源污染治理</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持续推进农业面源治理。</w:t>
      </w:r>
      <w:r>
        <w:rPr>
          <w:rFonts w:ascii="Times New Roman" w:hAnsi="Times New Roman" w:eastAsia="仿宋_GB2312"/>
          <w:bCs/>
          <w:color w:val="auto"/>
          <w:kern w:val="0"/>
          <w:sz w:val="30"/>
          <w:szCs w:val="30"/>
        </w:rPr>
        <w:t>严禁秸秆露天焚烧，落实网格化监管，开展秸秆禁烧专项巡查，严防因秸秆露天焚烧造成区域性重污染天气。积极推进农业源氨排放控制，加强农田化肥施用管理，推进测土配方施肥和化肥机械深施，提高缓控释肥的使用比例。加强畜禽养殖粪污控制，及时清除圈舍粪便，密闭粪污贮存、处理设施，减少粪肥在空气中的暴露时间。</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加强餐饮油烟污染治理。</w:t>
      </w:r>
      <w:r>
        <w:rPr>
          <w:rFonts w:ascii="Times New Roman" w:hAnsi="Times New Roman" w:eastAsia="仿宋_GB2312"/>
          <w:bCs/>
          <w:color w:val="auto"/>
          <w:kern w:val="0"/>
          <w:sz w:val="30"/>
          <w:szCs w:val="30"/>
        </w:rPr>
        <w:t>严格新建饮食服务经营场所的环保审批，推广使用管道煤气、天然气、电等清洁能源；饮食服务经营场所要安装高效油烟净化设施，城市市区餐饮业油烟净化装置配备率达到100%，强化运行监管。加大烧烤污染的整治力度，加强对无油烟净化设施露天烧烤的环境监管。划定禁止烧烤区域，任何单位和个人不得在该区域内露天烧烤食品，或者为露天烧烤食品提供场地。</w:t>
      </w:r>
    </w:p>
    <w:p>
      <w:pPr>
        <w:numPr>
          <w:ilvl w:val="0"/>
          <w:numId w:val="5"/>
        </w:num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做好重污染天气应对和区域联防联控</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加强预报预警能力建设，完善PM</w:t>
      </w:r>
      <w:r>
        <w:rPr>
          <w:rFonts w:ascii="Times New Roman" w:hAnsi="Times New Roman" w:eastAsia="仿宋_GB2312"/>
          <w:bCs/>
          <w:color w:val="auto"/>
          <w:kern w:val="0"/>
          <w:sz w:val="30"/>
          <w:szCs w:val="30"/>
          <w:vertAlign w:val="subscript"/>
        </w:rPr>
        <w:t>2.5</w:t>
      </w:r>
      <w:r>
        <w:rPr>
          <w:rFonts w:ascii="Times New Roman" w:hAnsi="Times New Roman" w:eastAsia="仿宋_GB2312"/>
          <w:bCs/>
          <w:color w:val="auto"/>
          <w:kern w:val="0"/>
          <w:sz w:val="30"/>
          <w:szCs w:val="30"/>
        </w:rPr>
        <w:t>、PM</w:t>
      </w:r>
      <w:r>
        <w:rPr>
          <w:rFonts w:ascii="Times New Roman" w:hAnsi="Times New Roman" w:eastAsia="仿宋_GB2312"/>
          <w:bCs/>
          <w:color w:val="auto"/>
          <w:kern w:val="0"/>
          <w:sz w:val="30"/>
          <w:szCs w:val="30"/>
          <w:vertAlign w:val="subscript"/>
        </w:rPr>
        <w:t>10</w:t>
      </w:r>
      <w:r>
        <w:rPr>
          <w:rFonts w:ascii="Times New Roman" w:hAnsi="Times New Roman" w:eastAsia="仿宋_GB2312"/>
          <w:bCs/>
          <w:color w:val="auto"/>
          <w:kern w:val="0"/>
          <w:sz w:val="30"/>
          <w:szCs w:val="30"/>
        </w:rPr>
        <w:t>预报和综合分析工作，建立城市空气质量精细化预报体系；完善空气质量预报预警会商机制，统一预警分级标准和应急响应措施，科学制定应急减排措施，坚决杜绝</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一刀切</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；完善工业源、扬尘源、移动源应急减排清单并每年更新；加强与威海市应急协同，同步启动应急响应，共同应对重污染天气。</w:t>
      </w:r>
    </w:p>
    <w:p>
      <w:pPr>
        <w:spacing w:line="360" w:lineRule="auto"/>
        <w:ind w:firstLine="643" w:firstLineChars="200"/>
        <w:outlineLvl w:val="2"/>
        <w:rPr>
          <w:rFonts w:ascii="Times New Roman" w:hAnsi="Times New Roman" w:eastAsia="仿宋_GB2312"/>
          <w:b/>
          <w:color w:val="auto"/>
          <w:sz w:val="32"/>
          <w:szCs w:val="21"/>
        </w:rPr>
      </w:pPr>
      <w:bookmarkStart w:id="141" w:name="_Toc9193"/>
      <w:bookmarkStart w:id="142" w:name="_Toc2312"/>
      <w:bookmarkStart w:id="143" w:name="_Toc31546"/>
      <w:r>
        <w:rPr>
          <w:rFonts w:hint="eastAsia" w:ascii="Times New Roman" w:hAnsi="Times New Roman" w:eastAsia="仿宋_GB2312"/>
          <w:b/>
          <w:color w:val="auto"/>
          <w:sz w:val="32"/>
          <w:szCs w:val="21"/>
        </w:rPr>
        <w:t>（四）提高土壤环境质量</w:t>
      </w:r>
      <w:bookmarkEnd w:id="141"/>
      <w:bookmarkEnd w:id="142"/>
      <w:bookmarkEnd w:id="143"/>
    </w:p>
    <w:p>
      <w:pPr>
        <w:spacing w:line="360" w:lineRule="auto"/>
        <w:ind w:firstLine="602" w:firstLineChars="200"/>
        <w:rPr>
          <w:rFonts w:ascii="Times New Roman" w:hAnsi="Times New Roman" w:eastAsia="楷体"/>
          <w:b/>
          <w:bCs/>
          <w:color w:val="auto"/>
          <w:kern w:val="0"/>
          <w:sz w:val="30"/>
          <w:szCs w:val="30"/>
        </w:rPr>
      </w:pPr>
      <w:r>
        <w:rPr>
          <w:rFonts w:hint="eastAsia" w:ascii="Times New Roman" w:hAnsi="Times New Roman" w:eastAsia="楷体"/>
          <w:b/>
          <w:bCs/>
          <w:color w:val="auto"/>
          <w:kern w:val="0"/>
          <w:sz w:val="30"/>
          <w:szCs w:val="30"/>
        </w:rPr>
        <w:t>1.</w:t>
      </w:r>
      <w:r>
        <w:rPr>
          <w:rFonts w:ascii="Times New Roman" w:hAnsi="Times New Roman" w:eastAsia="楷体"/>
          <w:b/>
          <w:bCs/>
          <w:color w:val="auto"/>
          <w:kern w:val="0"/>
          <w:sz w:val="30"/>
          <w:szCs w:val="30"/>
        </w:rPr>
        <w:t>提升土壤环境保护水平</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加强未利用地保护。</w:t>
      </w:r>
      <w:r>
        <w:rPr>
          <w:rFonts w:ascii="Times New Roman" w:hAnsi="Times New Roman" w:eastAsia="仿宋_GB2312"/>
          <w:bCs/>
          <w:color w:val="auto"/>
          <w:kern w:val="0"/>
          <w:sz w:val="30"/>
          <w:szCs w:val="30"/>
        </w:rPr>
        <w:t>严守生态安全底线，对划入生态保护红线内的未利用地，要严格按照法律法规和相关规划，实行强制性保护。依法严查向滩涂岸线、湿地</w:t>
      </w:r>
      <w:r>
        <w:rPr>
          <w:rFonts w:hint="eastAsia" w:ascii="Times New Roman" w:hAnsi="Times New Roman" w:eastAsia="仿宋_GB2312"/>
          <w:bCs/>
          <w:color w:val="auto"/>
          <w:kern w:val="0"/>
          <w:sz w:val="30"/>
          <w:szCs w:val="30"/>
        </w:rPr>
        <w:t>、沼泽地</w:t>
      </w:r>
      <w:r>
        <w:rPr>
          <w:rFonts w:ascii="Times New Roman" w:hAnsi="Times New Roman" w:eastAsia="仿宋_GB2312"/>
          <w:bCs/>
          <w:color w:val="auto"/>
          <w:kern w:val="0"/>
          <w:sz w:val="30"/>
          <w:szCs w:val="30"/>
        </w:rPr>
        <w:t>等非法排污、倾倒有毒有害物质的环境违法犯罪行为。加强对矿山等矿产资源开采活动影响区域内未利用地的环境监管，发现土壤污染问题的，应及时督促有关企业采取防治措施。未利用地拟开垦为耕地或建设用地的，应当进行土壤污染状况调查，符合农用地土壤污染风险管控标准的，方可批准复垦。制定林地、草地以及饮用水水源地和自然保护区等</w:t>
      </w:r>
      <w:r>
        <w:rPr>
          <w:rFonts w:hint="eastAsia" w:ascii="Times New Roman" w:hAnsi="Times New Roman" w:eastAsia="仿宋_GB2312"/>
          <w:bCs/>
          <w:color w:val="auto"/>
          <w:kern w:val="0"/>
          <w:sz w:val="30"/>
          <w:szCs w:val="30"/>
        </w:rPr>
        <w:t>重点区域</w:t>
      </w:r>
      <w:r>
        <w:rPr>
          <w:rFonts w:ascii="Times New Roman" w:hAnsi="Times New Roman" w:eastAsia="仿宋_GB2312"/>
          <w:bCs/>
          <w:color w:val="auto"/>
          <w:kern w:val="0"/>
          <w:sz w:val="30"/>
          <w:szCs w:val="30"/>
        </w:rPr>
        <w:t>土壤管理计划，切实推动保护工作。</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推进地下水生态环境保护。</w:t>
      </w:r>
      <w:r>
        <w:rPr>
          <w:rFonts w:ascii="Times New Roman" w:hAnsi="Times New Roman" w:eastAsia="仿宋_GB2312"/>
          <w:bCs/>
          <w:color w:val="auto"/>
          <w:kern w:val="0"/>
          <w:sz w:val="30"/>
          <w:szCs w:val="30"/>
        </w:rPr>
        <w:t>加强对农村地下水型饮用水水源地的保护和规范化建设。以矿山开采区、尾矿库、垃圾填埋场、</w:t>
      </w:r>
      <w:r>
        <w:rPr>
          <w:rFonts w:hint="eastAsia" w:ascii="Times New Roman" w:hAnsi="Times New Roman" w:eastAsia="仿宋_GB2312"/>
          <w:bCs/>
          <w:color w:val="auto"/>
          <w:kern w:val="0"/>
          <w:sz w:val="30"/>
          <w:szCs w:val="30"/>
        </w:rPr>
        <w:t>垃圾焚烧厂、</w:t>
      </w:r>
      <w:r>
        <w:rPr>
          <w:rFonts w:ascii="Times New Roman" w:hAnsi="Times New Roman" w:eastAsia="仿宋_GB2312"/>
          <w:bCs/>
          <w:color w:val="auto"/>
          <w:kern w:val="0"/>
          <w:sz w:val="30"/>
          <w:szCs w:val="30"/>
        </w:rPr>
        <w:t>加油站为重点，开展地下水防渗情况排查和检测，对渗漏严重地块提出防渗整治要求，督促责任方实施全面防渗措施。采取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双随机、一公开</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方式对地下水污染渗漏监管执法。结合全市城镇污水提质增效工作开展情况，全面排查污水管网渗漏情况，推进污水管网渗漏排查和检测工作，加快城镇污水管网更新改造，减少管网渗漏。</w:t>
      </w:r>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lang w:val="en-US" w:eastAsia="zh-CN"/>
        </w:rPr>
        <w:t>2.</w:t>
      </w:r>
      <w:r>
        <w:rPr>
          <w:rFonts w:ascii="Times New Roman" w:hAnsi="Times New Roman" w:eastAsia="楷体"/>
          <w:b/>
          <w:bCs/>
          <w:color w:val="auto"/>
          <w:kern w:val="0"/>
          <w:sz w:val="30"/>
          <w:szCs w:val="30"/>
        </w:rPr>
        <w:t>加大土壤污染预防力度</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健全土壤环境准入管理机制。</w:t>
      </w:r>
      <w:r>
        <w:rPr>
          <w:rFonts w:ascii="Times New Roman" w:hAnsi="Times New Roman" w:eastAsia="仿宋_GB2312"/>
          <w:bCs/>
          <w:color w:val="auto"/>
          <w:kern w:val="0"/>
          <w:sz w:val="30"/>
          <w:szCs w:val="30"/>
        </w:rPr>
        <w:t>强化规划环境影响评价刚性约束，严格重点行业企业生态环境准入，鼓励工业企业集聚发展，提高土地节约集约利用水平，减少土壤污染。按年度更新土壤污染重点监管单位名单，将重点监管单位土壤污染防治相关责任和义务纳入排污许可证管理。进一步优化自然资源管理、生态环境管理等部门的联动机制，合理设置管控程序和节点，提高土地开发利用和土壤治理修复之间的衔接性，提高工作时效性。</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严格防控新增土壤污染。</w:t>
      </w:r>
      <w:r>
        <w:rPr>
          <w:rFonts w:ascii="Times New Roman" w:hAnsi="Times New Roman" w:eastAsia="仿宋_GB2312"/>
          <w:bCs/>
          <w:color w:val="auto"/>
          <w:kern w:val="0"/>
          <w:sz w:val="30"/>
          <w:szCs w:val="30"/>
        </w:rPr>
        <w:t>以全市土壤污染重点监管单位和历史遗留废渣、废水排查整治为重点，建立规范化考核工作机制。推动重点监管单位建立土壤污染隐患排查制度和自行监测制度，严格控制有毒有害物质排放。严格执行重金属污染物排放标准并落实相关总量控制指标。严格企业拆除活动污染监管，制定拆除活动土壤污染防治工作方案并实施。</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提升土壤和地下水环境监管能力。</w:t>
      </w:r>
      <w:r>
        <w:rPr>
          <w:rFonts w:ascii="Times New Roman" w:hAnsi="Times New Roman" w:eastAsia="仿宋_GB2312"/>
          <w:bCs/>
          <w:color w:val="auto"/>
          <w:kern w:val="0"/>
          <w:sz w:val="30"/>
          <w:szCs w:val="30"/>
        </w:rPr>
        <w:t>贯彻落实</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多污染物协同控制</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要求，进一步推动固体废物、危险废物和土壤环境、地下水环境之间的协同控制。全面开展地下水环境状况调查评估，</w:t>
      </w:r>
      <w:r>
        <w:rPr>
          <w:rFonts w:hint="eastAsia" w:ascii="Times New Roman" w:hAnsi="Times New Roman" w:eastAsia="仿宋_GB2312"/>
          <w:bCs/>
          <w:color w:val="auto"/>
          <w:kern w:val="0"/>
          <w:sz w:val="30"/>
          <w:szCs w:val="30"/>
        </w:rPr>
        <w:t>到2025年底前完成垃圾填埋场、矿山开采区、尾矿库等</w:t>
      </w:r>
      <w:r>
        <w:rPr>
          <w:rFonts w:ascii="Times New Roman" w:hAnsi="Times New Roman" w:eastAsia="仿宋_GB2312"/>
          <w:bCs/>
          <w:color w:val="auto"/>
          <w:kern w:val="0"/>
          <w:sz w:val="30"/>
          <w:szCs w:val="30"/>
        </w:rPr>
        <w:t>地下水环境状况调查评估</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以地下水型集中式饮用水水源地和地下水污染源为重点，持续推进加油站和垃圾填埋场等区域周边的地下水基础环境状况调查，研究地下水环境状况调查评估常态化工作机制、模式和保障措施。推进农用地和建设用地重点地块、土壤污染重点监管单位周边土壤监测和调查。深入实施污染农用地断源行动。创新监管手段和监管方式，研究土壤、地下水一体化监管网络体系，完善土壤和地下水环境应急管理机制，加大科研支撑力度。</w:t>
      </w:r>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lang w:val="en-US" w:eastAsia="zh-CN"/>
        </w:rPr>
        <w:t>3.</w:t>
      </w:r>
      <w:r>
        <w:rPr>
          <w:rFonts w:ascii="Times New Roman" w:hAnsi="Times New Roman" w:eastAsia="楷体"/>
          <w:b/>
          <w:bCs/>
          <w:color w:val="auto"/>
          <w:kern w:val="0"/>
          <w:sz w:val="30"/>
          <w:szCs w:val="30"/>
        </w:rPr>
        <w:t>加强土壤污染风险管控</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对暂不开发利用的地块重点实施风险管控</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进一步强化风险管控意识，加强对暂不开发利用地块风险管控相关制度、规范、考核等的制定与执行，加大监督执法力度。针对重有色金属矿山，每年制定风险管控计划，设立标识、发布公告，实施以防止污染扩散为目的的风险管控措施，按照年度计划实施风险管控和相应的管理。</w:t>
      </w:r>
    </w:p>
    <w:p>
      <w:pPr>
        <w:numPr>
          <w:ilvl w:val="0"/>
          <w:numId w:val="0"/>
        </w:numPr>
        <w:spacing w:line="360" w:lineRule="auto"/>
        <w:ind w:firstLine="602" w:firstLineChars="200"/>
        <w:rPr>
          <w:rFonts w:ascii="Times New Roman" w:hAnsi="Times New Roman" w:eastAsia="楷体_GB2312"/>
          <w:b/>
          <w:color w:val="auto"/>
          <w:kern w:val="0"/>
          <w:sz w:val="30"/>
          <w:szCs w:val="30"/>
        </w:rPr>
      </w:pPr>
      <w:r>
        <w:rPr>
          <w:rFonts w:hint="eastAsia" w:ascii="Times New Roman" w:hAnsi="Times New Roman" w:eastAsia="楷体_GB2312"/>
          <w:b/>
          <w:color w:val="auto"/>
          <w:kern w:val="0"/>
          <w:sz w:val="30"/>
          <w:szCs w:val="30"/>
          <w:lang w:val="en-US" w:eastAsia="zh-CN"/>
        </w:rPr>
        <w:t>4.</w:t>
      </w:r>
      <w:r>
        <w:rPr>
          <w:rFonts w:ascii="Times New Roman" w:hAnsi="Times New Roman" w:eastAsia="楷体_GB2312"/>
          <w:b/>
          <w:color w:val="auto"/>
          <w:kern w:val="0"/>
          <w:sz w:val="30"/>
          <w:szCs w:val="30"/>
        </w:rPr>
        <w:t>巩固提升农用地土壤安全利用水平</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分区分年度开展</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农用地土壤污染状况详查</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未覆盖区域土壤环境质量调查，进一步查明耕地、园地、草地污染面积、分布和污染因子，深入分析土壤重金属高背景对农产品质量的影响，为农用地风险管控提供基础数据。持续保护好荣成市良好耕地土壤环境质量，加大对优先保护类和安全利用类耕地周边污染源的监管。</w:t>
      </w:r>
    </w:p>
    <w:p>
      <w:pPr>
        <w:spacing w:line="360" w:lineRule="auto"/>
        <w:ind w:firstLine="643" w:firstLineChars="200"/>
        <w:outlineLvl w:val="2"/>
        <w:rPr>
          <w:rFonts w:ascii="Times New Roman" w:hAnsi="Times New Roman" w:eastAsia="仿宋_GB2312"/>
          <w:b/>
          <w:color w:val="auto"/>
          <w:sz w:val="32"/>
          <w:szCs w:val="21"/>
        </w:rPr>
      </w:pPr>
      <w:bookmarkStart w:id="144" w:name="_Toc11245"/>
      <w:bookmarkStart w:id="145" w:name="_Toc18525"/>
      <w:bookmarkStart w:id="146" w:name="_Toc27614"/>
      <w:r>
        <w:rPr>
          <w:rFonts w:hint="eastAsia" w:ascii="Times New Roman" w:hAnsi="Times New Roman" w:eastAsia="仿宋_GB2312"/>
          <w:b/>
          <w:color w:val="auto"/>
          <w:sz w:val="32"/>
          <w:szCs w:val="21"/>
        </w:rPr>
        <w:t>（五）</w:t>
      </w:r>
      <w:r>
        <w:rPr>
          <w:rFonts w:hint="eastAsia" w:eastAsia="仿宋_GB2312" w:cs="Calibri"/>
          <w:b/>
          <w:color w:val="auto"/>
          <w:sz w:val="32"/>
          <w:szCs w:val="21"/>
        </w:rPr>
        <w:t>切实加强海洋环境保护</w:t>
      </w:r>
      <w:bookmarkEnd w:id="144"/>
      <w:bookmarkEnd w:id="145"/>
      <w:bookmarkEnd w:id="146"/>
    </w:p>
    <w:p>
      <w:p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1.健全陆海统筹的衔接管理机制</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发挥生态文明建设协调优势，创新河湖湾</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三长合一</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管理模式，统抓统管。搭建河湖湾智慧监管平台，共享公安交警、海洋渔业、生态环境等行业视频监控资源及监测数据，实现智慧化管控。逐步建立入海河流总氮总磷监控体系，统一监测断面、方法和频次，健全入海河流污染物入海通量监测。确保总氮排放浓度只降不升，总磷排放浓度控制满足水环境质量目标要求。以实行入海污染物联防联控，构建</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流域</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河口</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近海</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污染防治的联动机制，推进入海河流陆源污染物的减排，构建陆海协同陆源污染物排放控制体系。深入开展入海河流环境综合治理，确保各入海河流水质达到地表水水质要求。</w:t>
      </w:r>
      <w:bookmarkStart w:id="147" w:name="_Toc54969132"/>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lang w:val="en-US" w:eastAsia="zh-CN"/>
        </w:rPr>
        <w:t>2.</w:t>
      </w:r>
      <w:r>
        <w:rPr>
          <w:rFonts w:ascii="Times New Roman" w:hAnsi="Times New Roman" w:eastAsia="楷体"/>
          <w:b/>
          <w:bCs/>
          <w:color w:val="auto"/>
          <w:kern w:val="0"/>
          <w:sz w:val="30"/>
          <w:szCs w:val="30"/>
        </w:rPr>
        <w:t>强化海洋污染控制与治理</w:t>
      </w:r>
      <w:bookmarkEnd w:id="147"/>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加强养殖污染防控。</w:t>
      </w:r>
      <w:r>
        <w:rPr>
          <w:rFonts w:ascii="Times New Roman" w:hAnsi="Times New Roman" w:eastAsia="仿宋_GB2312"/>
          <w:bCs/>
          <w:color w:val="auto"/>
          <w:kern w:val="0"/>
          <w:sz w:val="30"/>
          <w:szCs w:val="30"/>
        </w:rPr>
        <w:t>根据养殖滩涂规划，优化水产养殖空间布局</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依法依规开展海水养殖环境影响评价。</w:t>
      </w:r>
      <w:r>
        <w:rPr>
          <w:rFonts w:hint="eastAsia" w:ascii="Times New Roman" w:hAnsi="Times New Roman" w:eastAsia="仿宋_GB2312"/>
          <w:bCs/>
          <w:color w:val="auto"/>
          <w:kern w:val="0"/>
          <w:sz w:val="30"/>
          <w:szCs w:val="30"/>
        </w:rPr>
        <w:t>引导</w:t>
      </w:r>
      <w:r>
        <w:rPr>
          <w:rFonts w:ascii="Times New Roman" w:hAnsi="Times New Roman" w:eastAsia="仿宋_GB2312"/>
          <w:bCs/>
          <w:color w:val="auto"/>
          <w:kern w:val="0"/>
          <w:sz w:val="30"/>
          <w:szCs w:val="30"/>
        </w:rPr>
        <w:t>开展综合养殖与生态养殖</w:t>
      </w:r>
      <w:r>
        <w:rPr>
          <w:rFonts w:hint="eastAsia" w:ascii="Times New Roman" w:hAnsi="Times New Roman" w:eastAsia="仿宋_GB2312"/>
          <w:bCs/>
          <w:color w:val="auto"/>
          <w:kern w:val="0"/>
          <w:sz w:val="30"/>
          <w:szCs w:val="30"/>
        </w:rPr>
        <w:t>，推广桑沟湾浅海多营养层次综合</w:t>
      </w:r>
      <w:r>
        <w:rPr>
          <w:rFonts w:ascii="Times New Roman" w:hAnsi="Times New Roman" w:eastAsia="仿宋_GB2312"/>
          <w:bCs/>
          <w:color w:val="auto"/>
          <w:kern w:val="0"/>
          <w:sz w:val="30"/>
          <w:szCs w:val="30"/>
        </w:rPr>
        <w:t>养殖模式。鼓励水产养殖空间向深海拓展，</w:t>
      </w:r>
      <w:r>
        <w:rPr>
          <w:rFonts w:hint="eastAsia" w:ascii="Times New Roman" w:hAnsi="Times New Roman" w:eastAsia="仿宋_GB2312"/>
          <w:bCs/>
          <w:color w:val="auto"/>
          <w:kern w:val="0"/>
          <w:sz w:val="30"/>
          <w:szCs w:val="30"/>
        </w:rPr>
        <w:t>加快成山鸿源智能化鲍鱼养殖平台、鑫弘深海养殖工船建设，实现深远海养殖新突破</w:t>
      </w:r>
      <w:r>
        <w:rPr>
          <w:rFonts w:ascii="Times New Roman" w:hAnsi="Times New Roman" w:eastAsia="仿宋_GB2312"/>
          <w:bCs/>
          <w:color w:val="auto"/>
          <w:kern w:val="0"/>
          <w:sz w:val="30"/>
          <w:szCs w:val="30"/>
        </w:rPr>
        <w:t>。巩固提升海洋牧场集聚性优势，推进海水养殖模式向标准化、集约化、智能化和生态化转变。严禁使用国家禁用</w:t>
      </w:r>
      <w:r>
        <w:rPr>
          <w:rFonts w:hint="eastAsia" w:ascii="Times New Roman" w:hAnsi="Times New Roman" w:eastAsia="仿宋_GB2312"/>
          <w:bCs/>
          <w:color w:val="auto"/>
          <w:kern w:val="0"/>
          <w:sz w:val="30"/>
          <w:szCs w:val="30"/>
        </w:rPr>
        <w:t>渔</w:t>
      </w:r>
      <w:r>
        <w:rPr>
          <w:rFonts w:ascii="Times New Roman" w:hAnsi="Times New Roman" w:eastAsia="仿宋_GB2312"/>
          <w:bCs/>
          <w:color w:val="auto"/>
          <w:kern w:val="0"/>
          <w:sz w:val="30"/>
          <w:szCs w:val="30"/>
        </w:rPr>
        <w:t>药及</w:t>
      </w:r>
      <w:r>
        <w:rPr>
          <w:rFonts w:hint="eastAsia" w:ascii="Times New Roman" w:hAnsi="Times New Roman" w:eastAsia="仿宋_GB2312"/>
          <w:bCs/>
          <w:color w:val="auto"/>
          <w:kern w:val="0"/>
          <w:sz w:val="30"/>
          <w:szCs w:val="30"/>
        </w:rPr>
        <w:t>投入品</w:t>
      </w:r>
      <w:r>
        <w:rPr>
          <w:rFonts w:ascii="Times New Roman" w:hAnsi="Times New Roman" w:eastAsia="仿宋_GB2312"/>
          <w:bCs/>
          <w:color w:val="auto"/>
          <w:kern w:val="0"/>
          <w:sz w:val="30"/>
          <w:szCs w:val="30"/>
        </w:rPr>
        <w:t>，取缔</w:t>
      </w:r>
      <w:r>
        <w:rPr>
          <w:rFonts w:hint="eastAsia" w:ascii="Times New Roman" w:hAnsi="Times New Roman" w:eastAsia="仿宋_GB2312"/>
          <w:bCs/>
          <w:color w:val="auto"/>
          <w:kern w:val="0"/>
          <w:sz w:val="30"/>
          <w:szCs w:val="30"/>
        </w:rPr>
        <w:t>禁养区内</w:t>
      </w:r>
      <w:r>
        <w:rPr>
          <w:rFonts w:ascii="Times New Roman" w:hAnsi="Times New Roman" w:eastAsia="仿宋_GB2312"/>
          <w:bCs/>
          <w:color w:val="auto"/>
          <w:kern w:val="0"/>
          <w:sz w:val="30"/>
          <w:szCs w:val="30"/>
        </w:rPr>
        <w:t>非法养殖。开展渔业养殖环境和退水口的监视监测监督管理，加快沙窝岛渔港经济创新发展示范区建设，全力创建国家级</w:t>
      </w:r>
      <w:r>
        <w:rPr>
          <w:rFonts w:hint="eastAsia" w:ascii="Times New Roman" w:hAnsi="Times New Roman" w:eastAsia="仿宋_GB2312"/>
          <w:bCs/>
          <w:color w:val="auto"/>
          <w:kern w:val="0"/>
          <w:sz w:val="30"/>
          <w:szCs w:val="30"/>
        </w:rPr>
        <w:t>水产</w:t>
      </w:r>
      <w:r>
        <w:rPr>
          <w:rFonts w:ascii="Times New Roman" w:hAnsi="Times New Roman" w:eastAsia="仿宋_GB2312"/>
          <w:bCs/>
          <w:color w:val="auto"/>
          <w:kern w:val="0"/>
          <w:sz w:val="30"/>
          <w:szCs w:val="30"/>
        </w:rPr>
        <w:t>健康养殖</w:t>
      </w:r>
      <w:r>
        <w:rPr>
          <w:rFonts w:hint="eastAsia" w:ascii="Times New Roman" w:hAnsi="Times New Roman" w:eastAsia="仿宋_GB2312"/>
          <w:bCs/>
          <w:color w:val="auto"/>
          <w:kern w:val="0"/>
          <w:sz w:val="30"/>
          <w:szCs w:val="30"/>
        </w:rPr>
        <w:t>和生态养殖示范区</w:t>
      </w:r>
      <w:r>
        <w:rPr>
          <w:rFonts w:ascii="Times New Roman" w:hAnsi="Times New Roman" w:eastAsia="仿宋_GB2312"/>
          <w:bCs/>
          <w:color w:val="auto"/>
          <w:kern w:val="0"/>
          <w:sz w:val="30"/>
          <w:szCs w:val="30"/>
        </w:rPr>
        <w:t>。</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建设清洁渔港码头。</w:t>
      </w:r>
      <w:r>
        <w:rPr>
          <w:rFonts w:hint="eastAsia" w:ascii="Times New Roman" w:hAnsi="Times New Roman" w:eastAsia="仿宋_GB2312"/>
          <w:bCs/>
          <w:color w:val="auto"/>
          <w:kern w:val="0"/>
          <w:sz w:val="30"/>
          <w:szCs w:val="30"/>
        </w:rPr>
        <w:t>严格落实《全市鱼粉、扬尘腥水和港口码头环境卫生综合督导工作方案》，渔港设置车辆冲洗点，鱼货运输车辆出港前须采取密闭措施、车身冲洗清洁后方可上路。</w:t>
      </w:r>
      <w:r>
        <w:rPr>
          <w:rFonts w:ascii="Times New Roman" w:hAnsi="Times New Roman" w:eastAsia="仿宋_GB2312"/>
          <w:bCs/>
          <w:color w:val="auto"/>
          <w:kern w:val="0"/>
          <w:sz w:val="30"/>
          <w:szCs w:val="30"/>
        </w:rPr>
        <w:t>依法推进码头、港口、造船厂、修船厂等各类污染源排污许可核发，确保依法排污、持证排污。完善港口船舶污染物报告、接收制度</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提升污染事故应急处置能力，加强水上污染事故应急能力建设。加快一级渔港建设，抓好渔港渔船全链条管控，率先在全省开创渔港渔船管控新模式。</w:t>
      </w:r>
      <w:r>
        <w:rPr>
          <w:rFonts w:hint="eastAsia" w:ascii="Times New Roman" w:hAnsi="Times New Roman" w:eastAsia="仿宋_GB2312"/>
          <w:bCs/>
          <w:color w:val="auto"/>
          <w:kern w:val="0"/>
          <w:sz w:val="30"/>
          <w:szCs w:val="30"/>
        </w:rPr>
        <w:t>完成沙窝岛渔港、鑫弘渔港、院夼渔港、泓运渔港等4个渔港的升级改造，</w:t>
      </w:r>
      <w:r>
        <w:rPr>
          <w:rFonts w:ascii="Times New Roman" w:hAnsi="Times New Roman" w:eastAsia="仿宋_GB2312"/>
          <w:bCs/>
          <w:color w:val="auto"/>
          <w:kern w:val="0"/>
          <w:sz w:val="30"/>
          <w:szCs w:val="30"/>
        </w:rPr>
        <w:t>完善</w:t>
      </w:r>
      <w:r>
        <w:rPr>
          <w:rFonts w:hint="eastAsia" w:ascii="Times New Roman" w:hAnsi="Times New Roman" w:eastAsia="仿宋_GB2312"/>
          <w:bCs/>
          <w:color w:val="auto"/>
          <w:kern w:val="0"/>
          <w:sz w:val="30"/>
          <w:szCs w:val="30"/>
        </w:rPr>
        <w:t>港口码头污水、</w:t>
      </w:r>
      <w:r>
        <w:rPr>
          <w:rFonts w:ascii="Times New Roman" w:hAnsi="Times New Roman" w:eastAsia="仿宋_GB2312"/>
          <w:bCs/>
          <w:color w:val="auto"/>
          <w:kern w:val="0"/>
          <w:sz w:val="30"/>
          <w:szCs w:val="30"/>
        </w:rPr>
        <w:t>渔船废水、废油废渣回收与处理</w:t>
      </w:r>
      <w:r>
        <w:rPr>
          <w:rFonts w:hint="eastAsia" w:ascii="Times New Roman" w:hAnsi="Times New Roman" w:eastAsia="仿宋_GB2312"/>
          <w:bCs/>
          <w:color w:val="auto"/>
          <w:kern w:val="0"/>
          <w:sz w:val="30"/>
          <w:szCs w:val="30"/>
        </w:rPr>
        <w:t>、垃圾接收转运及处理处置设施建设</w:t>
      </w:r>
      <w:r>
        <w:rPr>
          <w:rFonts w:ascii="Times New Roman" w:hAnsi="Times New Roman" w:eastAsia="仿宋_GB2312"/>
          <w:bCs/>
          <w:color w:val="auto"/>
          <w:kern w:val="0"/>
          <w:sz w:val="30"/>
          <w:szCs w:val="30"/>
        </w:rPr>
        <w:t>，实现污染物集中回收、岸上处理、达标排放。</w:t>
      </w:r>
    </w:p>
    <w:p>
      <w:pPr>
        <w:numPr>
          <w:ilvl w:val="255"/>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rPr>
        <w:t>3.</w:t>
      </w:r>
      <w:r>
        <w:rPr>
          <w:rFonts w:ascii="Times New Roman" w:hAnsi="Times New Roman" w:eastAsia="楷体"/>
          <w:b/>
          <w:bCs/>
          <w:color w:val="auto"/>
          <w:kern w:val="0"/>
          <w:sz w:val="30"/>
          <w:szCs w:val="30"/>
        </w:rPr>
        <w:t>提高海洋生态环境风险防控能力</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开展重点海域、海洋工程密集海域、生态敏感海域风险调查和风暴潮警戒潮位核定，建立海洋灾害区划和防灾减灾评估机制。针对溢油等海上环境问题，提高应急处置效率和质量，形成与海洋环境保护工作推进相匹配的管理保障能力。建设海上溢油应急设备库，及时落实现有海上溢油应急设备库物资储备补充更新。丰富应急专家智慧库，强化海洋应急人员定期培训，系统提升海洋应急人员专业水平。推进应急监测中心建设，建立监测评价与监管执法联动机制，完善区域联动的应急响应与调度支援机制。及时更新和完善各级应急预案，完善应急协作机制，切实加强区域、部门间协作，提升共同应对突发环境风险的能力。</w:t>
      </w:r>
    </w:p>
    <w:p>
      <w:pPr>
        <w:pStyle w:val="2"/>
        <w:spacing w:line="360" w:lineRule="auto"/>
        <w:ind w:firstLine="643"/>
        <w:outlineLvl w:val="2"/>
        <w:rPr>
          <w:rFonts w:ascii="Times New Roman" w:hAnsi="Times New Roman" w:eastAsia="仿宋_GB2312"/>
          <w:b/>
          <w:color w:val="auto"/>
          <w:sz w:val="32"/>
          <w:szCs w:val="21"/>
        </w:rPr>
      </w:pPr>
      <w:bookmarkStart w:id="148" w:name="_Toc27671"/>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六</w:t>
      </w:r>
      <w:r>
        <w:rPr>
          <w:rFonts w:hint="eastAsia" w:ascii="Times New Roman" w:hAnsi="Times New Roman" w:eastAsia="仿宋_GB2312"/>
          <w:b/>
          <w:color w:val="auto"/>
          <w:sz w:val="32"/>
          <w:szCs w:val="21"/>
        </w:rPr>
        <w:t>）大力实施生态保护修复</w:t>
      </w:r>
      <w:bookmarkEnd w:id="148"/>
    </w:p>
    <w:p>
      <w:pPr>
        <w:spacing w:line="360" w:lineRule="auto"/>
        <w:ind w:firstLine="602" w:firstLineChars="200"/>
        <w:rPr>
          <w:rFonts w:ascii="Times New Roman" w:hAnsi="Times New Roman" w:eastAsia="楷体"/>
          <w:b/>
          <w:bCs/>
          <w:color w:val="auto"/>
          <w:kern w:val="0"/>
          <w:sz w:val="30"/>
          <w:szCs w:val="30"/>
        </w:rPr>
      </w:pPr>
      <w:r>
        <w:rPr>
          <w:rFonts w:ascii="Times New Roman" w:hAnsi="Times New Roman" w:eastAsia="楷体"/>
          <w:b/>
          <w:bCs/>
          <w:color w:val="auto"/>
          <w:kern w:val="0"/>
          <w:sz w:val="30"/>
          <w:szCs w:val="30"/>
        </w:rPr>
        <w:t>1.</w:t>
      </w:r>
      <w:r>
        <w:rPr>
          <w:rFonts w:hint="eastAsia" w:ascii="Times New Roman" w:hAnsi="Times New Roman" w:eastAsia="楷体"/>
          <w:b/>
          <w:bCs/>
          <w:color w:val="auto"/>
          <w:kern w:val="0"/>
          <w:sz w:val="30"/>
          <w:szCs w:val="30"/>
          <w:lang w:val="en-US" w:eastAsia="zh-CN"/>
        </w:rPr>
        <w:t>统筹山水林田湖草沙系统治理</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开展伯家岛区域废弃矿山生态修复，治理废弃采坑23处，打造废弃矿山治理亮点工程。“十四五”期间，完成所有关停矿山的综合治理。</w:t>
      </w:r>
      <w:r>
        <w:rPr>
          <w:rFonts w:ascii="Times New Roman" w:hAnsi="Times New Roman" w:eastAsia="仿宋_GB2312"/>
          <w:bCs/>
          <w:color w:val="auto"/>
          <w:kern w:val="0"/>
          <w:sz w:val="30"/>
          <w:szCs w:val="30"/>
        </w:rPr>
        <w:t>推进山水林田湖草</w:t>
      </w:r>
      <w:r>
        <w:rPr>
          <w:rFonts w:hint="eastAsia" w:ascii="Times New Roman" w:hAnsi="Times New Roman" w:eastAsia="仿宋_GB2312"/>
          <w:bCs/>
          <w:color w:val="auto"/>
          <w:kern w:val="0"/>
          <w:sz w:val="30"/>
          <w:szCs w:val="30"/>
        </w:rPr>
        <w:t>沙</w:t>
      </w:r>
      <w:r>
        <w:rPr>
          <w:rFonts w:ascii="Times New Roman" w:hAnsi="Times New Roman" w:eastAsia="仿宋_GB2312"/>
          <w:bCs/>
          <w:color w:val="auto"/>
          <w:kern w:val="0"/>
          <w:sz w:val="30"/>
          <w:szCs w:val="30"/>
        </w:rPr>
        <w:t>及海岛系统治理。</w:t>
      </w:r>
      <w:r>
        <w:rPr>
          <w:rFonts w:hint="eastAsia" w:ascii="Times New Roman" w:hAnsi="Times New Roman" w:eastAsia="仿宋_GB2312"/>
          <w:bCs/>
          <w:color w:val="auto"/>
          <w:kern w:val="0"/>
          <w:sz w:val="30"/>
          <w:szCs w:val="30"/>
        </w:rPr>
        <w:t>在对各类需整治和修复的要素进行分析识别的基础上结合全域生态框架、自然保护地体系和各街道主要发展方向，综合形成全域“一带、三轴、多区、多点”的国土综合整治与生态修复格局。</w:t>
      </w:r>
      <w:r>
        <w:rPr>
          <w:rFonts w:ascii="Times New Roman" w:hAnsi="Times New Roman" w:eastAsia="仿宋_GB2312"/>
          <w:bCs/>
          <w:color w:val="auto"/>
          <w:kern w:val="0"/>
          <w:sz w:val="30"/>
          <w:szCs w:val="30"/>
        </w:rPr>
        <w:t>大力推进水土保持</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四型</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小流域建设</w:t>
      </w:r>
      <w:r>
        <w:rPr>
          <w:rFonts w:hint="eastAsia" w:ascii="Times New Roman" w:hAnsi="Times New Roman" w:eastAsia="仿宋_GB2312"/>
          <w:bCs/>
          <w:color w:val="auto"/>
          <w:kern w:val="0"/>
          <w:sz w:val="30"/>
          <w:szCs w:val="30"/>
        </w:rPr>
        <w:t>，完成兰家河、齐山河等小流域治理工程</w:t>
      </w:r>
      <w:r>
        <w:rPr>
          <w:rFonts w:ascii="Times New Roman" w:hAnsi="Times New Roman" w:eastAsia="仿宋_GB2312"/>
          <w:bCs/>
          <w:color w:val="auto"/>
          <w:kern w:val="0"/>
          <w:sz w:val="30"/>
          <w:szCs w:val="30"/>
        </w:rPr>
        <w:t>。加大对河流、库塘等湿地植被生态修复力度，推进河湖水系连通。积极开展湿地生态修复工程建设，清理淤积泥沙，改善湖区水体交换能力。</w:t>
      </w:r>
      <w:r>
        <w:rPr>
          <w:rFonts w:hint="eastAsia" w:ascii="Times New Roman" w:hAnsi="Times New Roman" w:eastAsia="仿宋_GB2312"/>
          <w:bCs/>
          <w:color w:val="auto"/>
          <w:kern w:val="0"/>
          <w:sz w:val="30"/>
          <w:szCs w:val="30"/>
        </w:rPr>
        <w:t>统筹</w:t>
      </w:r>
      <w:r>
        <w:rPr>
          <w:rFonts w:ascii="Times New Roman" w:hAnsi="Times New Roman" w:eastAsia="仿宋_GB2312"/>
          <w:bCs/>
          <w:color w:val="auto"/>
          <w:kern w:val="0"/>
          <w:sz w:val="30"/>
          <w:szCs w:val="30"/>
        </w:rPr>
        <w:t>推进河流、森林等重要生态廊道建设，巩固提升山、海、岛、河等多种形态有机融合的绿色生态空间。</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实施伟德山生态修复项目，造林绿化和修复总规模3.2万亩。建设森林生态科普教育实践基地一处，面积400余亩。</w:t>
      </w:r>
      <w:r>
        <w:rPr>
          <w:rFonts w:ascii="Times New Roman" w:hAnsi="Times New Roman" w:eastAsia="仿宋_GB2312"/>
          <w:bCs/>
          <w:color w:val="auto"/>
          <w:kern w:val="0"/>
          <w:sz w:val="30"/>
          <w:szCs w:val="30"/>
        </w:rPr>
        <w:t>开展沿海基干林带退化防护林修复工程，对抚育采伐后郁闭度低于0.5的林分开展人工补植，补植树种以麻栎、构树、楸树等阔叶树种为主，逐步将黑松单纯林改造成相对纯林或针阔混交林。到2025年全市完成成片造林5万亩，完成30万亩生态公益林抚育。</w:t>
      </w:r>
    </w:p>
    <w:p>
      <w:pPr>
        <w:spacing w:line="360" w:lineRule="auto"/>
        <w:ind w:firstLine="602" w:firstLineChars="200"/>
        <w:rPr>
          <w:rFonts w:ascii="Times New Roman" w:hAnsi="Times New Roman" w:eastAsia="楷体"/>
          <w:b/>
          <w:bCs/>
          <w:color w:val="auto"/>
          <w:kern w:val="0"/>
          <w:sz w:val="30"/>
          <w:szCs w:val="30"/>
        </w:rPr>
      </w:pPr>
      <w:bookmarkStart w:id="149" w:name="_Toc4224"/>
      <w:bookmarkStart w:id="150" w:name="_Toc15728"/>
      <w:r>
        <w:rPr>
          <w:rFonts w:hint="eastAsia" w:ascii="Times New Roman" w:hAnsi="Times New Roman" w:eastAsia="楷体"/>
          <w:b/>
          <w:bCs/>
          <w:color w:val="auto"/>
          <w:kern w:val="0"/>
          <w:sz w:val="30"/>
          <w:szCs w:val="30"/>
          <w:lang w:val="en-US" w:eastAsia="zh-CN"/>
        </w:rPr>
        <w:t>2.</w:t>
      </w:r>
      <w:r>
        <w:rPr>
          <w:rFonts w:hint="eastAsia" w:ascii="Times New Roman" w:hAnsi="Times New Roman" w:eastAsia="楷体"/>
          <w:b/>
          <w:bCs/>
          <w:color w:val="auto"/>
          <w:kern w:val="0"/>
          <w:sz w:val="30"/>
          <w:szCs w:val="30"/>
        </w:rPr>
        <w:t>推进</w:t>
      </w:r>
      <w:bookmarkEnd w:id="149"/>
      <w:bookmarkEnd w:id="150"/>
      <w:r>
        <w:rPr>
          <w:rFonts w:hint="eastAsia" w:ascii="Times New Roman" w:hAnsi="Times New Roman" w:eastAsia="楷体"/>
          <w:b/>
          <w:bCs/>
          <w:color w:val="auto"/>
          <w:kern w:val="0"/>
          <w:sz w:val="30"/>
          <w:szCs w:val="30"/>
        </w:rPr>
        <w:t>海洋生态保护与修复</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推动海洋生态功能区、海洋生态保护红线与国土空间规划的衔接，优化岸线资源开发和保护格局。严格功能分区管理，实施海洋生态红线区常态化监管，依法拆除生态红线内违规工程和设施。对岸线实施分区分类管理，严格控制在海岸线向陆80米范围内新建建筑物，定期组织海岸线保护巡查和专项执法检查。全面梳理确权用海，开展全市养殖用海普查，查清养殖用海现状。定期对典型生态系统开展调查。分析重要生境中海洋生物多样性、海鸟栖息地、海域特有保护物种、优质渔业资源、三场一通道等海洋生物资源，评估生态修复和生境维护水平。严控新增围填海造地，严格审批程序。在国家审批政策没有调整前，除国家重大战略项目涉及围填海的按程序报批外全面停上新增用海项目审批。</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开展综合整治修复，实施好运角度假区朝阳港北岸海岸带保护修复工程、石岛湾海岸带修复项目，推进落地见效。有序开展“蓝色海湾”整治，启动槎山以南海岸带三年生态修复工程。维持砂质、基岩岸滩岸线稳定。加强滨海湿地、海草床等生态系统保护。</w:t>
      </w:r>
    </w:p>
    <w:p>
      <w:pPr>
        <w:pStyle w:val="2"/>
        <w:spacing w:line="360" w:lineRule="auto"/>
        <w:ind w:firstLine="643"/>
        <w:outlineLvl w:val="2"/>
        <w:rPr>
          <w:rFonts w:hint="eastAsia" w:ascii="Times New Roman" w:hAnsi="Times New Roman" w:eastAsia="仿宋_GB2312"/>
          <w:b/>
          <w:color w:val="auto"/>
          <w:sz w:val="32"/>
          <w:szCs w:val="21"/>
        </w:rPr>
      </w:pPr>
      <w:bookmarkStart w:id="151" w:name="_Toc28137"/>
      <w:r>
        <w:rPr>
          <w:rFonts w:hint="eastAsia" w:ascii="Times New Roman" w:hAnsi="Times New Roman" w:eastAsia="仿宋_GB2312"/>
          <w:b/>
          <w:color w:val="auto"/>
          <w:sz w:val="32"/>
          <w:szCs w:val="21"/>
          <w:lang w:val="en-US" w:eastAsia="zh-CN"/>
        </w:rPr>
        <w:t>（七）</w:t>
      </w:r>
      <w:r>
        <w:rPr>
          <w:rFonts w:hint="eastAsia" w:ascii="Times New Roman" w:hAnsi="Times New Roman" w:eastAsia="仿宋_GB2312"/>
          <w:b/>
          <w:color w:val="auto"/>
          <w:sz w:val="32"/>
          <w:szCs w:val="21"/>
        </w:rPr>
        <w:t>有序推进生物多样性保护</w:t>
      </w:r>
      <w:bookmarkEnd w:id="151"/>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开展生物多样性调查评估，针对浅海及海滩水产资源、野生动物、植物资源开展生物多样性保护优先区域的生物多样性本底调查。</w:t>
      </w:r>
      <w:r>
        <w:rPr>
          <w:rFonts w:hint="eastAsia" w:ascii="Times New Roman" w:hAnsi="Times New Roman" w:eastAsia="仿宋_GB2312"/>
          <w:bCs/>
          <w:color w:val="auto"/>
          <w:kern w:val="0"/>
          <w:sz w:val="30"/>
          <w:szCs w:val="30"/>
          <w:lang w:val="en-US" w:eastAsia="zh-CN"/>
        </w:rPr>
        <w:t>以西霞口</w:t>
      </w:r>
      <w:r>
        <w:rPr>
          <w:rFonts w:hint="eastAsia" w:ascii="Times New Roman" w:hAnsi="Times New Roman" w:eastAsia="仿宋_GB2312"/>
          <w:bCs/>
          <w:color w:val="auto"/>
          <w:kern w:val="0"/>
          <w:sz w:val="30"/>
          <w:szCs w:val="30"/>
        </w:rPr>
        <w:t>陆生野生动物收容救护中心</w:t>
      </w:r>
      <w:r>
        <w:rPr>
          <w:rFonts w:hint="eastAsia" w:ascii="Times New Roman" w:hAnsi="Times New Roman" w:eastAsia="仿宋_GB2312"/>
          <w:bCs/>
          <w:color w:val="auto"/>
          <w:kern w:val="0"/>
          <w:sz w:val="30"/>
          <w:szCs w:val="30"/>
          <w:lang w:val="en-US" w:eastAsia="zh-CN"/>
        </w:rPr>
        <w:t>为依托，</w:t>
      </w:r>
      <w:r>
        <w:rPr>
          <w:rFonts w:ascii="Times New Roman" w:hAnsi="Times New Roman" w:eastAsia="仿宋_GB2312"/>
          <w:bCs/>
          <w:color w:val="auto"/>
          <w:kern w:val="0"/>
          <w:sz w:val="30"/>
          <w:szCs w:val="30"/>
        </w:rPr>
        <w:t>实施濒危野生动植物抢救性保护。</w:t>
      </w:r>
      <w:r>
        <w:rPr>
          <w:rFonts w:hint="eastAsia" w:ascii="Times New Roman" w:hAnsi="Times New Roman" w:eastAsia="仿宋_GB2312"/>
          <w:bCs/>
          <w:color w:val="auto"/>
          <w:kern w:val="0"/>
          <w:sz w:val="30"/>
          <w:szCs w:val="30"/>
        </w:rPr>
        <w:t>持续开展野生动物疫源疫病监测防控工作，加强对人与野生动物密切接触区域的巡查力量，加大巡查密度，一旦发现野生动物群体死亡等突发异常情况，第一时间封锁现场并立即上报，做好隔离等应急处置措施</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开展渔业资源的增殖放流，科学选择增殖放流种类，补充和恢复生物资源群体，保护海洋生物多样性。</w:t>
      </w:r>
      <w:r>
        <w:rPr>
          <w:rFonts w:ascii="Times New Roman" w:hAnsi="Times New Roman" w:eastAsia="仿宋_GB2312"/>
          <w:bCs/>
          <w:color w:val="auto"/>
          <w:kern w:val="0"/>
          <w:sz w:val="30"/>
          <w:szCs w:val="30"/>
        </w:rPr>
        <w:t>加强生物遗传资源、野生动植物及其制品进出口管理、严控特有、珍稀、濒危野生动植物资源流失。到2025年底前，国家重点保护野生动植物保护率</w:t>
      </w:r>
      <w:r>
        <w:rPr>
          <w:rFonts w:hint="eastAsia" w:ascii="Times New Roman" w:hAnsi="Times New Roman" w:eastAsia="仿宋_GB2312"/>
          <w:bCs/>
          <w:color w:val="auto"/>
          <w:kern w:val="0"/>
          <w:sz w:val="30"/>
          <w:szCs w:val="30"/>
        </w:rPr>
        <w:t>不低于96%</w:t>
      </w:r>
      <w:r>
        <w:rPr>
          <w:rFonts w:ascii="Times New Roman" w:hAnsi="Times New Roman" w:eastAsia="仿宋_GB2312"/>
          <w:bCs/>
          <w:color w:val="auto"/>
          <w:kern w:val="0"/>
          <w:sz w:val="30"/>
          <w:szCs w:val="30"/>
        </w:rPr>
        <w:t>。</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完善外来入侵物种监测和预警体系，推进长效防控机制的建立，加强港口物流外来入侵物种的管控。开展外来入侵生物普查，推进源头预防和监测预警体系建设，开展集中灭除行动、生态拦截和修复综合防控等应对措施，积极防治外来物种入侵。</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强化部门联合。建立野生动物保护协调配合机制，协调解决野生动物资源保护工作中的重点、难点问题，构建“信息互通、资源共享、协同配合”的保护管理机制，实现野生动物及其栖息地保护、人工繁育和经营利用各环节、全链条的监督管理，提升野生动物和生物多样性保护能力。</w:t>
      </w:r>
    </w:p>
    <w:p>
      <w:pPr>
        <w:spacing w:line="360" w:lineRule="auto"/>
        <w:ind w:firstLine="602" w:firstLineChars="200"/>
        <w:rPr>
          <w:rFonts w:ascii="Times New Roman" w:hAnsi="Times New Roman" w:eastAsia="楷体"/>
          <w:b/>
          <w:bCs/>
          <w:color w:val="auto"/>
          <w:kern w:val="0"/>
          <w:sz w:val="30"/>
          <w:szCs w:val="30"/>
        </w:rPr>
      </w:pPr>
      <w:r>
        <w:rPr>
          <w:rFonts w:hint="eastAsia" w:ascii="Times New Roman" w:hAnsi="Times New Roman" w:eastAsia="楷体"/>
          <w:b/>
          <w:bCs/>
          <w:color w:val="auto"/>
          <w:kern w:val="0"/>
          <w:sz w:val="30"/>
          <w:szCs w:val="30"/>
          <w:lang w:val="en-US" w:eastAsia="zh-CN"/>
        </w:rPr>
        <w:t>2.</w:t>
      </w:r>
      <w:r>
        <w:rPr>
          <w:rFonts w:hint="eastAsia" w:ascii="Times New Roman" w:hAnsi="Times New Roman" w:eastAsia="楷体"/>
          <w:b/>
          <w:bCs/>
          <w:color w:val="auto"/>
          <w:kern w:val="0"/>
          <w:sz w:val="30"/>
          <w:szCs w:val="30"/>
        </w:rPr>
        <w:t>持续加强大天鹅保护</w:t>
      </w:r>
    </w:p>
    <w:p>
      <w:pPr>
        <w:spacing w:line="360" w:lineRule="auto"/>
        <w:ind w:firstLine="600" w:firstLineChars="200"/>
        <w:rPr>
          <w:rFonts w:hint="eastAsia" w:ascii="Times New Roman" w:hAnsi="Times New Roman" w:eastAsia="仿宋_GB2312"/>
          <w:bCs/>
          <w:color w:val="auto"/>
          <w:kern w:val="0"/>
          <w:sz w:val="30"/>
          <w:szCs w:val="30"/>
          <w:lang w:eastAsia="zh-CN"/>
        </w:rPr>
      </w:pPr>
      <w:r>
        <w:rPr>
          <w:rFonts w:hint="eastAsia" w:ascii="Times New Roman" w:hAnsi="Times New Roman" w:eastAsia="仿宋_GB2312"/>
          <w:bCs/>
          <w:color w:val="auto"/>
          <w:kern w:val="0"/>
          <w:sz w:val="30"/>
          <w:szCs w:val="30"/>
        </w:rPr>
        <w:t>完成荣成大天鹅国家级自然保护区边界勘定、设立界碑界桩工作，并绘制边界矢量图。将保护区作为独立自然资源资产登记单元统一确权登记，落实全民所有自然资源资产代行主体责任，切实做好生态保护、自然资源资产管理、用途管制、特许经营等工作。积极开展天鹅湖生态修复工程建设，改善湖区水体交换能力，增加海洋生物生长量。在天鹅湖</w:t>
      </w:r>
      <w:r>
        <w:rPr>
          <w:rFonts w:hint="eastAsia" w:ascii="Times New Roman" w:hAnsi="Times New Roman" w:eastAsia="仿宋_GB2312"/>
          <w:bCs/>
          <w:color w:val="auto"/>
          <w:kern w:val="0"/>
          <w:sz w:val="30"/>
          <w:szCs w:val="30"/>
          <w:lang w:eastAsia="zh-CN"/>
        </w:rPr>
        <w:t>、俚岛烟墩角海湾</w:t>
      </w:r>
      <w:r>
        <w:rPr>
          <w:rFonts w:hint="eastAsia" w:ascii="Times New Roman" w:hAnsi="Times New Roman" w:eastAsia="仿宋_GB2312"/>
          <w:bCs/>
          <w:color w:val="auto"/>
          <w:kern w:val="0"/>
          <w:sz w:val="30"/>
          <w:szCs w:val="30"/>
        </w:rPr>
        <w:t>等海域开展大叶藻移植，进一步提升越冬大天鹅自然食物供给能力。开展本底资源补充调查工作，对大天鹅保护区内野生动植物资源，特别是迁徙途经停歇的短栖候鸟资源进行全面补充调查，完善资源数据库和相关图鉴档案，做到区内野生动物资源底数清、种类明，有据可查。</w:t>
      </w:r>
      <w:r>
        <w:rPr>
          <w:rFonts w:hint="eastAsia" w:ascii="Times New Roman" w:hAnsi="Times New Roman" w:eastAsia="仿宋_GB2312"/>
          <w:bCs/>
          <w:color w:val="auto"/>
          <w:kern w:val="0"/>
          <w:sz w:val="30"/>
          <w:szCs w:val="30"/>
          <w:lang w:eastAsia="zh-CN"/>
        </w:rPr>
        <w:t>督导镇街加强对辖区内大天鹅主要分布区、越冬地、繁殖地、迁飞通道、集群活动区的巡护，严防使用网捕、毒药等恶劣手段乱捕滥猎鸟类的活动，制止对迁飞候鸟等野生动物人为干扰，维护候鸟种群迁徙的安全。</w:t>
      </w:r>
      <w:r>
        <w:rPr>
          <w:rFonts w:hint="eastAsia" w:ascii="Times New Roman" w:hAnsi="Times New Roman" w:eastAsia="仿宋_GB2312"/>
          <w:bCs/>
          <w:color w:val="auto"/>
          <w:kern w:val="0"/>
          <w:sz w:val="30"/>
          <w:szCs w:val="30"/>
        </w:rPr>
        <w:t>维系大天鹅的野生属性、预防人为干预出现的驯养倾向</w:t>
      </w:r>
      <w:r>
        <w:rPr>
          <w:rFonts w:hint="eastAsia" w:ascii="Times New Roman" w:hAnsi="Times New Roman" w:eastAsia="仿宋_GB2312"/>
          <w:bCs/>
          <w:color w:val="auto"/>
          <w:kern w:val="0"/>
          <w:sz w:val="30"/>
          <w:szCs w:val="30"/>
          <w:lang w:eastAsia="zh-CN"/>
        </w:rPr>
        <w:t>。</w:t>
      </w:r>
    </w:p>
    <w:p>
      <w:pPr>
        <w:spacing w:line="360" w:lineRule="auto"/>
        <w:ind w:firstLine="643" w:firstLineChars="200"/>
        <w:outlineLvl w:val="2"/>
        <w:rPr>
          <w:rFonts w:ascii="Times New Roman" w:hAnsi="Times New Roman" w:eastAsia="仿宋_GB2312"/>
          <w:b/>
          <w:color w:val="auto"/>
          <w:sz w:val="32"/>
          <w:szCs w:val="21"/>
        </w:rPr>
      </w:pPr>
      <w:bookmarkStart w:id="152" w:name="_Toc28902"/>
      <w:bookmarkStart w:id="153" w:name="_Toc184"/>
      <w:bookmarkStart w:id="154" w:name="_Toc26924"/>
      <w:r>
        <w:rPr>
          <w:rFonts w:hint="eastAsia" w:ascii="Times New Roman" w:hAnsi="Times New Roman" w:eastAsia="仿宋_GB2312"/>
          <w:b/>
          <w:color w:val="auto"/>
          <w:sz w:val="32"/>
          <w:szCs w:val="21"/>
        </w:rPr>
        <w:t>（</w:t>
      </w:r>
      <w:r>
        <w:rPr>
          <w:rFonts w:hint="eastAsia" w:eastAsia="仿宋_GB2312" w:cs="Calibri"/>
          <w:b/>
          <w:color w:val="auto"/>
          <w:sz w:val="32"/>
          <w:szCs w:val="21"/>
          <w:lang w:val="en-US" w:eastAsia="zh-CN"/>
        </w:rPr>
        <w:t>八</w:t>
      </w:r>
      <w:r>
        <w:rPr>
          <w:rFonts w:hint="eastAsia" w:ascii="Times New Roman" w:hAnsi="Times New Roman" w:eastAsia="仿宋_GB2312"/>
          <w:b/>
          <w:color w:val="auto"/>
          <w:sz w:val="32"/>
          <w:szCs w:val="21"/>
        </w:rPr>
        <w:t>）加强生态环境风险防范</w:t>
      </w:r>
      <w:bookmarkEnd w:id="152"/>
      <w:bookmarkEnd w:id="153"/>
      <w:bookmarkEnd w:id="154"/>
    </w:p>
    <w:p>
      <w:pPr>
        <w:spacing w:line="360" w:lineRule="auto"/>
        <w:ind w:firstLine="602" w:firstLineChars="200"/>
        <w:rPr>
          <w:rFonts w:ascii="Times New Roman" w:hAnsi="Times New Roman" w:eastAsia="楷体"/>
          <w:b/>
          <w:bCs/>
          <w:color w:val="auto"/>
          <w:kern w:val="0"/>
          <w:sz w:val="30"/>
          <w:szCs w:val="30"/>
        </w:rPr>
      </w:pPr>
      <w:r>
        <w:rPr>
          <w:rFonts w:hint="eastAsia" w:ascii="Times New Roman" w:hAnsi="Times New Roman" w:eastAsia="楷体"/>
          <w:b/>
          <w:bCs/>
          <w:color w:val="auto"/>
          <w:kern w:val="0"/>
          <w:sz w:val="30"/>
          <w:szCs w:val="30"/>
        </w:rPr>
        <w:t>1.</w:t>
      </w:r>
      <w:r>
        <w:rPr>
          <w:rFonts w:ascii="Times New Roman" w:hAnsi="Times New Roman" w:eastAsia="楷体"/>
          <w:b/>
          <w:bCs/>
          <w:color w:val="auto"/>
          <w:kern w:val="0"/>
          <w:sz w:val="30"/>
          <w:szCs w:val="30"/>
        </w:rPr>
        <w:t>提升全域固体废物资源化利用水平</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积极探索固体废物源头减量化措施。</w:t>
      </w:r>
      <w:r>
        <w:rPr>
          <w:rFonts w:ascii="Times New Roman" w:hAnsi="Times New Roman" w:eastAsia="仿宋_GB2312"/>
          <w:bCs/>
          <w:color w:val="auto"/>
          <w:kern w:val="0"/>
          <w:sz w:val="30"/>
          <w:szCs w:val="30"/>
        </w:rPr>
        <w:t>深化</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无废城市</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建设，制定无废商圈、无废饭店、无废公园、无废景区、无废学校、无废机关等创建标准，引导公众在衣食住行等方面践行简约适度、绿色低碳的生活方式。落实关于进一步加强塑料污染治理的意见，推广使用可循环利用物品，扩大可降解塑料产品的应用范围。全面推进快递包装绿色治理，推动同城快递环境友好型包装材料全面运用。率先落实垃圾分类要求，推动资源化利用。以清洁生产、循环再生和污染控制为基本方式，实现对普通工业垃圾总量的控制。引导企业持续发展、使用低毒低害和无毒无害原料，采用先进的生产工艺和设备，减少工业固体废弃物产生量，降低工业固体废弃物的危害性。</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全面推进固体废物回收转运体系建设。</w:t>
      </w:r>
      <w:r>
        <w:rPr>
          <w:rFonts w:ascii="Times New Roman" w:hAnsi="Times New Roman" w:eastAsia="仿宋_GB2312"/>
          <w:bCs/>
          <w:color w:val="auto"/>
          <w:kern w:val="0"/>
          <w:sz w:val="30"/>
          <w:szCs w:val="30"/>
        </w:rPr>
        <w:t>严格落实《荣成市城镇生活垃圾分类实施方案》要求，全面实现生活垃圾全面分类管理，完善生活垃圾设施建设，细化生活垃圾分类投放、收集环节，健全生活垃圾分类运输、处置体系，原生垃圾实现趋零填埋。逐步推行生活垃圾处理收费制度。针对农贸市场、海鲜市场产生的有机易腐垃圾等废弃物配置符合标准的易腐垃圾就近就地处置设备，实现源头分类分流处理。全面开展餐厨垃圾单独收集、统一收运，加快餐厨垃圾资源化、减量化处置工程建设和升级改造。进一步完善废弃产品逆向回收体系，加强新能源汽车废旧电池等回收与再利用，鼓励生产或经营企业建立废铅酸蓄电池、废弃荧光灯、废镍镉电池等回收网络，支持分类回收处理，逐步健全机动车拆解维修、检测实验室、船舶废油等行业危险废物的收集体系，保障废弃电器电子产品及时转运、安全处置。</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强化工业固体废物综合利用处置能力建设。</w:t>
      </w:r>
      <w:r>
        <w:rPr>
          <w:rFonts w:ascii="Times New Roman" w:hAnsi="Times New Roman" w:eastAsia="仿宋_GB2312"/>
          <w:bCs/>
          <w:color w:val="auto"/>
          <w:kern w:val="0"/>
          <w:sz w:val="30"/>
          <w:szCs w:val="30"/>
        </w:rPr>
        <w:t>加强固体废物产销平衡，建立管理台账，推行固废转移联单制度。完善贮存场所，切实推动贮存固体废物的处置，防范环境风险。发挥政府引导作用，鼓励多产业协同利用，发展生态工业链或生态产业园区，共享资源、互换副产品形成产品共生组合；大力发展绿色消费市场和资源回收产业，提高废旧塑料、建筑垃圾等综合利用水平。鼓励和引导企业制定工业固废循环利用或减量计划，建立台账，推进绿色生产。</w:t>
      </w:r>
    </w:p>
    <w:p>
      <w:pPr>
        <w:numPr>
          <w:ilvl w:val="0"/>
          <w:numId w:val="0"/>
        </w:numPr>
        <w:spacing w:line="360" w:lineRule="auto"/>
        <w:ind w:firstLine="602" w:firstLineChars="200"/>
        <w:rPr>
          <w:rFonts w:ascii="Times New Roman" w:hAnsi="Times New Roman" w:eastAsia="楷体"/>
          <w:b/>
          <w:bCs/>
          <w:color w:val="auto"/>
          <w:kern w:val="0"/>
          <w:sz w:val="30"/>
          <w:szCs w:val="30"/>
        </w:rPr>
      </w:pPr>
      <w:r>
        <w:rPr>
          <w:rFonts w:hint="eastAsia" w:ascii="Times New Roman" w:hAnsi="Times New Roman" w:eastAsia="楷体"/>
          <w:b/>
          <w:bCs/>
          <w:color w:val="auto"/>
          <w:kern w:val="0"/>
          <w:sz w:val="30"/>
          <w:szCs w:val="30"/>
          <w:lang w:val="en-US" w:eastAsia="zh-CN"/>
        </w:rPr>
        <w:t>2.</w:t>
      </w:r>
      <w:r>
        <w:rPr>
          <w:rFonts w:ascii="Times New Roman" w:hAnsi="Times New Roman" w:eastAsia="楷体"/>
          <w:b/>
          <w:bCs/>
          <w:color w:val="auto"/>
          <w:kern w:val="0"/>
          <w:sz w:val="30"/>
          <w:szCs w:val="30"/>
        </w:rPr>
        <w:t>推进海洋废弃物回收处置</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多方合力，强化海洋废弃物管理水平；建立渔业废弃物管理制度，摸清渔业废弃物底数，创建管理台账；减少高热值渔业固体废弃物焚烧处置，促进鱼竿等渔业废弃物回收利用。</w:t>
      </w:r>
      <w:r>
        <w:rPr>
          <w:rFonts w:hint="eastAsia" w:ascii="Times New Roman" w:hAnsi="Times New Roman" w:eastAsia="仿宋_GB2312"/>
          <w:bCs/>
          <w:color w:val="auto"/>
          <w:kern w:val="0"/>
          <w:sz w:val="30"/>
          <w:szCs w:val="30"/>
        </w:rPr>
        <w:t>鼓励以牡蛎壳为原料的研发及深加工，重点支持贝壳回收利用项目，将牡蛎壳处理成为功能性土壤调理剂，作为生物钙肥改善土壤健康状况。</w:t>
      </w:r>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lang w:val="en-US" w:eastAsia="zh-CN"/>
        </w:rPr>
        <w:t>3.</w:t>
      </w:r>
      <w:r>
        <w:rPr>
          <w:rFonts w:ascii="Times New Roman" w:hAnsi="Times New Roman" w:eastAsia="楷体"/>
          <w:b/>
          <w:bCs/>
          <w:color w:val="auto"/>
          <w:kern w:val="0"/>
          <w:sz w:val="30"/>
          <w:szCs w:val="30"/>
        </w:rPr>
        <w:t>提升危险废物处置全过程监管能力</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构建危险废物全过程闭环管理平台，加强危险废物闭环管理，提升危险废物风险防控水平，强化日常监管、加大执法力度。规范企业行为，提升涉危险废物企业管理水平，保证危险废物安全处置。同时借助管理平台进一步规范医疗废物转移计划申报审批。进一步压实危险废物管理部门责任，推动与交通主管部门危险货物运输管理系统信息互通、数据共享，开展定期会议，加强跨部门、跨区域联合执法，形成合力打击固体废物环境违法犯罪行为的高压态势。保障医疗废物安全处置。持续开展医疗机构医疗废物专项整治行动，依法查处违法行为，曝光违法医疗机构。持续做好常态化疫情防控下医疗废物环境管理工作，及时、有序、高效、无害化处置医疗废物，持续推进完善医疗废物处置联防联控机制，确保医疗废物全链条闭环安全处置。</w:t>
      </w:r>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lang w:val="en-US" w:eastAsia="zh-CN"/>
        </w:rPr>
        <w:t>4.</w:t>
      </w:r>
      <w:r>
        <w:rPr>
          <w:rFonts w:ascii="Times New Roman" w:hAnsi="Times New Roman" w:eastAsia="楷体"/>
          <w:b/>
          <w:bCs/>
          <w:color w:val="auto"/>
          <w:kern w:val="0"/>
          <w:sz w:val="30"/>
          <w:szCs w:val="30"/>
        </w:rPr>
        <w:t>提高</w:t>
      </w:r>
      <w:r>
        <w:rPr>
          <w:rFonts w:hint="eastAsia" w:ascii="Times New Roman" w:hAnsi="Times New Roman" w:eastAsia="楷体"/>
          <w:b/>
          <w:bCs/>
          <w:color w:val="auto"/>
          <w:kern w:val="0"/>
          <w:sz w:val="30"/>
          <w:szCs w:val="30"/>
        </w:rPr>
        <w:t>核</w:t>
      </w:r>
      <w:r>
        <w:rPr>
          <w:rFonts w:ascii="Times New Roman" w:hAnsi="Times New Roman" w:eastAsia="楷体"/>
          <w:b/>
          <w:bCs/>
          <w:color w:val="auto"/>
          <w:kern w:val="0"/>
          <w:sz w:val="30"/>
          <w:szCs w:val="30"/>
        </w:rPr>
        <w:t>与辐射安全监管水平</w:t>
      </w:r>
    </w:p>
    <w:p>
      <w:pPr>
        <w:spacing w:line="360" w:lineRule="auto"/>
        <w:ind w:firstLine="600" w:firstLineChars="200"/>
        <w:rPr>
          <w:rFonts w:hint="eastAsia" w:ascii="Times New Roman" w:hAnsi="Times New Roman" w:eastAsia="仿宋_GB2312"/>
          <w:b/>
          <w:color w:val="auto"/>
          <w:kern w:val="0"/>
          <w:sz w:val="30"/>
          <w:szCs w:val="30"/>
        </w:rPr>
      </w:pPr>
      <w:r>
        <w:rPr>
          <w:rFonts w:hint="eastAsia" w:ascii="楷体_GB2312" w:hAnsi="楷体_GB2312" w:eastAsia="楷体_GB2312" w:cs="楷体_GB2312"/>
          <w:b w:val="0"/>
          <w:bCs w:val="0"/>
          <w:color w:val="auto"/>
          <w:kern w:val="0"/>
          <w:sz w:val="30"/>
          <w:szCs w:val="30"/>
          <w:lang w:val="zh-CN"/>
        </w:rPr>
        <w:t>提升核与辐射环境监测能力。</w:t>
      </w:r>
      <w:r>
        <w:rPr>
          <w:rFonts w:hint="eastAsia" w:ascii="Times New Roman" w:hAnsi="Times New Roman" w:eastAsia="仿宋_GB2312"/>
          <w:bCs/>
          <w:color w:val="auto"/>
          <w:kern w:val="0"/>
          <w:sz w:val="30"/>
          <w:szCs w:val="30"/>
        </w:rPr>
        <w:t>配合推进石岛湾核电厂监督性监测系统信息化建设，提升核电厂周围环境及流出物监督性监测能力。做好通信基站辐射环境监测及信息公开工作。严格落实放射性同位素与射线装置分类管理制度，加强辐照、探伤等高风险活动辐射安全监管，强化放射源运输、使用过程监管，做好高风险放射源实时监控系统运行维护。配合开展辐射安全隐患排查三年行动，完成核技术利用单位隐患排查。开展风险指引型核与辐射安全监督检查，加强现场监督监管能力。</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健全核与辐射安全监管机制。</w:t>
      </w:r>
      <w:r>
        <w:rPr>
          <w:rFonts w:hint="eastAsia" w:ascii="Times New Roman" w:hAnsi="Times New Roman" w:eastAsia="仿宋_GB2312"/>
          <w:bCs/>
          <w:color w:val="auto"/>
          <w:kern w:val="0"/>
          <w:sz w:val="30"/>
          <w:szCs w:val="30"/>
        </w:rPr>
        <w:t>健全核安全工作协调机制，完善跨部门会商、情报信息共享、风险预防评估和预警、危机管控、审查监管等制度。落实核与辐射安全监管责任，强化核与辐射应急、辐射安全管理、辐射环境监测等能力，保障核技术利用安全。完善辐射安全培训制度，完成辐射防护安全监督员轮训，对核技术利用领域辐射工作人员依法组织开展辐射安全与防护知识考核。落实辐射安全许可制度，实现放射源与射线装置全周期监管。</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完善核与辐射应急响应体系。</w:t>
      </w:r>
      <w:r>
        <w:rPr>
          <w:rFonts w:hint="eastAsia" w:ascii="Times New Roman" w:hAnsi="Times New Roman" w:eastAsia="仿宋_GB2312"/>
          <w:bCs/>
          <w:color w:val="auto"/>
          <w:kern w:val="0"/>
          <w:sz w:val="30"/>
          <w:szCs w:val="30"/>
        </w:rPr>
        <w:t>修订辐射应急预案和配套执行程序，完善应急预案体系及组织职责。完善核与辐射应急物资储备，加强对辐射应急物资的统一监督管理。定期开展应急演练，提升核与辐射事故应急演练实战化水平。</w:t>
      </w:r>
    </w:p>
    <w:p>
      <w:pPr>
        <w:numPr>
          <w:ilvl w:val="0"/>
          <w:numId w:val="0"/>
        </w:numPr>
        <w:spacing w:line="360" w:lineRule="auto"/>
        <w:ind w:firstLine="602" w:firstLineChars="200"/>
        <w:rPr>
          <w:rFonts w:ascii="Times New Roman" w:hAnsi="Times New Roman" w:eastAsia="仿宋_GB2312"/>
          <w:b/>
          <w:bCs/>
          <w:color w:val="auto"/>
          <w:kern w:val="0"/>
          <w:sz w:val="30"/>
          <w:szCs w:val="30"/>
        </w:rPr>
      </w:pPr>
      <w:r>
        <w:rPr>
          <w:rFonts w:hint="eastAsia" w:ascii="Times New Roman" w:hAnsi="Times New Roman" w:eastAsia="楷体"/>
          <w:b/>
          <w:bCs/>
          <w:color w:val="auto"/>
          <w:kern w:val="0"/>
          <w:sz w:val="30"/>
          <w:szCs w:val="30"/>
          <w:lang w:val="en-US" w:eastAsia="zh-CN"/>
        </w:rPr>
        <w:t>5.</w:t>
      </w:r>
      <w:r>
        <w:rPr>
          <w:rFonts w:ascii="Times New Roman" w:hAnsi="Times New Roman" w:eastAsia="楷体"/>
          <w:b/>
          <w:bCs/>
          <w:color w:val="auto"/>
          <w:kern w:val="0"/>
          <w:sz w:val="30"/>
          <w:szCs w:val="30"/>
        </w:rPr>
        <w:t>完善环境风险防范体系</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加强环境风险评估和源头防控。</w:t>
      </w:r>
      <w:r>
        <w:rPr>
          <w:rFonts w:ascii="Times New Roman" w:hAnsi="Times New Roman" w:eastAsia="仿宋_GB2312"/>
          <w:bCs/>
          <w:color w:val="auto"/>
          <w:kern w:val="0"/>
          <w:sz w:val="30"/>
          <w:szCs w:val="30"/>
        </w:rPr>
        <w:t>完善企业突发环境事件风险评估制度，以核与辐射、重金属、危险化学品、尾矿库、危险废物和持久性有机污染物为重点，开展环境风险排查。健全突发环境事件应急管理体系，完善由应急队伍、应急处置技术体系、应急装备、应急预案、应急演习、应急专家、污染事故后评估、警示教育等要素组成的环境安全体系。</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完善环境风险防范体系。</w:t>
      </w:r>
      <w:r>
        <w:rPr>
          <w:rFonts w:ascii="Times New Roman" w:hAnsi="Times New Roman" w:eastAsia="仿宋_GB2312"/>
          <w:bCs/>
          <w:color w:val="auto"/>
          <w:kern w:val="0"/>
          <w:sz w:val="30"/>
          <w:szCs w:val="30"/>
        </w:rPr>
        <w:t>强化区域开发和项目建设的环境风险评价，加强环境安全隐患排查和整治，构建</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企业主体责任、环保部门监管责任</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的环境风险源安全管理长效机制。加强涉及重金属、</w:t>
      </w:r>
      <w:r>
        <w:rPr>
          <w:rFonts w:hint="eastAsia" w:ascii="Times New Roman" w:hAnsi="Times New Roman" w:eastAsia="仿宋_GB2312"/>
          <w:bCs/>
          <w:color w:val="auto"/>
          <w:kern w:val="0"/>
          <w:sz w:val="30"/>
          <w:szCs w:val="30"/>
        </w:rPr>
        <w:t>危险</w:t>
      </w:r>
      <w:r>
        <w:rPr>
          <w:rFonts w:ascii="Times New Roman" w:hAnsi="Times New Roman" w:eastAsia="仿宋_GB2312"/>
          <w:bCs/>
          <w:color w:val="auto"/>
          <w:kern w:val="0"/>
          <w:sz w:val="30"/>
          <w:szCs w:val="30"/>
        </w:rPr>
        <w:t>化学品、危险废物、持久性有机污染物、放射性废物等相关行业的全过程环境风险监管</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建立健全环境风险防范和应急管理体制。开展重点行业环境与健康调查，建立风险监测网络及风险评估体系。完善环境应急处置体系。建立健全海洋环境风险应急处置体系，切实提高油品和危险化学品</w:t>
      </w:r>
      <w:r>
        <w:rPr>
          <w:rFonts w:hint="eastAsia" w:ascii="Times New Roman" w:hAnsi="Times New Roman" w:eastAsia="仿宋_GB2312"/>
          <w:bCs/>
          <w:color w:val="auto"/>
          <w:kern w:val="0"/>
          <w:sz w:val="30"/>
          <w:szCs w:val="30"/>
        </w:rPr>
        <w:t>泄漏事故</w:t>
      </w:r>
      <w:r>
        <w:rPr>
          <w:rFonts w:ascii="Times New Roman" w:hAnsi="Times New Roman" w:eastAsia="仿宋_GB2312"/>
          <w:bCs/>
          <w:color w:val="auto"/>
          <w:kern w:val="0"/>
          <w:sz w:val="30"/>
          <w:szCs w:val="30"/>
        </w:rPr>
        <w:t>应急处置能力。积极开展应急管理培训，有效提升防范应对突发环境事件能力。</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155" w:name="_Toc3830"/>
      <w:bookmarkStart w:id="156" w:name="_Toc31558"/>
      <w:bookmarkStart w:id="157" w:name="_Toc6283"/>
      <w:bookmarkStart w:id="158" w:name="_Toc8681"/>
      <w:r>
        <w:rPr>
          <w:rFonts w:hint="eastAsia" w:ascii="Times New Roman" w:hAnsi="Times New Roman" w:eastAsia="楷体"/>
          <w:b/>
          <w:bCs/>
          <w:color w:val="auto"/>
          <w:sz w:val="36"/>
          <w:szCs w:val="36"/>
        </w:rPr>
        <w:t>第十一条</w:t>
      </w:r>
      <w:r>
        <w:rPr>
          <w:rFonts w:hint="eastAsia" w:ascii="Times New Roman" w:hAnsi="Times New Roman" w:eastAsia="楷体"/>
          <w:b/>
          <w:bCs/>
          <w:color w:val="auto"/>
          <w:sz w:val="36"/>
          <w:szCs w:val="36"/>
          <w:lang w:val="en-US" w:eastAsia="zh-CN"/>
        </w:rPr>
        <w:t xml:space="preserve">  优化</w:t>
      </w:r>
      <w:r>
        <w:rPr>
          <w:rFonts w:hint="eastAsia" w:ascii="Times New Roman" w:hAnsi="Times New Roman" w:eastAsia="楷体"/>
          <w:b/>
          <w:bCs/>
          <w:color w:val="auto"/>
          <w:sz w:val="36"/>
          <w:szCs w:val="36"/>
        </w:rPr>
        <w:t>生态空间</w:t>
      </w:r>
      <w:bookmarkEnd w:id="155"/>
      <w:bookmarkEnd w:id="156"/>
      <w:bookmarkEnd w:id="157"/>
      <w:bookmarkEnd w:id="158"/>
    </w:p>
    <w:p>
      <w:pPr>
        <w:spacing w:line="360" w:lineRule="auto"/>
        <w:ind w:firstLine="643" w:firstLineChars="200"/>
        <w:outlineLvl w:val="2"/>
        <w:rPr>
          <w:rFonts w:ascii="Times New Roman" w:hAnsi="Times New Roman" w:eastAsia="仿宋_GB2312"/>
          <w:b/>
          <w:color w:val="auto"/>
          <w:sz w:val="32"/>
          <w:szCs w:val="21"/>
        </w:rPr>
      </w:pPr>
      <w:bookmarkStart w:id="159" w:name="_Toc31210"/>
      <w:bookmarkStart w:id="160" w:name="_Toc2602"/>
      <w:bookmarkStart w:id="161" w:name="_Toc30436"/>
      <w:r>
        <w:rPr>
          <w:rFonts w:hint="eastAsia" w:ascii="Times New Roman" w:hAnsi="Times New Roman" w:eastAsia="仿宋_GB2312"/>
          <w:b/>
          <w:color w:val="auto"/>
          <w:sz w:val="32"/>
          <w:szCs w:val="21"/>
        </w:rPr>
        <w:t>（一）严格管控生态空间</w:t>
      </w:r>
      <w:bookmarkEnd w:id="159"/>
      <w:bookmarkEnd w:id="160"/>
      <w:bookmarkEnd w:id="161"/>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强化国土空间规划和用途管控。</w:t>
      </w:r>
      <w:r>
        <w:rPr>
          <w:rFonts w:ascii="Times New Roman" w:hAnsi="Times New Roman" w:eastAsia="仿宋_GB2312"/>
          <w:bCs/>
          <w:color w:val="auto"/>
          <w:kern w:val="0"/>
          <w:sz w:val="30"/>
          <w:szCs w:val="30"/>
        </w:rPr>
        <w:t>把城镇、农业、生态空间和生态保护红线、永久基本农田保护红线、城镇开发边界作为调整经济结构、规划产业发展、推进城镇化不可逾越的红线，倒逼经济社会转型发展。统筹生产、生活、生态空间，严格保护城市化地区的基本农田和生态空间。要严格划定城镇开发边界，防止城镇建设随意侵占耕地和生态用地；加强韧性城市建设，实施</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战略留白</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，增加开敞空间，增强城市抵御风险灾害的能力。</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严守生态保护红线。</w:t>
      </w:r>
      <w:r>
        <w:rPr>
          <w:rFonts w:ascii="Times New Roman" w:hAnsi="Times New Roman" w:eastAsia="仿宋_GB2312"/>
          <w:bCs/>
          <w:color w:val="auto"/>
          <w:kern w:val="0"/>
          <w:sz w:val="30"/>
          <w:szCs w:val="30"/>
        </w:rPr>
        <w:t>划定落实生态保护红线、永久基本农田、城镇开发边界以及各类海域保护线，严守自然生态安全边界。坚持生态优先、区域统筹、分级分类、协同共治的原则，与生态保护红线制度和自然资源管理体制改革要求相衔接，严格控制各类开发利用活动对生态空间的占用和扰动。加强生态保护红线管控，生态保护红线原则上按照禁止开发区域的要求进行管理，严禁不符合主体功能定位的各类开发活动，应保证生态功能的系统性和完整性，生态保护红线以外的生态空间原则上按照限制开发区域的要求进行管理，根据主导生态功能定位实施分类管控，以保护为主，严格限制区域开发强度。完善生态保护红线监督管理制度，厘清各部门自然生态资源监督管理职责。建立生态保护红线常态化执法机制，定期执法检查。</w:t>
      </w:r>
    </w:p>
    <w:p>
      <w:pPr>
        <w:spacing w:line="360" w:lineRule="auto"/>
        <w:ind w:firstLine="600" w:firstLineChars="200"/>
        <w:rPr>
          <w:rFonts w:ascii="Times New Roman" w:hAnsi="Times New Roman" w:eastAsia="仿宋_GB2312"/>
          <w:bCs/>
          <w:color w:val="auto"/>
          <w:kern w:val="0"/>
          <w:sz w:val="30"/>
          <w:szCs w:val="30"/>
          <w:highlight w:val="yellow"/>
        </w:rPr>
      </w:pPr>
      <w:r>
        <w:rPr>
          <w:rFonts w:hint="eastAsia" w:ascii="楷体_GB2312" w:hAnsi="楷体_GB2312" w:eastAsia="楷体_GB2312" w:cs="楷体_GB2312"/>
          <w:b w:val="0"/>
          <w:bCs w:val="0"/>
          <w:color w:val="auto"/>
          <w:kern w:val="0"/>
          <w:sz w:val="30"/>
          <w:szCs w:val="30"/>
          <w:lang w:val="zh-CN"/>
        </w:rPr>
        <w:t>完善“三线一单”分区管控。</w:t>
      </w:r>
      <w:r>
        <w:rPr>
          <w:rFonts w:ascii="Times New Roman" w:hAnsi="Times New Roman" w:eastAsia="仿宋_GB2312"/>
          <w:bCs/>
          <w:color w:val="auto"/>
          <w:kern w:val="0"/>
          <w:sz w:val="30"/>
          <w:szCs w:val="30"/>
        </w:rPr>
        <w:t>严格按照《威海市</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三线一单</w:t>
      </w:r>
      <w:r>
        <w:rPr>
          <w:rFonts w:hint="eastAsia" w:ascii="Times New Roman" w:hAnsi="Times New Roman" w:eastAsia="仿宋_GB2312"/>
          <w:bCs/>
          <w:color w:val="auto"/>
          <w:kern w:val="0"/>
          <w:sz w:val="30"/>
          <w:szCs w:val="30"/>
        </w:rPr>
        <w:t>”</w:t>
      </w:r>
      <w:r>
        <w:rPr>
          <w:rFonts w:hint="eastAsia" w:ascii="Times New Roman" w:hAnsi="Times New Roman" w:eastAsia="仿宋_GB2312"/>
          <w:bCs/>
          <w:color w:val="auto"/>
          <w:kern w:val="0"/>
          <w:sz w:val="30"/>
          <w:szCs w:val="30"/>
          <w:lang w:val="en-US" w:eastAsia="zh-CN"/>
        </w:rPr>
        <w:t>生态环境分区管控方案</w:t>
      </w:r>
      <w:r>
        <w:rPr>
          <w:rFonts w:ascii="Times New Roman" w:hAnsi="Times New Roman" w:eastAsia="仿宋_GB2312"/>
          <w:bCs/>
          <w:color w:val="auto"/>
          <w:kern w:val="0"/>
          <w:sz w:val="30"/>
          <w:szCs w:val="30"/>
        </w:rPr>
        <w:t>》划定结果，对荣成市10个优先保护单元、6个重点管控单元、11个一般管控单元，实施差异化、精细化的生态环境管控。在优先保护单元，以生态环境保护为主，优先开展生态保护修复活动，恢复生态系统服务功能；在重点管控单元，应优化空间布局，有针对性地加强污染物排放控制和环境风险防控，解决生态环境质量不达标、生态环境风险高的问题，不断提升资源利用效率；一般管控单元应落实生态环境保护的相关要求。建立与国土空间规划、行业发展规划的衔接机制。建立覆盖全域的生态环境准入管理制度，政策制定、区域产业布局、结构调整、资源开发、城镇和产业园区建设、重大项目选址应将生态环境准入要求作为重要依据。</w:t>
      </w:r>
    </w:p>
    <w:p>
      <w:pPr>
        <w:spacing w:line="360" w:lineRule="auto"/>
        <w:ind w:firstLine="643" w:firstLineChars="200"/>
        <w:outlineLvl w:val="2"/>
        <w:rPr>
          <w:rFonts w:ascii="Times New Roman" w:hAnsi="Times New Roman" w:eastAsia="仿宋_GB2312"/>
          <w:b/>
          <w:color w:val="auto"/>
          <w:sz w:val="32"/>
          <w:szCs w:val="21"/>
        </w:rPr>
      </w:pPr>
      <w:bookmarkStart w:id="162" w:name="_Toc8402"/>
      <w:bookmarkStart w:id="163" w:name="_Toc18919"/>
      <w:bookmarkStart w:id="164" w:name="_Toc9176"/>
      <w:r>
        <w:rPr>
          <w:rFonts w:hint="eastAsia" w:ascii="Times New Roman" w:hAnsi="Times New Roman" w:eastAsia="仿宋_GB2312"/>
          <w:b/>
          <w:color w:val="auto"/>
          <w:sz w:val="32"/>
          <w:szCs w:val="21"/>
        </w:rPr>
        <w:t>（二）建立自然保护地体系</w:t>
      </w:r>
      <w:bookmarkEnd w:id="162"/>
      <w:bookmarkEnd w:id="163"/>
      <w:bookmarkEnd w:id="164"/>
    </w:p>
    <w:p>
      <w:pPr>
        <w:spacing w:line="360" w:lineRule="auto"/>
        <w:ind w:firstLine="600" w:firstLineChars="200"/>
        <w:rPr>
          <w:rFonts w:ascii="Times New Roman" w:hAnsi="Times New Roman" w:eastAsia="仿宋_GB2312"/>
          <w:bCs/>
          <w:color w:val="auto"/>
          <w:kern w:val="0"/>
          <w:sz w:val="30"/>
          <w:szCs w:val="30"/>
        </w:rPr>
      </w:pPr>
      <w:bookmarkStart w:id="165" w:name="_Toc11366"/>
      <w:r>
        <w:rPr>
          <w:rFonts w:hint="eastAsia" w:ascii="Times New Roman" w:hAnsi="Times New Roman" w:eastAsia="仿宋_GB2312"/>
          <w:bCs/>
          <w:color w:val="auto"/>
          <w:kern w:val="0"/>
          <w:sz w:val="30"/>
          <w:szCs w:val="30"/>
        </w:rPr>
        <w:t>坚持“自然优先、保护生态”的基本原则，稳步推进自然保护地整合优化工作，构建统一的自然保护地分类分级管理体制。伟德山国家森林公园更名为伟德山国家森林自然公园，设立伟德山国家森林自然公园管理服务中心。将槎山国家森林公园与槎山省级地质公园合并为槎山地方级地质自然公园，设立槎山地方级地质自然公园管理服务中心。将大天鹅国家级自然保护区与八河港省级湿地公园合并为大天鹅国家级自然保护区，设立荣成大天鹅国家级自然保护区管理服务中心</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保留成山头省级自然保护区，设立荣成成山头省级自然保护区管理服务中心</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对各类自然保护地经营范围、功能分区进行优化调整</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加上不参与整合优化，自成体系的成山头、赤山、圣水观三处风景名胜区，初步构建独具荣成特色的自然保护地体系。2023年底前，完成保护地勘界立标、确权登记、总体规划编制，实现一个保护地、一个牌子、一套机构。建立健全差异化自然保护地监管和准入制度。</w:t>
      </w:r>
    </w:p>
    <w:p>
      <w:pPr>
        <w:spacing w:line="360" w:lineRule="auto"/>
        <w:ind w:firstLine="643" w:firstLineChars="200"/>
        <w:outlineLvl w:val="2"/>
        <w:rPr>
          <w:rFonts w:ascii="Times New Roman" w:hAnsi="Times New Roman" w:eastAsia="仿宋_GB2312"/>
          <w:b/>
          <w:color w:val="auto"/>
          <w:sz w:val="32"/>
          <w:szCs w:val="21"/>
        </w:rPr>
      </w:pPr>
      <w:bookmarkStart w:id="166" w:name="_Toc32170"/>
      <w:bookmarkStart w:id="167" w:name="_Toc3903"/>
      <w:r>
        <w:rPr>
          <w:rFonts w:hint="eastAsia" w:ascii="Times New Roman" w:hAnsi="Times New Roman" w:eastAsia="仿宋_GB2312"/>
          <w:b/>
          <w:color w:val="auto"/>
          <w:sz w:val="32"/>
          <w:szCs w:val="21"/>
        </w:rPr>
        <w:t>（三）优化国土空间布局</w:t>
      </w:r>
      <w:bookmarkEnd w:id="165"/>
      <w:bookmarkEnd w:id="166"/>
      <w:bookmarkEnd w:id="167"/>
    </w:p>
    <w:p>
      <w:pPr>
        <w:spacing w:line="360" w:lineRule="auto"/>
        <w:ind w:firstLine="600" w:firstLineChars="200"/>
        <w:rPr>
          <w:rFonts w:ascii="Times New Roman" w:hAnsi="Times New Roman" w:eastAsia="仿宋_GB2312"/>
          <w:bCs/>
          <w:color w:val="auto"/>
          <w:kern w:val="0"/>
          <w:sz w:val="30"/>
          <w:szCs w:val="30"/>
        </w:rPr>
      </w:pPr>
      <w:bookmarkStart w:id="168" w:name="_Toc21075"/>
      <w:r>
        <w:rPr>
          <w:rFonts w:ascii="Times New Roman" w:hAnsi="Times New Roman" w:eastAsia="仿宋_GB2312"/>
          <w:bCs/>
          <w:color w:val="auto"/>
          <w:kern w:val="0"/>
          <w:sz w:val="30"/>
          <w:szCs w:val="30"/>
        </w:rPr>
        <w:t>遵循荣成</w:t>
      </w:r>
      <w:r>
        <w:rPr>
          <w:rFonts w:hint="eastAsia" w:ascii="Times New Roman" w:hAnsi="Times New Roman" w:eastAsia="仿宋_GB2312"/>
          <w:bCs/>
          <w:color w:val="auto"/>
          <w:kern w:val="0"/>
          <w:sz w:val="30"/>
          <w:szCs w:val="30"/>
        </w:rPr>
        <w:t>市</w:t>
      </w:r>
      <w:r>
        <w:rPr>
          <w:rFonts w:ascii="Times New Roman" w:hAnsi="Times New Roman" w:eastAsia="仿宋_GB2312"/>
          <w:bCs/>
          <w:color w:val="auto"/>
          <w:kern w:val="0"/>
          <w:sz w:val="30"/>
          <w:szCs w:val="30"/>
        </w:rPr>
        <w:t>国土空间基底和发展规律，统筹生产、生活、生态空间，构建形成</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一主两翼、三廊多点、七园四片、环海多湾</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的市域国土空间开发保护基本格局。</w:t>
      </w:r>
      <w:r>
        <w:rPr>
          <w:rFonts w:hint="eastAsia" w:ascii="Times New Roman" w:hAnsi="Times New Roman" w:eastAsia="仿宋_GB2312"/>
          <w:bCs/>
          <w:color w:val="auto"/>
          <w:kern w:val="0"/>
          <w:sz w:val="30"/>
          <w:szCs w:val="30"/>
        </w:rPr>
        <w:t>建立全域生态保护框架。</w:t>
      </w:r>
      <w:r>
        <w:rPr>
          <w:rFonts w:ascii="Times New Roman" w:hAnsi="Times New Roman" w:eastAsia="仿宋_GB2312"/>
          <w:bCs/>
          <w:color w:val="auto"/>
          <w:kern w:val="0"/>
          <w:sz w:val="30"/>
          <w:szCs w:val="30"/>
        </w:rPr>
        <w:t>落实生态优先，以山脉、水系为骨干，以农田林网为基本要素，严格保护山体、河流、湖泊、湿地、森林、农田等自然山水生态本底，形成</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一带多廊生态成，四库多水点相融</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的全域生态保护框架，统筹管控全域</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山水林岛、河湖海湾</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等多元自然与生态资源，保障城市可持续和魅力发展。</w:t>
      </w:r>
    </w:p>
    <w:p>
      <w:pPr>
        <w:spacing w:line="360" w:lineRule="auto"/>
        <w:ind w:firstLine="643" w:firstLineChars="200"/>
        <w:outlineLvl w:val="2"/>
        <w:rPr>
          <w:rFonts w:hint="eastAsia" w:ascii="Times New Roman" w:hAnsi="Times New Roman" w:eastAsia="仿宋_GB2312"/>
          <w:b/>
          <w:color w:val="auto"/>
          <w:sz w:val="32"/>
          <w:szCs w:val="21"/>
        </w:rPr>
      </w:pPr>
      <w:bookmarkStart w:id="169" w:name="_Toc24851"/>
      <w:r>
        <w:rPr>
          <w:rFonts w:hint="eastAsia" w:ascii="Times New Roman" w:hAnsi="Times New Roman" w:eastAsia="仿宋_GB2312"/>
          <w:b/>
          <w:color w:val="auto"/>
          <w:sz w:val="32"/>
          <w:szCs w:val="21"/>
          <w:lang w:eastAsia="zh-CN"/>
        </w:rPr>
        <w:t>（</w:t>
      </w:r>
      <w:r>
        <w:rPr>
          <w:rFonts w:hint="eastAsia" w:ascii="Times New Roman" w:hAnsi="Times New Roman" w:eastAsia="仿宋_GB2312"/>
          <w:b/>
          <w:color w:val="auto"/>
          <w:sz w:val="32"/>
          <w:szCs w:val="21"/>
          <w:lang w:val="en-US" w:eastAsia="zh-CN"/>
        </w:rPr>
        <w:t>四</w:t>
      </w:r>
      <w:r>
        <w:rPr>
          <w:rFonts w:hint="eastAsia" w:ascii="Times New Roman" w:hAnsi="Times New Roman" w:eastAsia="仿宋_GB2312"/>
          <w:b/>
          <w:color w:val="auto"/>
          <w:sz w:val="32"/>
          <w:szCs w:val="21"/>
          <w:lang w:eastAsia="zh-CN"/>
        </w:rPr>
        <w:t>）</w:t>
      </w:r>
      <w:r>
        <w:rPr>
          <w:rFonts w:hint="eastAsia" w:ascii="Times New Roman" w:hAnsi="Times New Roman" w:eastAsia="仿宋_GB2312"/>
          <w:b/>
          <w:color w:val="auto"/>
          <w:sz w:val="32"/>
          <w:szCs w:val="21"/>
        </w:rPr>
        <w:t>构建“一带三区五基地”产业布局</w:t>
      </w:r>
      <w:bookmarkEnd w:id="169"/>
    </w:p>
    <w:p>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ascii="Times New Roman" w:hAnsi="Times New Roman" w:eastAsia="仿宋_GB2312" w:cs="Times New Roman"/>
          <w:bCs/>
          <w:color w:val="auto"/>
          <w:kern w:val="0"/>
          <w:sz w:val="30"/>
          <w:szCs w:val="30"/>
          <w:lang w:val="en-US" w:eastAsia="zh-CN" w:bidi="ar-SA"/>
        </w:rPr>
      </w:pPr>
      <w:r>
        <w:rPr>
          <w:rFonts w:hint="eastAsia" w:ascii="Times New Roman" w:hAnsi="Times New Roman" w:eastAsia="仿宋_GB2312" w:cs="Times New Roman"/>
          <w:bCs/>
          <w:color w:val="auto"/>
          <w:kern w:val="0"/>
          <w:sz w:val="30"/>
          <w:szCs w:val="30"/>
          <w:lang w:val="en-US" w:eastAsia="zh-CN" w:bidi="ar-SA"/>
        </w:rPr>
        <w:t>“</w:t>
      </w:r>
      <w:r>
        <w:rPr>
          <w:rFonts w:ascii="Times New Roman" w:hAnsi="Times New Roman" w:eastAsia="仿宋_GB2312" w:cs="Times New Roman"/>
          <w:bCs/>
          <w:color w:val="auto"/>
          <w:kern w:val="0"/>
          <w:sz w:val="30"/>
          <w:szCs w:val="30"/>
          <w:lang w:val="en-US" w:eastAsia="zh-CN" w:bidi="ar-SA"/>
        </w:rPr>
        <w:t>一带</w:t>
      </w:r>
      <w:r>
        <w:rPr>
          <w:rFonts w:hint="eastAsia" w:ascii="Times New Roman" w:hAnsi="Times New Roman" w:eastAsia="仿宋_GB2312" w:cs="Times New Roman"/>
          <w:bCs/>
          <w:color w:val="auto"/>
          <w:kern w:val="0"/>
          <w:sz w:val="30"/>
          <w:szCs w:val="30"/>
          <w:lang w:val="en-US" w:eastAsia="zh-CN" w:bidi="ar-SA"/>
        </w:rPr>
        <w:t>”</w:t>
      </w:r>
      <w:r>
        <w:rPr>
          <w:rFonts w:ascii="Times New Roman" w:hAnsi="Times New Roman" w:eastAsia="仿宋_GB2312" w:cs="Times New Roman"/>
          <w:bCs/>
          <w:color w:val="auto"/>
          <w:kern w:val="0"/>
          <w:sz w:val="30"/>
          <w:szCs w:val="30"/>
          <w:lang w:val="en-US" w:eastAsia="zh-CN" w:bidi="ar-SA"/>
        </w:rPr>
        <w:t>沿黄海形成的滨海产业集聚带，规划形成集现代服务业、新型工业、旅游业一体的综合发展带。</w:t>
      </w:r>
      <w:r>
        <w:rPr>
          <w:rFonts w:hint="eastAsia" w:ascii="Times New Roman" w:hAnsi="Times New Roman" w:eastAsia="仿宋_GB2312" w:cs="Times New Roman"/>
          <w:bCs/>
          <w:color w:val="auto"/>
          <w:kern w:val="0"/>
          <w:sz w:val="30"/>
          <w:szCs w:val="30"/>
          <w:lang w:val="en-US" w:eastAsia="zh-CN" w:bidi="ar-SA"/>
        </w:rPr>
        <w:t>“</w:t>
      </w:r>
      <w:r>
        <w:rPr>
          <w:rFonts w:ascii="Times New Roman" w:hAnsi="Times New Roman" w:eastAsia="仿宋_GB2312" w:cs="Times New Roman"/>
          <w:bCs/>
          <w:color w:val="auto"/>
          <w:kern w:val="0"/>
          <w:sz w:val="30"/>
          <w:szCs w:val="30"/>
          <w:lang w:val="en-US" w:eastAsia="zh-CN" w:bidi="ar-SA"/>
        </w:rPr>
        <w:t>三区</w:t>
      </w:r>
      <w:r>
        <w:rPr>
          <w:rFonts w:hint="eastAsia" w:ascii="Times New Roman" w:hAnsi="Times New Roman" w:eastAsia="仿宋_GB2312" w:cs="Times New Roman"/>
          <w:bCs/>
          <w:color w:val="auto"/>
          <w:kern w:val="0"/>
          <w:sz w:val="30"/>
          <w:szCs w:val="30"/>
          <w:lang w:val="en-US" w:eastAsia="zh-CN" w:bidi="ar-SA"/>
        </w:rPr>
        <w:t>”</w:t>
      </w:r>
      <w:r>
        <w:rPr>
          <w:rFonts w:ascii="Times New Roman" w:hAnsi="Times New Roman" w:eastAsia="仿宋_GB2312" w:cs="Times New Roman"/>
          <w:bCs/>
          <w:color w:val="auto"/>
          <w:kern w:val="0"/>
          <w:sz w:val="30"/>
          <w:szCs w:val="30"/>
          <w:lang w:val="en-US" w:eastAsia="zh-CN" w:bidi="ar-SA"/>
        </w:rPr>
        <w:t>北部休闲旅游度假区重点推进观光旅游、休闲度假旅游业的发展；东部综合经济区重点推进现代服务业、船舶及海洋装备制造业、核电、食品加工业、现代物流业、渔业等发展，成为荣成</w:t>
      </w:r>
      <w:r>
        <w:rPr>
          <w:rFonts w:hint="eastAsia" w:ascii="Times New Roman" w:hAnsi="Times New Roman" w:eastAsia="仿宋_GB2312" w:cs="Times New Roman"/>
          <w:bCs/>
          <w:color w:val="auto"/>
          <w:kern w:val="0"/>
          <w:sz w:val="30"/>
          <w:szCs w:val="30"/>
          <w:lang w:val="en-US" w:eastAsia="zh-CN" w:bidi="ar-SA"/>
        </w:rPr>
        <w:t>市</w:t>
      </w:r>
      <w:r>
        <w:rPr>
          <w:rFonts w:ascii="Times New Roman" w:hAnsi="Times New Roman" w:eastAsia="仿宋_GB2312" w:cs="Times New Roman"/>
          <w:bCs/>
          <w:color w:val="auto"/>
          <w:kern w:val="0"/>
          <w:sz w:val="30"/>
          <w:szCs w:val="30"/>
          <w:lang w:val="en-US" w:eastAsia="zh-CN" w:bidi="ar-SA"/>
        </w:rPr>
        <w:t>二三产业的主要集聚高地；西部山地生态农业区重点发展林果业、中药材、蔬菜等山地农业为主。</w:t>
      </w:r>
      <w:r>
        <w:rPr>
          <w:rFonts w:hint="eastAsia" w:ascii="Times New Roman" w:hAnsi="Times New Roman" w:eastAsia="仿宋_GB2312" w:cs="Times New Roman"/>
          <w:bCs/>
          <w:color w:val="auto"/>
          <w:kern w:val="0"/>
          <w:sz w:val="30"/>
          <w:szCs w:val="30"/>
          <w:lang w:val="en-US" w:eastAsia="zh-CN" w:bidi="ar-SA"/>
        </w:rPr>
        <w:t>“</w:t>
      </w:r>
      <w:r>
        <w:rPr>
          <w:rFonts w:ascii="Times New Roman" w:hAnsi="Times New Roman" w:eastAsia="仿宋_GB2312" w:cs="Times New Roman"/>
          <w:bCs/>
          <w:color w:val="auto"/>
          <w:kern w:val="0"/>
          <w:sz w:val="30"/>
          <w:szCs w:val="30"/>
          <w:lang w:val="en-US" w:eastAsia="zh-CN" w:bidi="ar-SA"/>
        </w:rPr>
        <w:t>五基地</w:t>
      </w:r>
      <w:r>
        <w:rPr>
          <w:rFonts w:hint="eastAsia" w:ascii="Times New Roman" w:hAnsi="Times New Roman" w:eastAsia="仿宋_GB2312" w:cs="Times New Roman"/>
          <w:bCs/>
          <w:color w:val="auto"/>
          <w:kern w:val="0"/>
          <w:sz w:val="30"/>
          <w:szCs w:val="30"/>
          <w:lang w:val="en-US" w:eastAsia="zh-CN" w:bidi="ar-SA"/>
        </w:rPr>
        <w:t>”</w:t>
      </w:r>
      <w:r>
        <w:rPr>
          <w:rFonts w:ascii="Times New Roman" w:hAnsi="Times New Roman" w:eastAsia="仿宋_GB2312" w:cs="Times New Roman"/>
          <w:bCs/>
          <w:color w:val="auto"/>
          <w:kern w:val="0"/>
          <w:sz w:val="30"/>
          <w:szCs w:val="30"/>
          <w:lang w:val="en-US" w:eastAsia="zh-CN" w:bidi="ar-SA"/>
        </w:rPr>
        <w:t>中心城区产业基地重点发展高新技术、海洋食品、海洋生物、新材料、现代物流、现代服务业；石岛产业基地重点发展海洋食品加工、海洋生物科技、船舶、机械制造、核电、现代物流；俚岛镇产业基地重点发展船舶制造、冷链物流；虎山镇产业基地重点发展海洋渔业及海洋食品；人和镇产业基地重点发展海洋渔业及海洋食品。</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170" w:name="_Toc29673"/>
      <w:bookmarkStart w:id="171" w:name="_Toc2875"/>
      <w:bookmarkStart w:id="172" w:name="_Toc16709"/>
      <w:r>
        <w:rPr>
          <w:rFonts w:hint="eastAsia" w:ascii="Times New Roman" w:hAnsi="Times New Roman" w:eastAsia="楷体"/>
          <w:b/>
          <w:bCs/>
          <w:color w:val="auto"/>
          <w:sz w:val="36"/>
          <w:szCs w:val="36"/>
        </w:rPr>
        <w:t>第十二条</w:t>
      </w:r>
      <w:r>
        <w:rPr>
          <w:rFonts w:hint="eastAsia" w:ascii="Times New Roman" w:hAnsi="Times New Roman" w:eastAsia="楷体"/>
          <w:b/>
          <w:bCs/>
          <w:color w:val="auto"/>
          <w:sz w:val="36"/>
          <w:szCs w:val="36"/>
          <w:lang w:val="en-US" w:eastAsia="zh-CN"/>
        </w:rPr>
        <w:t xml:space="preserve">  壮大</w:t>
      </w:r>
      <w:r>
        <w:rPr>
          <w:rFonts w:hint="eastAsia" w:ascii="Times New Roman" w:hAnsi="Times New Roman" w:eastAsia="楷体"/>
          <w:b/>
          <w:bCs/>
          <w:color w:val="auto"/>
          <w:sz w:val="36"/>
          <w:szCs w:val="36"/>
        </w:rPr>
        <w:t>生态经济</w:t>
      </w:r>
      <w:bookmarkEnd w:id="168"/>
      <w:bookmarkEnd w:id="170"/>
      <w:bookmarkEnd w:id="171"/>
      <w:bookmarkEnd w:id="172"/>
    </w:p>
    <w:p>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outlineLvl w:val="2"/>
        <w:rPr>
          <w:rFonts w:hint="default" w:ascii="Times New Roman" w:hAnsi="Times New Roman" w:eastAsia="仿宋_GB2312"/>
          <w:b/>
          <w:color w:val="auto"/>
          <w:sz w:val="32"/>
          <w:szCs w:val="21"/>
          <w:lang w:val="en-US" w:eastAsia="zh-CN"/>
        </w:rPr>
      </w:pPr>
      <w:bookmarkStart w:id="173" w:name="_Toc5417"/>
      <w:bookmarkStart w:id="174" w:name="_Toc8389"/>
      <w:bookmarkStart w:id="175" w:name="_Toc12144"/>
      <w:r>
        <w:rPr>
          <w:rFonts w:hint="eastAsia" w:ascii="Times New Roman" w:hAnsi="Times New Roman" w:eastAsia="仿宋_GB2312"/>
          <w:b/>
          <w:color w:val="auto"/>
          <w:sz w:val="32"/>
          <w:szCs w:val="21"/>
        </w:rPr>
        <w:t>（一）</w:t>
      </w:r>
      <w:r>
        <w:rPr>
          <w:rFonts w:hint="eastAsia" w:ascii="Times New Roman" w:hAnsi="Times New Roman" w:eastAsia="仿宋_GB2312"/>
          <w:b/>
          <w:color w:val="auto"/>
          <w:sz w:val="32"/>
          <w:szCs w:val="21"/>
          <w:lang w:val="en-US" w:eastAsia="zh-CN"/>
        </w:rPr>
        <w:t>推动生态产品价值实现</w:t>
      </w:r>
      <w:bookmarkEnd w:id="173"/>
    </w:p>
    <w:p>
      <w:pPr>
        <w:keepNext w:val="0"/>
        <w:keepLines w:val="0"/>
        <w:pageBreakBefore w:val="0"/>
        <w:widowControl w:val="0"/>
        <w:kinsoku/>
        <w:wordWrap/>
        <w:overflowPunct/>
        <w:topLinePunct w:val="0"/>
        <w:autoSpaceDE/>
        <w:autoSpaceDN/>
        <w:bidi w:val="0"/>
        <w:adjustRightInd/>
        <w:snapToGrid/>
        <w:spacing w:line="360" w:lineRule="auto"/>
        <w:ind w:firstLine="600" w:firstLineChars="200"/>
        <w:textAlignment w:val="auto"/>
        <w:outlineLvl w:val="9"/>
        <w:rPr>
          <w:rFonts w:hint="eastAsia" w:ascii="Times New Roman" w:hAnsi="Times New Roman" w:eastAsia="仿宋_GB2312"/>
          <w:b/>
          <w:color w:val="auto"/>
          <w:sz w:val="32"/>
          <w:szCs w:val="21"/>
        </w:rPr>
      </w:pPr>
      <w:r>
        <w:rPr>
          <w:rFonts w:hint="eastAsia" w:ascii="Times New Roman" w:hAnsi="Times New Roman" w:eastAsia="仿宋_GB2312"/>
          <w:bCs/>
          <w:color w:val="auto"/>
          <w:kern w:val="0"/>
          <w:sz w:val="30"/>
          <w:szCs w:val="30"/>
        </w:rPr>
        <w:t>找准“生态”与“富民”的契合点</w:t>
      </w:r>
      <w:r>
        <w:rPr>
          <w:rFonts w:hint="eastAsia" w:ascii="Times New Roman" w:hAnsi="Times New Roman" w:eastAsia="仿宋_GB2312"/>
          <w:bCs/>
          <w:color w:val="auto"/>
          <w:kern w:val="0"/>
          <w:sz w:val="30"/>
          <w:szCs w:val="30"/>
          <w:lang w:eastAsia="zh-CN"/>
        </w:rPr>
        <w:t>，努力构建特色农业循环化、生态工业集约化、新兴产业融合化的生态产业体系。</w:t>
      </w:r>
    </w:p>
    <w:bookmarkEnd w:id="174"/>
    <w:bookmarkEnd w:id="175"/>
    <w:p>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outlineLvl w:val="3"/>
        <w:rPr>
          <w:rFonts w:eastAsia="仿宋_GB2312" w:cs="Calibri"/>
          <w:b/>
          <w:color w:val="auto"/>
          <w:sz w:val="32"/>
          <w:szCs w:val="21"/>
        </w:rPr>
      </w:pPr>
      <w:r>
        <w:rPr>
          <w:rFonts w:hint="default" w:ascii="Times New Roman" w:hAnsi="Times New Roman" w:eastAsia="仿宋_GB2312" w:cs="Times New Roman"/>
          <w:b/>
          <w:color w:val="auto"/>
          <w:sz w:val="32"/>
          <w:szCs w:val="21"/>
          <w:lang w:val="en-US" w:eastAsia="zh-CN"/>
        </w:rPr>
        <w:t>1.</w:t>
      </w:r>
      <w:r>
        <w:rPr>
          <w:rFonts w:hint="default" w:ascii="Times New Roman" w:hAnsi="Times New Roman" w:eastAsia="仿宋_GB2312" w:cs="Times New Roman"/>
          <w:b/>
          <w:color w:val="auto"/>
          <w:sz w:val="32"/>
          <w:szCs w:val="21"/>
        </w:rPr>
        <w:t>持</w:t>
      </w:r>
      <w:r>
        <w:rPr>
          <w:rFonts w:hint="eastAsia" w:eastAsia="仿宋_GB2312" w:cs="Calibri"/>
          <w:b/>
          <w:color w:val="auto"/>
          <w:sz w:val="32"/>
          <w:szCs w:val="21"/>
        </w:rPr>
        <w:t>续推进海洋产业建设</w:t>
      </w:r>
    </w:p>
    <w:p>
      <w:pPr>
        <w:adjustRightInd w:val="0"/>
        <w:snapToGrid w:val="0"/>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提升海洋经济发展动能。</w:t>
      </w:r>
      <w:r>
        <w:rPr>
          <w:rFonts w:hint="eastAsia" w:ascii="Times New Roman" w:hAnsi="Times New Roman" w:eastAsia="仿宋_GB2312"/>
          <w:bCs/>
          <w:color w:val="auto"/>
          <w:kern w:val="0"/>
          <w:sz w:val="30"/>
          <w:szCs w:val="30"/>
        </w:rPr>
        <w:t>积极创建国家级水产健康养殖和生态养殖示范区，着力培植海洋经济新技术、新产业、新业态和新模式，积极构建要素高效配置、海洋资源开发有序、承载能力不断提升的海洋经济发展新生态。将荣成市打造成为经济总量大、科技贡献率高、生态环境好、后续力量强的“蓝色经济区”。力争到2025年，全市海洋生产总值增速超过全市平均增幅2个百分点，海洋经济对全市经济增长的贡献率超过70%。</w:t>
      </w:r>
      <w:bookmarkStart w:id="176" w:name="_Toc2077"/>
    </w:p>
    <w:p>
      <w:pPr>
        <w:adjustRightInd w:val="0"/>
        <w:snapToGrid w:val="0"/>
        <w:spacing w:line="360" w:lineRule="auto"/>
        <w:ind w:firstLine="600" w:firstLineChars="200"/>
        <w:rPr>
          <w:rFonts w:eastAsia="仿宋_GB2312"/>
          <w:color w:val="auto"/>
        </w:rPr>
      </w:pPr>
      <w:r>
        <w:rPr>
          <w:rFonts w:hint="eastAsia" w:ascii="楷体_GB2312" w:hAnsi="楷体_GB2312" w:eastAsia="楷体_GB2312" w:cs="楷体_GB2312"/>
          <w:b w:val="0"/>
          <w:bCs w:val="0"/>
          <w:color w:val="auto"/>
          <w:kern w:val="0"/>
          <w:sz w:val="30"/>
          <w:szCs w:val="30"/>
          <w:lang w:val="zh-CN"/>
        </w:rPr>
        <w:t>做强做优海洋生物产业。</w:t>
      </w:r>
      <w:r>
        <w:rPr>
          <w:rFonts w:hint="eastAsia" w:ascii="Times New Roman" w:hAnsi="Times New Roman" w:eastAsia="仿宋_GB2312"/>
          <w:bCs/>
          <w:color w:val="auto"/>
          <w:kern w:val="0"/>
          <w:sz w:val="30"/>
          <w:szCs w:val="30"/>
        </w:rPr>
        <w:t>打造全产业链发展模式。按照“一品一链、聚链成群、联动协同”的链式发展原则，重点围绕海藻、海参、鲍鱼、鱿鱼、金枪鱼等5个优势品类，构建育种、养殖、捕捞、冷链物流、初级加工、精深加工、高值萃取、市场交易、质量管控、标准建设、品牌打造等全产业链发展模式，力争达到千亿级规模，打造全国海洋生物产业创新发展引领区。</w:t>
      </w:r>
      <w:bookmarkEnd w:id="176"/>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打造北方海洋种业聚集区。</w:t>
      </w:r>
      <w:r>
        <w:rPr>
          <w:rFonts w:hint="eastAsia" w:ascii="Times New Roman" w:hAnsi="Times New Roman" w:eastAsia="仿宋_GB2312"/>
          <w:bCs/>
          <w:color w:val="auto"/>
          <w:kern w:val="0"/>
          <w:sz w:val="30"/>
          <w:szCs w:val="30"/>
        </w:rPr>
        <w:t>推动好当家建成 80 万立方米水体的海参育苗基地，长青海科建成北方最大的鲍鱼苗种繁育基地，威海长青、俚岛海科等联合打造北方最大的海带育苗基地，裕源祥、圣航水产等联合打造全国最大的大菱鲆育苗基地。在荣成湾、俚岛湾、爱莲湾、桑沟湾等海域，推进蓬莱红栉孔扇贝、</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爱伦湾</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lang w:val="en-US" w:eastAsia="zh-CN"/>
        </w:rPr>
        <w:t>海带、</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205</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海带、“鲁海1号”刺参等具有自主知识产权的高产抗逆新品种的培育和示范推广，持续巩固海参、海带、大菱鲆、鲍鱼等苗种繁育在全省乃至全国的领先地位。到“十四五”末，打造成中国北方重要的海洋种业基地。</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打造海洋牧场荣成样板。</w:t>
      </w:r>
      <w:r>
        <w:rPr>
          <w:rFonts w:hint="eastAsia" w:ascii="Times New Roman" w:hAnsi="Times New Roman" w:eastAsia="仿宋_GB2312"/>
          <w:bCs/>
          <w:color w:val="auto"/>
          <w:kern w:val="0"/>
          <w:sz w:val="30"/>
          <w:szCs w:val="30"/>
        </w:rPr>
        <w:t>推动好当家集团以海参立体、生态、</w:t>
      </w:r>
    </w:p>
    <w:p>
      <w:pPr>
        <w:adjustRightInd w:val="0"/>
        <w:snapToGrid w:val="0"/>
        <w:spacing w:line="360" w:lineRule="auto"/>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循环养殖为特色，打造5万亩田园型海洋牧场；寻山集团以浅海多营养层次综合养殖为特色，打造2万亩增殖和养护型海洋牧场；成山鸿源、鑫弘等企业以养殖工船、鲍鱼养殖平台等先进设施为依托，打造5000亩装备型海洋牧场；西霞口、马山、烟墩角、泓泰、楮岛等企业以休闲海钓和海上观光为特色，打造游钓型海洋牧场，实现海洋牧场提档升级。在此基础上，做好“互联网+海洋牧场”文章，推动海洋牧场观测网建设，实现对海洋牧场的可视、可测、可控。</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实施深远海养殖“深蓝行动”。</w:t>
      </w:r>
      <w:r>
        <w:rPr>
          <w:rFonts w:hint="eastAsia" w:ascii="Times New Roman" w:hAnsi="Times New Roman" w:eastAsia="仿宋_GB2312"/>
          <w:bCs/>
          <w:color w:val="auto"/>
          <w:kern w:val="0"/>
          <w:sz w:val="30"/>
          <w:szCs w:val="30"/>
        </w:rPr>
        <w:t>引导企业向深远海进军，拓展养殖空间，增加海参、海胆等多品类高端海珍品的养殖。发展综合性休闲渔业，建成全国最大的海带、金枪鱼、鱿鱼加工物流聚集地，逐步形成北方乃至全国的水产品定价中心和交易中心。加快建设远洋渔货回运、渔货贸易集散、精深加工、渔船修造、冷链物流等综合产业体系，转变远洋渔业增长方式。打造全国极地渔业发展集聚区。加快建造南极磷虾捕捞船，建设南极磷虾产业园，构建南极磷虾资源综合利用全产业链，打造国内最大的现代化南极磷虾综合开发及产业化示范基地。完善沙窝岛国家远洋渔业基地和加纳等境外远洋渔业基地码头、冷库、加工车间及渔船修造等配套设施，形成功能齐全、产业完备、保障有力的综合性远洋渔业示范区。</w:t>
      </w:r>
    </w:p>
    <w:p>
      <w:pPr>
        <w:adjustRightInd w:val="0"/>
        <w:snapToGrid w:val="0"/>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推进海洋产业生态化、海洋生态产业化。</w:t>
      </w:r>
      <w:r>
        <w:rPr>
          <w:rFonts w:ascii="Times New Roman" w:hAnsi="Times New Roman" w:eastAsia="仿宋_GB2312"/>
          <w:bCs/>
          <w:color w:val="auto"/>
          <w:kern w:val="0"/>
          <w:sz w:val="30"/>
          <w:szCs w:val="30"/>
        </w:rPr>
        <w:t>在桑沟湾、俚岛湾、荣成湾等海域继续推广</w:t>
      </w:r>
      <w:r>
        <w:rPr>
          <w:rFonts w:hint="eastAsia" w:ascii="Times New Roman" w:hAnsi="Times New Roman" w:eastAsia="仿宋_GB2312"/>
          <w:bCs/>
          <w:color w:val="auto"/>
          <w:kern w:val="0"/>
          <w:sz w:val="30"/>
          <w:szCs w:val="30"/>
        </w:rPr>
        <w:t>浅海多营养层次综合养殖模式</w:t>
      </w:r>
      <w:r>
        <w:rPr>
          <w:rFonts w:ascii="Times New Roman" w:hAnsi="Times New Roman" w:eastAsia="仿宋_GB2312"/>
          <w:bCs/>
          <w:color w:val="auto"/>
          <w:kern w:val="0"/>
          <w:sz w:val="30"/>
          <w:szCs w:val="30"/>
        </w:rPr>
        <w:t>，推动海水养殖由单纯追求规模体量向追求产品品质、品牌效益和生态效益突破，实现提质增效、减量增收的目标。建设2处长期稳定的渔业科技示范基地：一是牡蛎</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海大三号</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新品种推广示范养殖基地；二是蜇虾帘立体综合养殖、刺参轮养技术、多营养层次立体生态养殖新模式推广示范基地。通过新模式、新品种推广，增加人工增殖投苗，提高自然海区产量，达到修复海区资源、提高经济效益的目的，进一步加快海洋生态产业化步伐。</w:t>
      </w:r>
    </w:p>
    <w:p>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outlineLvl w:val="3"/>
        <w:rPr>
          <w:rFonts w:hint="default" w:ascii="Times New Roman" w:hAnsi="Times New Roman" w:eastAsia="仿宋_GB2312" w:cs="Times New Roman"/>
          <w:b/>
          <w:color w:val="auto"/>
          <w:sz w:val="32"/>
          <w:szCs w:val="21"/>
          <w:lang w:val="en-US" w:eastAsia="zh-CN"/>
        </w:rPr>
      </w:pPr>
      <w:r>
        <w:rPr>
          <w:rFonts w:hint="eastAsia" w:ascii="Times New Roman" w:hAnsi="Times New Roman" w:eastAsia="仿宋_GB2312" w:cs="Times New Roman"/>
          <w:b/>
          <w:color w:val="auto"/>
          <w:sz w:val="32"/>
          <w:szCs w:val="21"/>
          <w:lang w:val="en-US" w:eastAsia="zh-CN"/>
        </w:rPr>
        <w:t>2.全方位发展农业新业态</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sz w:val="30"/>
          <w:szCs w:val="30"/>
        </w:rPr>
        <w:t>按照“产业调特、规模调大、品种调优”的总体发展思路，以农业增效、农民增收为核心，因地制宜，因势利导，推动农业产业向规模化、特色化、市</w:t>
      </w:r>
      <w:r>
        <w:rPr>
          <w:rFonts w:hint="eastAsia" w:ascii="Times New Roman" w:hAnsi="Times New Roman" w:eastAsia="仿宋_GB2312"/>
          <w:bCs/>
          <w:color w:val="auto"/>
          <w:kern w:val="0"/>
          <w:sz w:val="30"/>
          <w:szCs w:val="30"/>
        </w:rPr>
        <w:t>场化方向发展。</w:t>
      </w:r>
    </w:p>
    <w:p>
      <w:pPr>
        <w:numPr>
          <w:ilvl w:val="0"/>
          <w:numId w:val="0"/>
        </w:num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大力培育农产品品牌</w:t>
      </w:r>
      <w:r>
        <w:rPr>
          <w:rFonts w:hint="eastAsia" w:ascii="楷体_GB2312" w:hAnsi="楷体_GB2312" w:eastAsia="楷体_GB2312" w:cs="楷体_GB2312"/>
          <w:b w:val="0"/>
          <w:bCs w:val="0"/>
          <w:color w:val="auto"/>
          <w:kern w:val="0"/>
          <w:sz w:val="30"/>
          <w:szCs w:val="30"/>
          <w:lang w:val="zh-CN" w:eastAsia="zh-CN"/>
        </w:rPr>
        <w:t>。</w:t>
      </w:r>
      <w:r>
        <w:rPr>
          <w:rFonts w:hint="eastAsia" w:ascii="Times New Roman" w:hAnsi="Times New Roman" w:eastAsia="仿宋_GB2312"/>
          <w:bCs/>
          <w:color w:val="auto"/>
          <w:kern w:val="0"/>
          <w:sz w:val="30"/>
          <w:szCs w:val="30"/>
        </w:rPr>
        <w:t>以省级现代农业产业园为示范引领，现代苹果、葡萄、无花果、茶叶等特色产业为突破口，发展精致农业和特色高效农业。以特色镇、专业村为引领，开发系列化加工制品，提高精深加工水平。加快花生、草莓、茶叶等特色产品品种改良和技术更新，壮大产业规模，提高产品品质，培育区域特色品牌，到“十四五”末，建设提升规模以上特色农业基地240个。推进产业链和价值链建设，促进生产的标准化、规模化、集约化。</w:t>
      </w:r>
    </w:p>
    <w:p>
      <w:pPr>
        <w:pStyle w:val="2"/>
        <w:spacing w:line="360" w:lineRule="auto"/>
        <w:rPr>
          <w:rFonts w:hint="eastAsia" w:ascii="Times New Roman" w:hAnsi="Times New Roman" w:eastAsia="仿宋_GB2312" w:cs="Times New Roman"/>
          <w:bCs/>
          <w:color w:val="auto"/>
          <w:kern w:val="0"/>
          <w:sz w:val="30"/>
          <w:szCs w:val="30"/>
          <w:lang w:val="en-US" w:eastAsia="zh-CN" w:bidi="ar-SA"/>
        </w:rPr>
      </w:pPr>
      <w:r>
        <w:rPr>
          <w:rFonts w:hint="eastAsia" w:ascii="楷体_GB2312" w:hAnsi="楷体_GB2312" w:eastAsia="楷体_GB2312" w:cs="楷体_GB2312"/>
          <w:b w:val="0"/>
          <w:bCs w:val="0"/>
          <w:color w:val="auto"/>
          <w:kern w:val="0"/>
          <w:sz w:val="30"/>
          <w:szCs w:val="30"/>
          <w:lang w:val="en-US" w:eastAsia="zh-CN" w:bidi="ar-SA"/>
        </w:rPr>
        <w:t>建设威豪白龙河田园综合体。</w:t>
      </w:r>
      <w:r>
        <w:rPr>
          <w:rFonts w:hint="eastAsia" w:ascii="Times New Roman" w:hAnsi="Times New Roman" w:eastAsia="仿宋_GB2312" w:cs="Times New Roman"/>
          <w:bCs/>
          <w:color w:val="auto"/>
          <w:kern w:val="0"/>
          <w:sz w:val="30"/>
          <w:szCs w:val="30"/>
          <w:lang w:val="en-US" w:eastAsia="zh-CN" w:bidi="ar-SA"/>
        </w:rPr>
        <w:t>打造以红薯为主题的多功能、复合型、创新性产业综合体，将农业和产业结合，文化与旅游结合，文旅与科技结合。同时以文化塑造品牌，旅游助力产业，产业发展经济为理念，以新媒体增值服务平台作为新兴载体，结合生态农业与文旅体验为一体的综合发展模式，聚焦发展文化+旅游+产业的新兴之路，打造集农产品生产交易、乡村休旅度假等复合功能于一体的齐鲁样板示范基地。</w:t>
      </w:r>
    </w:p>
    <w:p>
      <w:pPr>
        <w:keepNext w:val="0"/>
        <w:keepLines w:val="0"/>
        <w:pageBreakBefore w:val="0"/>
        <w:widowControl w:val="0"/>
        <w:kinsoku/>
        <w:wordWrap/>
        <w:overflowPunct/>
        <w:topLinePunct w:val="0"/>
        <w:autoSpaceDE/>
        <w:autoSpaceDN/>
        <w:bidi w:val="0"/>
        <w:adjustRightInd w:val="0"/>
        <w:snapToGrid w:val="0"/>
        <w:spacing w:line="360" w:lineRule="auto"/>
        <w:ind w:firstLine="600" w:firstLineChars="200"/>
        <w:textAlignment w:val="auto"/>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推动农业绿色发展。</w:t>
      </w:r>
      <w:r>
        <w:rPr>
          <w:rFonts w:hint="eastAsia" w:ascii="Times New Roman" w:hAnsi="Times New Roman" w:eastAsia="仿宋_GB2312"/>
          <w:bCs/>
          <w:color w:val="auto"/>
          <w:kern w:val="0"/>
          <w:sz w:val="30"/>
          <w:szCs w:val="30"/>
        </w:rPr>
        <w:t>继续重点实施耕地质量提升综合集成技术。围绕耕地土壤环境质量类别划分成果对全市耕地实行分类管理、综合施策。建设旱作节水示范区20000余亩，示范推广水肥一体化、测墒节灌、集雨补灌等旱作节水农业技术，到2025年，测土配方施肥技术覆盖率稳定在90%以上。继续实施化肥农药减量化行动，到2025年单位耕地面积化肥施用量较2020年下降6%左右，化学农药使用量较2020年下降10%左右</w:t>
      </w:r>
      <w:r>
        <w:rPr>
          <w:rFonts w:ascii="Times New Roman" w:hAnsi="Times New Roman" w:eastAsia="仿宋_GB2312"/>
          <w:bCs/>
          <w:color w:val="auto"/>
          <w:kern w:val="0"/>
          <w:sz w:val="30"/>
          <w:szCs w:val="30"/>
        </w:rPr>
        <w:t>。构建病虫监测预警体系，开展农作物重大病虫害监测，加快绿色防控技术推广，加速生物农药、高效低毒低残留农药推广应用。</w:t>
      </w:r>
      <w:r>
        <w:rPr>
          <w:rFonts w:hint="eastAsia" w:ascii="Times New Roman" w:hAnsi="Times New Roman" w:eastAsia="仿宋_GB2312"/>
          <w:bCs/>
          <w:color w:val="auto"/>
          <w:kern w:val="0"/>
          <w:sz w:val="30"/>
          <w:szCs w:val="30"/>
        </w:rPr>
        <w:t>加快推进农业废弃物无害化处理、资源化利用。</w:t>
      </w:r>
      <w:r>
        <w:rPr>
          <w:rFonts w:ascii="Times New Roman" w:hAnsi="Times New Roman" w:eastAsia="仿宋_GB2312"/>
          <w:bCs/>
          <w:color w:val="auto"/>
          <w:kern w:val="0"/>
          <w:sz w:val="30"/>
          <w:szCs w:val="30"/>
        </w:rPr>
        <w:t>巩固全市秸秆资源化利用现有成果，协同推进区域畜禽粪污、厨余垃圾、果蔬垃圾、农村厕所粪渣等农业有机废弃物资源化利用。加大废旧农膜的回收力度，全域建立</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村收集、乡（镇）、区（市）处理</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的一体化废旧农膜回收处理体系，依法推广使用国家标准地膜，加大全生物降解地膜的示范推广</w:t>
      </w:r>
      <w:r>
        <w:rPr>
          <w:rFonts w:hint="eastAsia" w:ascii="Times New Roman" w:hAnsi="Times New Roman" w:eastAsia="仿宋_GB2312"/>
          <w:bCs/>
          <w:color w:val="auto"/>
          <w:kern w:val="0"/>
          <w:sz w:val="30"/>
          <w:szCs w:val="30"/>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outlineLvl w:val="3"/>
        <w:rPr>
          <w:rFonts w:hint="eastAsia" w:ascii="Times New Roman" w:hAnsi="Times New Roman" w:eastAsia="仿宋_GB2312"/>
          <w:b/>
          <w:color w:val="auto"/>
          <w:sz w:val="32"/>
          <w:szCs w:val="21"/>
        </w:rPr>
      </w:pPr>
      <w:r>
        <w:rPr>
          <w:rFonts w:hint="eastAsia" w:ascii="Times New Roman" w:hAnsi="Times New Roman" w:eastAsia="仿宋_GB2312"/>
          <w:b/>
          <w:color w:val="auto"/>
          <w:sz w:val="32"/>
          <w:szCs w:val="21"/>
          <w:lang w:val="en-US" w:eastAsia="zh-CN"/>
        </w:rPr>
        <w:t>3.</w:t>
      </w:r>
      <w:r>
        <w:rPr>
          <w:rFonts w:hint="eastAsia" w:ascii="Times New Roman" w:hAnsi="Times New Roman" w:eastAsia="仿宋_GB2312"/>
          <w:b/>
          <w:color w:val="auto"/>
          <w:sz w:val="32"/>
          <w:szCs w:val="21"/>
        </w:rPr>
        <w:t>丰富“健康荣成”产业体系</w:t>
      </w:r>
    </w:p>
    <w:p>
      <w:pPr>
        <w:keepNext w:val="0"/>
        <w:keepLines w:val="0"/>
        <w:pageBreakBefore w:val="0"/>
        <w:widowControl w:val="0"/>
        <w:kinsoku/>
        <w:wordWrap/>
        <w:overflowPunct/>
        <w:topLinePunct w:val="0"/>
        <w:autoSpaceDE/>
        <w:autoSpaceDN/>
        <w:bidi w:val="0"/>
        <w:adjustRightInd w:val="0"/>
        <w:snapToGrid w:val="0"/>
        <w:spacing w:line="360" w:lineRule="auto"/>
        <w:ind w:firstLine="600" w:firstLineChars="200"/>
        <w:textAlignment w:val="auto"/>
        <w:rPr>
          <w:rFonts w:hint="eastAsia" w:ascii="Times New Roman" w:hAnsi="Times New Roman" w:eastAsia="仿宋_GB2312"/>
          <w:bCs/>
          <w:color w:val="auto"/>
          <w:kern w:val="0"/>
          <w:sz w:val="30"/>
          <w:szCs w:val="30"/>
          <w:lang w:eastAsia="zh-CN"/>
        </w:rPr>
      </w:pPr>
      <w:r>
        <w:rPr>
          <w:rFonts w:ascii="Times New Roman" w:hAnsi="Times New Roman" w:eastAsia="仿宋_GB2312"/>
          <w:bCs/>
          <w:color w:val="auto"/>
          <w:kern w:val="0"/>
          <w:sz w:val="30"/>
          <w:szCs w:val="30"/>
        </w:rPr>
        <w:t>统筹医疗、养老、养生、体育等多业态融合发展，不断</w:t>
      </w:r>
      <w:r>
        <w:rPr>
          <w:rFonts w:hint="eastAsia" w:ascii="Times New Roman" w:hAnsi="Times New Roman" w:eastAsia="仿宋_GB2312"/>
          <w:bCs/>
          <w:color w:val="auto"/>
          <w:kern w:val="0"/>
          <w:sz w:val="30"/>
          <w:szCs w:val="30"/>
        </w:rPr>
        <w:t>丰富“健康荣成”产业体系</w:t>
      </w:r>
      <w:r>
        <w:rPr>
          <w:rFonts w:ascii="Times New Roman" w:hAnsi="Times New Roman" w:eastAsia="仿宋_GB2312"/>
          <w:bCs/>
          <w:color w:val="auto"/>
          <w:kern w:val="0"/>
          <w:sz w:val="30"/>
          <w:szCs w:val="30"/>
        </w:rPr>
        <w:t>。</w:t>
      </w:r>
      <w:r>
        <w:rPr>
          <w:rFonts w:hint="eastAsia" w:ascii="Times New Roman" w:hAnsi="Times New Roman" w:eastAsia="仿宋_GB2312"/>
          <w:bCs/>
          <w:color w:val="auto"/>
          <w:kern w:val="0"/>
          <w:sz w:val="30"/>
          <w:szCs w:val="30"/>
        </w:rPr>
        <w:t>发挥海洋高新园创新研发优势，聚焦高端海洋生物制品、海洋生物医药、海洋生物保健品等领域，提升企业创新研发能力，打造特色海洋生物制品及医药产业集聚区。发挥达因制药、达因金控、奥萨制药等企业集聚效应，引领带动全市海洋生物医药产业在现有基础上更好更快发展。发挥百合生物、凯普生物、世代海洋等企业引领作用，带动其他企业整体发展，形成以深海鱼油软胶囊、甘露醇、褐藻胶、海藻生物肥等产品为主导的海洋生物保健品产业链条</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推动海洋生物与健康食品产业加快向质量效益型转变。重点抓好海洋生物与健康食品重点项目建设，推动好当家、泰祥、赤山、靖海、海之宝等龙头企业发展。</w:t>
      </w:r>
    </w:p>
    <w:p>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outlineLvl w:val="3"/>
        <w:rPr>
          <w:rFonts w:hint="eastAsia" w:ascii="Times New Roman" w:hAnsi="Times New Roman" w:eastAsia="仿宋_GB2312"/>
          <w:b/>
          <w:bCs w:val="0"/>
          <w:color w:val="auto"/>
          <w:sz w:val="32"/>
          <w:szCs w:val="21"/>
          <w:lang w:val="en-US" w:eastAsia="zh-CN"/>
        </w:rPr>
      </w:pPr>
      <w:r>
        <w:rPr>
          <w:rFonts w:hint="eastAsia" w:ascii="Times New Roman" w:hAnsi="Times New Roman" w:eastAsia="仿宋_GB2312"/>
          <w:b/>
          <w:bCs w:val="0"/>
          <w:color w:val="auto"/>
          <w:sz w:val="32"/>
          <w:szCs w:val="21"/>
          <w:lang w:val="en-US" w:eastAsia="zh-CN"/>
        </w:rPr>
        <w:t>4.叫响</w:t>
      </w:r>
      <w:r>
        <w:rPr>
          <w:rFonts w:hint="eastAsia" w:ascii="Times New Roman" w:hAnsi="Times New Roman" w:eastAsia="仿宋_GB2312"/>
          <w:b/>
          <w:bCs w:val="0"/>
          <w:color w:val="auto"/>
          <w:kern w:val="0"/>
          <w:sz w:val="30"/>
          <w:szCs w:val="30"/>
        </w:rPr>
        <w:t>“</w:t>
      </w:r>
      <w:r>
        <w:rPr>
          <w:rFonts w:ascii="Times New Roman" w:hAnsi="Times New Roman" w:eastAsia="仿宋_GB2312"/>
          <w:b/>
          <w:bCs w:val="0"/>
          <w:color w:val="auto"/>
          <w:kern w:val="0"/>
          <w:sz w:val="30"/>
          <w:szCs w:val="30"/>
        </w:rPr>
        <w:t>冬赏天鹅夏游牧场</w:t>
      </w:r>
      <w:r>
        <w:rPr>
          <w:rFonts w:hint="eastAsia" w:ascii="Times New Roman" w:hAnsi="Times New Roman" w:eastAsia="仿宋_GB2312"/>
          <w:b/>
          <w:bCs w:val="0"/>
          <w:color w:val="auto"/>
          <w:kern w:val="0"/>
          <w:sz w:val="30"/>
          <w:szCs w:val="30"/>
        </w:rPr>
        <w:t>”</w:t>
      </w:r>
      <w:r>
        <w:rPr>
          <w:rFonts w:hint="eastAsia" w:ascii="Times New Roman" w:hAnsi="Times New Roman" w:eastAsia="仿宋_GB2312"/>
          <w:b/>
          <w:bCs w:val="0"/>
          <w:color w:val="auto"/>
          <w:kern w:val="0"/>
          <w:sz w:val="30"/>
          <w:szCs w:val="30"/>
          <w:lang w:val="en-US" w:eastAsia="zh-CN"/>
        </w:rPr>
        <w:t>品牌</w:t>
      </w:r>
    </w:p>
    <w:p>
      <w:pPr>
        <w:keepNext w:val="0"/>
        <w:keepLines w:val="0"/>
        <w:pageBreakBefore w:val="0"/>
        <w:widowControl w:val="0"/>
        <w:kinsoku/>
        <w:wordWrap/>
        <w:overflowPunct/>
        <w:topLinePunct w:val="0"/>
        <w:autoSpaceDE/>
        <w:autoSpaceDN/>
        <w:bidi w:val="0"/>
        <w:adjustRightInd w:val="0"/>
        <w:snapToGrid w:val="0"/>
        <w:spacing w:line="360" w:lineRule="auto"/>
        <w:ind w:firstLine="600" w:firstLineChars="200"/>
        <w:textAlignment w:val="auto"/>
        <w:rPr>
          <w:rFonts w:hint="eastAsia" w:ascii="楷体_GB2312" w:hAnsi="楷体_GB2312" w:eastAsia="楷体_GB2312" w:cs="楷体_GB2312"/>
          <w:bCs/>
          <w:color w:val="auto"/>
          <w:kern w:val="0"/>
          <w:sz w:val="30"/>
          <w:szCs w:val="30"/>
        </w:rPr>
      </w:pPr>
      <w:r>
        <w:rPr>
          <w:rFonts w:hint="eastAsia" w:ascii="楷体_GB2312" w:hAnsi="楷体_GB2312" w:eastAsia="楷体_GB2312" w:cs="楷体_GB2312"/>
          <w:bCs/>
          <w:color w:val="auto"/>
          <w:kern w:val="0"/>
          <w:sz w:val="30"/>
          <w:szCs w:val="30"/>
          <w:lang w:val="en-US" w:eastAsia="zh-CN"/>
        </w:rPr>
        <w:t>培育全域旅游经济。</w:t>
      </w:r>
      <w:r>
        <w:rPr>
          <w:rFonts w:hint="eastAsia" w:ascii="Times New Roman" w:hAnsi="Times New Roman" w:eastAsia="仿宋_GB2312"/>
          <w:bCs/>
          <w:color w:val="auto"/>
          <w:kern w:val="0"/>
          <w:sz w:val="30"/>
          <w:szCs w:val="30"/>
        </w:rPr>
        <w:t>深入推动大众旅游、全域旅游发展，构建全时段、全季节、全地域、全覆盖的旅游发展格局，全力构建“主客共享、山海联动、景城一体、居游相宜”的北方全季型滨海休闲度假城市</w:t>
      </w:r>
      <w:r>
        <w:rPr>
          <w:rFonts w:hint="eastAsia" w:ascii="Times New Roman" w:hAnsi="Times New Roman" w:eastAsia="仿宋_GB2312"/>
          <w:bCs/>
          <w:color w:val="auto"/>
          <w:kern w:val="0"/>
          <w:sz w:val="30"/>
          <w:szCs w:val="30"/>
          <w:lang w:eastAsia="zh-CN"/>
        </w:rPr>
        <w:t>。</w:t>
      </w:r>
      <w:r>
        <w:rPr>
          <w:rFonts w:ascii="Times New Roman" w:hAnsi="Times New Roman" w:eastAsia="仿宋_GB2312"/>
          <w:bCs/>
          <w:color w:val="auto"/>
          <w:kern w:val="0"/>
          <w:sz w:val="30"/>
          <w:szCs w:val="30"/>
        </w:rPr>
        <w:t>以生态资源为优势，以特色景点、美丽乡村为节点，重点打造海洋游、乡村游、城市游、红色游、赛事游</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五大品牌</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全面叫响</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冬赏天鹅夏游牧场</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滨海全季型休闲旅游目的地品牌。海洋游</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依托海洋牧场建设，策划</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海上游荣成</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特色旅游线路，打造</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两环三支</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海上游，丰富海上旅游体验。乡村游</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培育3A级景区村庄50个，创建星级旅游餐馆100家，新增精品民宿200处。红色游</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实施红色印迹保护利用工程，对全市107处红色印迹开展抢救，重点打造荣成县委旧址、郭永怀故居等21处展馆和英模故居，形成红色旅游集聚区。城市游</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加快推进中心城区、樱花湖两个区域开发，融入夜间经济、地摊经济等理念，赋予城市发展的新活力。赛事游</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引入海洋赛事和空中赛事，承接相关赛事，把赛事做成展示荣成形象的靓丽名片</w:t>
      </w:r>
      <w:r>
        <w:rPr>
          <w:rFonts w:hint="eastAsia" w:ascii="Times New Roman" w:hAnsi="Times New Roman" w:eastAsia="仿宋_GB2312"/>
          <w:bCs/>
          <w:color w:val="auto"/>
          <w:kern w:val="0"/>
          <w:sz w:val="30"/>
          <w:szCs w:val="30"/>
        </w:rPr>
        <w:t>。</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提升居民文旅消费水平。</w:t>
      </w:r>
      <w:r>
        <w:rPr>
          <w:rFonts w:hint="eastAsia" w:ascii="Times New Roman" w:hAnsi="Times New Roman" w:eastAsia="仿宋_GB2312"/>
          <w:bCs/>
          <w:color w:val="auto"/>
          <w:kern w:val="0"/>
          <w:sz w:val="30"/>
          <w:szCs w:val="30"/>
        </w:rPr>
        <w:t>大力开展高层次文旅营销，挖掘荣成特色文化符号，制定发展定位和IP体系，推动全域旅游向纵深发展。打造荣成旅游IP，挖掘特色旅游文化元素，筛选具有代表性的人物、特产、故事等，打造成为统一艺术风格、统一视觉标准的文创旅游形象，形成专有旅游产品。实施消费促进行动，持续开展“文旅惠民消费季”“冬游齐鲁·惠游荣成”、滨海艺术节、沙滩音乐等文旅主题活动，通过发放文旅惠民消费券，加快构建“文化惠民”长效机制，不断激发文旅消费潜力。实现全域掌上游，重点推进全域旅游、智慧景区建设，加快多元业态整合力度，打通与携程、美团等OTA平台链路，实现A级景区、文化场馆、宾馆酒店、特色商品入驻经营。</w:t>
      </w:r>
    </w:p>
    <w:p>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602" w:firstLineChars="200"/>
        <w:textAlignment w:val="auto"/>
        <w:outlineLvl w:val="3"/>
        <w:rPr>
          <w:rFonts w:hint="default" w:ascii="Times New Roman" w:hAnsi="Times New Roman" w:eastAsia="楷体"/>
          <w:b/>
          <w:color w:val="auto"/>
          <w:kern w:val="0"/>
          <w:sz w:val="30"/>
          <w:szCs w:val="30"/>
          <w:lang w:val="en-US" w:eastAsia="zh-CN"/>
        </w:rPr>
      </w:pPr>
      <w:r>
        <w:rPr>
          <w:rFonts w:hint="eastAsia" w:ascii="Times New Roman" w:hAnsi="Times New Roman" w:eastAsia="楷体"/>
          <w:b/>
          <w:color w:val="auto"/>
          <w:kern w:val="0"/>
          <w:sz w:val="30"/>
          <w:szCs w:val="30"/>
          <w:lang w:val="en-US" w:eastAsia="zh-CN"/>
        </w:rPr>
        <w:t>5</w:t>
      </w:r>
      <w:r>
        <w:rPr>
          <w:rFonts w:hint="eastAsia" w:ascii="Times New Roman" w:hAnsi="Times New Roman" w:eastAsia="楷体"/>
          <w:b/>
          <w:color w:val="auto"/>
          <w:kern w:val="0"/>
          <w:sz w:val="30"/>
          <w:szCs w:val="30"/>
        </w:rPr>
        <w:t>.</w:t>
      </w:r>
      <w:r>
        <w:rPr>
          <w:rFonts w:hint="eastAsia" w:ascii="Times New Roman" w:hAnsi="Times New Roman" w:eastAsia="楷体"/>
          <w:b/>
          <w:color w:val="auto"/>
          <w:kern w:val="0"/>
          <w:sz w:val="30"/>
          <w:szCs w:val="30"/>
          <w:lang w:val="en-US" w:eastAsia="zh-CN"/>
        </w:rPr>
        <w:t>探索生态产品价值核算</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lang w:val="en-US" w:eastAsia="zh-CN"/>
        </w:rPr>
        <w:t>探索开展GEP核算，</w:t>
      </w:r>
      <w:r>
        <w:rPr>
          <w:rFonts w:hint="eastAsia" w:ascii="Times New Roman" w:hAnsi="Times New Roman" w:eastAsia="仿宋_GB2312"/>
          <w:bCs/>
          <w:color w:val="auto"/>
          <w:kern w:val="0"/>
          <w:sz w:val="30"/>
          <w:szCs w:val="30"/>
        </w:rPr>
        <w:t>给绿水青山</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lang w:val="en-US" w:eastAsia="zh-CN"/>
        </w:rPr>
        <w:t>碧海蓝天</w:t>
      </w:r>
      <w:r>
        <w:rPr>
          <w:rFonts w:hint="eastAsia" w:ascii="Times New Roman" w:hAnsi="Times New Roman" w:eastAsia="仿宋_GB2312"/>
          <w:bCs/>
          <w:color w:val="auto"/>
          <w:kern w:val="0"/>
          <w:sz w:val="30"/>
          <w:szCs w:val="30"/>
        </w:rPr>
        <w:t>贴上“价格标签”，将无价的生态系统“有价化”</w:t>
      </w:r>
      <w:r>
        <w:rPr>
          <w:rFonts w:hint="eastAsia" w:ascii="Times New Roman" w:hAnsi="Times New Roman" w:eastAsia="仿宋_GB2312"/>
          <w:bCs/>
          <w:color w:val="auto"/>
          <w:kern w:val="0"/>
          <w:sz w:val="30"/>
          <w:szCs w:val="30"/>
          <w:lang w:eastAsia="zh-CN"/>
        </w:rPr>
        <w:t>。</w:t>
      </w:r>
      <w:r>
        <w:rPr>
          <w:rFonts w:ascii="Times New Roman" w:hAnsi="Times New Roman" w:eastAsia="仿宋_GB2312"/>
          <w:bCs/>
          <w:color w:val="auto"/>
          <w:kern w:val="0"/>
          <w:sz w:val="30"/>
          <w:szCs w:val="30"/>
        </w:rPr>
        <w:t>开展生态产品信息普查，摸清各类生态产品数量、质量等底数，形成生态产品目录清单。建立生态产品动态监测制度，及时跟踪掌握生态产品数量分布、质量等级、功能特点、权益归属、保护和开发利用情况等信息。考虑不同类型生态产品商品属性，建立反映生态产品保护和开发成本的价值核算方法。</w:t>
      </w:r>
      <w:r>
        <w:rPr>
          <w:rFonts w:hint="eastAsia" w:ascii="Times New Roman" w:hAnsi="Times New Roman" w:eastAsia="仿宋_GB2312"/>
          <w:bCs/>
          <w:color w:val="auto"/>
          <w:kern w:val="0"/>
          <w:sz w:val="30"/>
          <w:szCs w:val="30"/>
        </w:rPr>
        <w:t>探索在编制各类规划和实施工程项目建设时，结合生态产品实物量和价值核算结果采取必要的补偿措施，确保生态产品保值增值。</w:t>
      </w:r>
      <w:r>
        <w:rPr>
          <w:rFonts w:hint="eastAsia" w:ascii="Times New Roman" w:hAnsi="Times New Roman" w:eastAsia="仿宋_GB2312"/>
          <w:bCs/>
          <w:color w:val="auto"/>
          <w:kern w:val="0"/>
          <w:sz w:val="30"/>
          <w:szCs w:val="30"/>
          <w:lang w:val="en-US" w:eastAsia="zh-CN"/>
        </w:rPr>
        <w:t>探索</w:t>
      </w:r>
      <w:r>
        <w:rPr>
          <w:rFonts w:hint="eastAsia" w:ascii="Times New Roman" w:hAnsi="Times New Roman" w:eastAsia="仿宋_GB2312"/>
          <w:bCs/>
          <w:color w:val="auto"/>
          <w:kern w:val="0"/>
          <w:sz w:val="30"/>
          <w:szCs w:val="30"/>
        </w:rPr>
        <w:t>生态产品价值核算结果在生态保护补偿、生态环境损害赔偿、经营开发融资、生态资源权益交易等方面的应用。</w:t>
      </w:r>
    </w:p>
    <w:p>
      <w:pPr>
        <w:spacing w:line="360" w:lineRule="auto"/>
        <w:ind w:firstLine="643" w:firstLineChars="200"/>
        <w:outlineLvl w:val="2"/>
        <w:rPr>
          <w:rFonts w:hint="default" w:ascii="Times New Roman" w:hAnsi="Times New Roman" w:eastAsia="仿宋_GB2312"/>
          <w:b/>
          <w:color w:val="auto"/>
          <w:sz w:val="32"/>
          <w:szCs w:val="21"/>
          <w:lang w:val="en-US" w:eastAsia="zh-CN"/>
        </w:rPr>
      </w:pPr>
      <w:bookmarkStart w:id="177" w:name="_Toc390"/>
      <w:bookmarkStart w:id="178" w:name="_Toc11791"/>
      <w:bookmarkStart w:id="179" w:name="_Toc12626"/>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二</w:t>
      </w:r>
      <w:r>
        <w:rPr>
          <w:rFonts w:hint="eastAsia" w:ascii="Times New Roman" w:hAnsi="Times New Roman" w:eastAsia="仿宋_GB2312"/>
          <w:b/>
          <w:color w:val="auto"/>
          <w:sz w:val="32"/>
          <w:szCs w:val="21"/>
        </w:rPr>
        <w:t>）</w:t>
      </w:r>
      <w:bookmarkEnd w:id="177"/>
      <w:bookmarkEnd w:id="178"/>
      <w:r>
        <w:rPr>
          <w:rFonts w:hint="eastAsia" w:ascii="Times New Roman" w:hAnsi="Times New Roman" w:eastAsia="仿宋_GB2312"/>
          <w:b/>
          <w:color w:val="auto"/>
          <w:sz w:val="32"/>
          <w:szCs w:val="21"/>
          <w:lang w:val="en-US" w:eastAsia="zh-CN"/>
        </w:rPr>
        <w:t>增加清洁能源供给</w:t>
      </w:r>
      <w:bookmarkEnd w:id="179"/>
    </w:p>
    <w:p>
      <w:pPr>
        <w:spacing w:line="360" w:lineRule="auto"/>
        <w:ind w:firstLine="602" w:firstLineChars="200"/>
        <w:rPr>
          <w:rFonts w:ascii="Times New Roman" w:hAnsi="Times New Roman" w:eastAsia="楷体"/>
          <w:b/>
          <w:bCs/>
          <w:color w:val="auto"/>
          <w:kern w:val="0"/>
          <w:sz w:val="30"/>
          <w:szCs w:val="30"/>
        </w:rPr>
      </w:pPr>
      <w:r>
        <w:rPr>
          <w:rFonts w:hint="eastAsia" w:ascii="Times New Roman" w:hAnsi="Times New Roman" w:eastAsia="楷体"/>
          <w:b/>
          <w:bCs/>
          <w:color w:val="auto"/>
          <w:kern w:val="0"/>
          <w:sz w:val="30"/>
          <w:szCs w:val="30"/>
        </w:rPr>
        <w:t>1.推进核能设施建设</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加快</w:t>
      </w:r>
      <w:r>
        <w:rPr>
          <w:rFonts w:ascii="Times New Roman" w:hAnsi="Times New Roman" w:eastAsia="仿宋_GB2312"/>
          <w:bCs/>
          <w:color w:val="auto"/>
          <w:kern w:val="0"/>
          <w:sz w:val="30"/>
          <w:szCs w:val="30"/>
        </w:rPr>
        <w:t>石岛湾核电站建设</w:t>
      </w:r>
      <w:r>
        <w:rPr>
          <w:rFonts w:hint="eastAsia" w:ascii="Times New Roman" w:hAnsi="Times New Roman" w:eastAsia="仿宋_GB2312"/>
          <w:bCs/>
          <w:color w:val="auto"/>
          <w:kern w:val="0"/>
          <w:sz w:val="30"/>
          <w:szCs w:val="30"/>
        </w:rPr>
        <w:t>进度</w:t>
      </w:r>
      <w:r>
        <w:rPr>
          <w:rFonts w:ascii="Times New Roman" w:hAnsi="Times New Roman" w:eastAsia="仿宋_GB2312"/>
          <w:bCs/>
          <w:color w:val="auto"/>
          <w:kern w:val="0"/>
          <w:sz w:val="30"/>
          <w:szCs w:val="30"/>
        </w:rPr>
        <w:t>，争取华能20万千瓦高温气冷堆于2021年底前实现并网发电，国核CAP1400大型压水堆分别于2023、2024年实现并网发电。抓紧华能4台</w:t>
      </w:r>
      <w:r>
        <w:rPr>
          <w:rFonts w:hint="eastAsia" w:ascii="Times New Roman" w:hAnsi="Times New Roman" w:eastAsia="仿宋_GB2312"/>
          <w:bCs/>
          <w:color w:val="auto"/>
          <w:kern w:val="0"/>
          <w:sz w:val="30"/>
          <w:szCs w:val="30"/>
        </w:rPr>
        <w:t>华</w:t>
      </w:r>
      <w:r>
        <w:rPr>
          <w:rFonts w:hint="eastAsia" w:ascii="Times New Roman" w:hAnsi="Times New Roman" w:eastAsia="仿宋_GB2312"/>
          <w:bCs/>
          <w:color w:val="auto"/>
          <w:kern w:val="0"/>
          <w:sz w:val="30"/>
          <w:szCs w:val="30"/>
          <w:lang w:val="en-US" w:eastAsia="zh-CN"/>
        </w:rPr>
        <w:t>龙一</w:t>
      </w:r>
      <w:r>
        <w:rPr>
          <w:rFonts w:hint="eastAsia" w:ascii="Times New Roman" w:hAnsi="Times New Roman" w:eastAsia="仿宋_GB2312"/>
          <w:bCs/>
          <w:color w:val="auto"/>
          <w:kern w:val="0"/>
          <w:sz w:val="30"/>
          <w:szCs w:val="30"/>
        </w:rPr>
        <w:t>号</w:t>
      </w:r>
      <w:r>
        <w:rPr>
          <w:rFonts w:ascii="Times New Roman" w:hAnsi="Times New Roman" w:eastAsia="仿宋_GB2312"/>
          <w:bCs/>
          <w:color w:val="auto"/>
          <w:kern w:val="0"/>
          <w:sz w:val="30"/>
          <w:szCs w:val="30"/>
        </w:rPr>
        <w:t>压水堆核电机组扩建工程前期手续办理，争取2022年开工建设。围绕石岛湾核电站、国核示范电站，</w:t>
      </w:r>
      <w:r>
        <w:rPr>
          <w:rFonts w:hint="eastAsia" w:ascii="Times New Roman" w:hAnsi="Times New Roman" w:eastAsia="仿宋_GB2312"/>
          <w:bCs/>
          <w:color w:val="auto"/>
          <w:kern w:val="0"/>
          <w:sz w:val="30"/>
          <w:szCs w:val="30"/>
        </w:rPr>
        <w:t>实施</w:t>
      </w:r>
      <w:r>
        <w:rPr>
          <w:rFonts w:ascii="Times New Roman" w:hAnsi="Times New Roman" w:eastAsia="仿宋_GB2312"/>
          <w:bCs/>
          <w:color w:val="auto"/>
          <w:kern w:val="0"/>
          <w:sz w:val="30"/>
          <w:szCs w:val="30"/>
        </w:rPr>
        <w:t>国家重大科技专项大型先进压水堆核电站CAP1400示范工程、核能供暖项目、威海华源生物质热电项目、华萃新能源项目、华能山东石岛湾核电厂扩建工程、核能利用国际创新示范园</w:t>
      </w:r>
      <w:r>
        <w:rPr>
          <w:rFonts w:hint="eastAsia" w:ascii="Times New Roman" w:hAnsi="Times New Roman" w:eastAsia="仿宋_GB2312"/>
          <w:bCs/>
          <w:color w:val="auto"/>
          <w:kern w:val="0"/>
          <w:sz w:val="30"/>
          <w:szCs w:val="30"/>
        </w:rPr>
        <w:t>。</w:t>
      </w:r>
    </w:p>
    <w:p>
      <w:pPr>
        <w:spacing w:line="360" w:lineRule="auto"/>
        <w:ind w:firstLine="602" w:firstLineChars="200"/>
        <w:rPr>
          <w:rFonts w:ascii="Times New Roman" w:hAnsi="Times New Roman" w:eastAsia="仿宋_GB2312"/>
          <w:b/>
          <w:color w:val="auto"/>
          <w:kern w:val="0"/>
          <w:sz w:val="30"/>
          <w:szCs w:val="30"/>
        </w:rPr>
      </w:pPr>
      <w:r>
        <w:rPr>
          <w:rFonts w:hint="eastAsia" w:ascii="Times New Roman" w:hAnsi="Times New Roman" w:eastAsia="仿宋_GB2312"/>
          <w:b/>
          <w:color w:val="auto"/>
          <w:kern w:val="0"/>
          <w:sz w:val="30"/>
          <w:szCs w:val="30"/>
        </w:rPr>
        <w:t>2.推进燃气设施建设</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完成城镇天然气管网建设，城镇燃气普及率达到100%，农村地区建设液化石油气和沼气设施，将具备通气条件的村庄纳入燃气供应规划建设范围。合理布局管网设施，统筹沿海LNG接收站、陆上天然气入鲁通道建设，进一步完善区域天然气管网，规划新建威海市天然气管网有限公司高压天然气管线工程。</w:t>
      </w:r>
    </w:p>
    <w:p>
      <w:pPr>
        <w:spacing w:line="360" w:lineRule="auto"/>
        <w:ind w:firstLine="602" w:firstLineChars="200"/>
        <w:rPr>
          <w:rFonts w:ascii="Times New Roman" w:hAnsi="Times New Roman" w:eastAsia="仿宋_GB2312"/>
          <w:b/>
          <w:color w:val="auto"/>
          <w:kern w:val="0"/>
          <w:sz w:val="30"/>
          <w:szCs w:val="30"/>
        </w:rPr>
      </w:pPr>
      <w:r>
        <w:rPr>
          <w:rFonts w:hint="eastAsia" w:ascii="Times New Roman" w:hAnsi="Times New Roman" w:eastAsia="仿宋_GB2312"/>
          <w:b/>
          <w:color w:val="auto"/>
          <w:kern w:val="0"/>
          <w:sz w:val="30"/>
          <w:szCs w:val="30"/>
        </w:rPr>
        <w:t>3.推进</w:t>
      </w:r>
      <w:r>
        <w:rPr>
          <w:rFonts w:ascii="Times New Roman" w:hAnsi="Times New Roman" w:eastAsia="仿宋_GB2312"/>
          <w:b/>
          <w:color w:val="auto"/>
          <w:kern w:val="0"/>
          <w:sz w:val="30"/>
          <w:szCs w:val="30"/>
        </w:rPr>
        <w:t>供电设施</w:t>
      </w:r>
      <w:r>
        <w:rPr>
          <w:rFonts w:hint="eastAsia" w:ascii="Times New Roman" w:hAnsi="Times New Roman" w:eastAsia="仿宋_GB2312"/>
          <w:b/>
          <w:color w:val="auto"/>
          <w:kern w:val="0"/>
          <w:sz w:val="30"/>
          <w:szCs w:val="30"/>
        </w:rPr>
        <w:t>建设</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大力实施光伏发电项目建设，推进天然气热电联产项目早日建成投产。加快发展智能电网，推广应用新技术、新设备和新材料，全面提升电力系统的智能化水平。加快推进公共充电桩建设，城区公共停车场按照</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不少于</w:t>
      </w:r>
      <w:r>
        <w:rPr>
          <w:rFonts w:hint="eastAsia" w:ascii="Times New Roman" w:hAnsi="Times New Roman" w:eastAsia="仿宋_GB2312"/>
          <w:bCs/>
          <w:color w:val="auto"/>
          <w:kern w:val="0"/>
          <w:sz w:val="30"/>
          <w:szCs w:val="30"/>
        </w:rPr>
        <w:t>15%</w:t>
      </w:r>
      <w:r>
        <w:rPr>
          <w:rFonts w:ascii="Times New Roman" w:hAnsi="Times New Roman" w:eastAsia="仿宋_GB2312"/>
          <w:bCs/>
          <w:color w:val="auto"/>
          <w:kern w:val="0"/>
          <w:sz w:val="30"/>
          <w:szCs w:val="30"/>
        </w:rPr>
        <w:t>停车位</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的比例建设充电桩，到</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十四五</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末，城区居住小区、公共区域基本实现充电桩设施全覆盖。</w:t>
      </w:r>
    </w:p>
    <w:p>
      <w:pPr>
        <w:spacing w:line="360" w:lineRule="auto"/>
        <w:ind w:firstLine="602" w:firstLineChars="200"/>
        <w:rPr>
          <w:rFonts w:ascii="Times New Roman" w:hAnsi="Times New Roman" w:eastAsia="仿宋_GB2312"/>
          <w:b/>
          <w:color w:val="auto"/>
          <w:kern w:val="0"/>
          <w:sz w:val="30"/>
          <w:szCs w:val="30"/>
        </w:rPr>
      </w:pPr>
      <w:r>
        <w:rPr>
          <w:rFonts w:hint="eastAsia" w:ascii="Times New Roman" w:hAnsi="Times New Roman" w:eastAsia="仿宋_GB2312"/>
          <w:b/>
          <w:color w:val="auto"/>
          <w:kern w:val="0"/>
          <w:sz w:val="30"/>
          <w:szCs w:val="30"/>
        </w:rPr>
        <w:t>4.压减煤炭消费</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逐步压减煤炭消费，实施煤炭消费减量替代，严控新增耗煤项目。65蒸吨/小时以上燃煤锅炉全部实现节能</w:t>
      </w:r>
      <w:r>
        <w:rPr>
          <w:rFonts w:hint="eastAsia" w:ascii="Times New Roman" w:hAnsi="Times New Roman" w:eastAsia="仿宋_GB2312"/>
          <w:bCs/>
          <w:color w:val="auto"/>
          <w:kern w:val="0"/>
          <w:sz w:val="30"/>
          <w:szCs w:val="30"/>
        </w:rPr>
        <w:t>改造</w:t>
      </w:r>
      <w:r>
        <w:rPr>
          <w:rFonts w:ascii="Times New Roman" w:hAnsi="Times New Roman" w:eastAsia="仿宋_GB2312"/>
          <w:bCs/>
          <w:color w:val="auto"/>
          <w:kern w:val="0"/>
          <w:sz w:val="30"/>
          <w:szCs w:val="30"/>
        </w:rPr>
        <w:t>。扩大集中供热范围，加强集中供热热源和配套管网建设。持续推进清洁取暖，因地制宜推行气代煤、电代煤、热代煤等清洁采暖方式。</w:t>
      </w:r>
      <w:r>
        <w:rPr>
          <w:rFonts w:hint="eastAsia" w:ascii="Times New Roman" w:hAnsi="Times New Roman" w:eastAsia="仿宋_GB2312"/>
          <w:bCs/>
          <w:color w:val="auto"/>
          <w:kern w:val="0"/>
          <w:sz w:val="30"/>
          <w:szCs w:val="30"/>
        </w:rPr>
        <w:t>2025年，中心城区以热电联产机组和锅炉房为主要热源，各城镇以锅炉房为主要热源，集中供热普及率达到100%。2025年年底前非化石能源消费比重提高到13%左右，清洁取暖率提高到80%以上。</w:t>
      </w:r>
    </w:p>
    <w:p>
      <w:pPr>
        <w:spacing w:line="360" w:lineRule="auto"/>
        <w:ind w:firstLine="643" w:firstLineChars="200"/>
        <w:outlineLvl w:val="2"/>
        <w:rPr>
          <w:rFonts w:hint="default" w:ascii="Times New Roman" w:hAnsi="Times New Roman" w:eastAsia="仿宋_GB2312"/>
          <w:b/>
          <w:color w:val="auto"/>
          <w:sz w:val="32"/>
          <w:szCs w:val="21"/>
          <w:lang w:val="en-US" w:eastAsia="zh-CN"/>
        </w:rPr>
      </w:pPr>
      <w:bookmarkStart w:id="180" w:name="_Toc31082"/>
      <w:bookmarkStart w:id="181" w:name="_Toc28545"/>
      <w:bookmarkStart w:id="182" w:name="_Toc30086"/>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三</w:t>
      </w:r>
      <w:r>
        <w:rPr>
          <w:rFonts w:hint="eastAsia" w:ascii="Times New Roman" w:hAnsi="Times New Roman" w:eastAsia="仿宋_GB2312"/>
          <w:b/>
          <w:color w:val="auto"/>
          <w:sz w:val="32"/>
          <w:szCs w:val="21"/>
        </w:rPr>
        <w:t>）</w:t>
      </w:r>
      <w:bookmarkEnd w:id="180"/>
      <w:bookmarkEnd w:id="181"/>
      <w:r>
        <w:rPr>
          <w:rFonts w:hint="eastAsia" w:ascii="Times New Roman" w:hAnsi="Times New Roman" w:eastAsia="仿宋_GB2312"/>
          <w:b/>
          <w:color w:val="auto"/>
          <w:sz w:val="32"/>
          <w:szCs w:val="21"/>
          <w:lang w:val="en-US" w:eastAsia="zh-CN"/>
        </w:rPr>
        <w:t>优化道路运输结构</w:t>
      </w:r>
      <w:bookmarkEnd w:id="182"/>
    </w:p>
    <w:p>
      <w:pPr>
        <w:spacing w:line="360" w:lineRule="auto"/>
        <w:ind w:firstLine="600" w:firstLineChars="200"/>
        <w:rPr>
          <w:rFonts w:hint="eastAsia" w:ascii="Times New Roman" w:hAnsi="Times New Roman" w:eastAsia="仿宋_GB2312"/>
          <w:bCs/>
          <w:color w:val="auto"/>
          <w:kern w:val="0"/>
          <w:sz w:val="30"/>
          <w:szCs w:val="30"/>
          <w:lang w:val="zh-CN"/>
        </w:rPr>
      </w:pPr>
      <w:r>
        <w:rPr>
          <w:rFonts w:hint="eastAsia" w:ascii="楷体_GB2312" w:hAnsi="楷体_GB2312" w:eastAsia="楷体_GB2312" w:cs="楷体_GB2312"/>
          <w:b w:val="0"/>
          <w:bCs w:val="0"/>
          <w:color w:val="auto"/>
          <w:kern w:val="0"/>
          <w:sz w:val="30"/>
          <w:szCs w:val="30"/>
          <w:lang w:val="zh-CN"/>
        </w:rPr>
        <w:t>优化干线铁路网络布局。</w:t>
      </w:r>
      <w:r>
        <w:rPr>
          <w:rFonts w:hint="eastAsia" w:ascii="Times New Roman" w:hAnsi="Times New Roman" w:eastAsia="仿宋_GB2312"/>
          <w:bCs/>
          <w:color w:val="auto"/>
          <w:kern w:val="0"/>
          <w:sz w:val="30"/>
          <w:szCs w:val="30"/>
          <w:lang w:val="zh-CN"/>
        </w:rPr>
        <w:t>以国家铁路网和山东省铁路网规划为基础，规划论证石岛至崖头有轨电车项目，形成城际铁路、高速铁路交通网络，有序推进城市轨道交通规划建设。落实既有国省级规划，加强与周边区域中心城市、相邻城市的客运铁路连通，完善重点港区、工业园区的铁路集散功能，形成以干线铁路为骨架、城际铁路为支撑的铁路网格局。</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加快建设现代综合交通运输体系。</w:t>
      </w:r>
      <w:r>
        <w:rPr>
          <w:rFonts w:ascii="Times New Roman" w:hAnsi="Times New Roman" w:eastAsia="仿宋_GB2312"/>
          <w:bCs/>
          <w:color w:val="auto"/>
          <w:kern w:val="0"/>
          <w:sz w:val="30"/>
          <w:szCs w:val="30"/>
        </w:rPr>
        <w:t>统筹推进大宗货物运输</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公转水</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，减少公路运输量，增加海运运输量，推进各种运输方式协同联动，大力发展</w:t>
      </w:r>
      <w:r>
        <w:rPr>
          <w:rFonts w:hint="eastAsia" w:ascii="Times New Roman" w:hAnsi="Times New Roman" w:eastAsia="仿宋_GB2312"/>
          <w:bCs/>
          <w:color w:val="auto"/>
          <w:kern w:val="0"/>
          <w:sz w:val="30"/>
          <w:szCs w:val="30"/>
        </w:rPr>
        <w:t>水陆联运</w:t>
      </w:r>
      <w:r>
        <w:rPr>
          <w:rFonts w:ascii="Times New Roman" w:hAnsi="Times New Roman" w:eastAsia="仿宋_GB2312"/>
          <w:bCs/>
          <w:color w:val="auto"/>
          <w:kern w:val="0"/>
          <w:sz w:val="30"/>
          <w:szCs w:val="30"/>
        </w:rPr>
        <w:t>，建设一批集装箱海铁联运示范项目，逐步形成区域外贸集装箱集疏运中心港口。</w:t>
      </w:r>
      <w:r>
        <w:rPr>
          <w:rFonts w:hint="eastAsia" w:ascii="Times New Roman" w:hAnsi="Times New Roman" w:eastAsia="仿宋_GB2312"/>
          <w:bCs/>
          <w:color w:val="auto"/>
          <w:kern w:val="0"/>
          <w:sz w:val="30"/>
          <w:szCs w:val="30"/>
        </w:rPr>
        <w:t>谋划石岛轨道交通线路，全长20余公里，设立石岛新汽车站、滕家镇站和荣成站3站。2025年，交通运输单位能耗、温室气体及主要污染物单位排放强度明显下降，交通运输业单位运输周转量</w:t>
      </w:r>
      <w:r>
        <w:rPr>
          <w:rFonts w:ascii="Times New Roman" w:hAnsi="Times New Roman" w:eastAsia="仿宋_GB2312"/>
          <w:bCs/>
          <w:color w:val="auto"/>
          <w:kern w:val="0"/>
          <w:sz w:val="30"/>
          <w:szCs w:val="30"/>
        </w:rPr>
        <w:t>CO</w:t>
      </w:r>
      <w:r>
        <w:rPr>
          <w:rFonts w:ascii="Times New Roman" w:hAnsi="Times New Roman" w:eastAsia="仿宋_GB2312"/>
          <w:bCs/>
          <w:color w:val="auto"/>
          <w:kern w:val="0"/>
          <w:sz w:val="30"/>
          <w:szCs w:val="30"/>
          <w:vertAlign w:val="subscript"/>
        </w:rPr>
        <w:t>2</w:t>
      </w:r>
      <w:r>
        <w:rPr>
          <w:rFonts w:hint="eastAsia" w:ascii="Times New Roman" w:hAnsi="Times New Roman" w:eastAsia="仿宋_GB2312"/>
          <w:bCs/>
          <w:color w:val="auto"/>
          <w:kern w:val="0"/>
          <w:sz w:val="30"/>
          <w:szCs w:val="30"/>
        </w:rPr>
        <w:t>排放比</w:t>
      </w:r>
      <w:r>
        <w:rPr>
          <w:rFonts w:ascii="Times New Roman" w:hAnsi="Times New Roman" w:eastAsia="仿宋_GB2312"/>
          <w:bCs/>
          <w:color w:val="auto"/>
          <w:kern w:val="0"/>
          <w:sz w:val="30"/>
          <w:szCs w:val="30"/>
        </w:rPr>
        <w:t>2020</w:t>
      </w:r>
      <w:r>
        <w:rPr>
          <w:rFonts w:hint="eastAsia" w:ascii="Times New Roman" w:hAnsi="Times New Roman" w:eastAsia="仿宋_GB2312"/>
          <w:bCs/>
          <w:color w:val="auto"/>
          <w:kern w:val="0"/>
          <w:sz w:val="30"/>
          <w:szCs w:val="30"/>
        </w:rPr>
        <w:t>年下降</w:t>
      </w:r>
      <w:r>
        <w:rPr>
          <w:rFonts w:ascii="Times New Roman" w:hAnsi="Times New Roman" w:eastAsia="仿宋_GB2312"/>
          <w:bCs/>
          <w:color w:val="auto"/>
          <w:kern w:val="0"/>
          <w:sz w:val="30"/>
          <w:szCs w:val="30"/>
        </w:rPr>
        <w:t>6.5%</w:t>
      </w:r>
      <w:r>
        <w:rPr>
          <w:rFonts w:hint="eastAsia" w:ascii="Times New Roman" w:hAnsi="Times New Roman" w:eastAsia="仿宋_GB2312"/>
          <w:bCs/>
          <w:color w:val="auto"/>
          <w:kern w:val="0"/>
          <w:sz w:val="30"/>
          <w:szCs w:val="30"/>
        </w:rPr>
        <w:t>。</w:t>
      </w:r>
    </w:p>
    <w:p>
      <w:pPr>
        <w:spacing w:line="360" w:lineRule="auto"/>
        <w:ind w:firstLine="600" w:firstLineChars="200"/>
        <w:rPr>
          <w:rFonts w:hint="eastAsia" w:ascii="Times New Roman" w:hAnsi="Times New Roman" w:eastAsia="仿宋_GB2312"/>
          <w:bCs/>
          <w:color w:val="auto"/>
          <w:kern w:val="0"/>
          <w:sz w:val="30"/>
          <w:szCs w:val="30"/>
          <w:lang w:eastAsia="zh-CN"/>
        </w:rPr>
      </w:pPr>
      <w:r>
        <w:rPr>
          <w:rFonts w:hint="eastAsia" w:ascii="楷体_GB2312" w:hAnsi="楷体_GB2312" w:eastAsia="楷体_GB2312" w:cs="楷体_GB2312"/>
          <w:b w:val="0"/>
          <w:bCs w:val="0"/>
          <w:color w:val="auto"/>
          <w:kern w:val="0"/>
          <w:sz w:val="30"/>
          <w:szCs w:val="30"/>
          <w:lang w:val="zh-CN"/>
        </w:rPr>
        <w:t>推动车船升级优化</w:t>
      </w:r>
      <w:r>
        <w:rPr>
          <w:rFonts w:hint="eastAsia" w:ascii="楷体_GB2312" w:hAnsi="楷体_GB2312" w:eastAsia="楷体_GB2312" w:cs="楷体_GB2312"/>
          <w:b w:val="0"/>
          <w:bCs w:val="0"/>
          <w:color w:val="auto"/>
          <w:kern w:val="0"/>
          <w:sz w:val="30"/>
          <w:szCs w:val="30"/>
          <w:lang w:val="zh-CN" w:eastAsia="zh-CN"/>
        </w:rPr>
        <w:t>。</w:t>
      </w:r>
      <w:r>
        <w:rPr>
          <w:rFonts w:hint="eastAsia" w:ascii="Times New Roman" w:hAnsi="Times New Roman" w:eastAsia="仿宋_GB2312"/>
          <w:bCs/>
          <w:color w:val="auto"/>
          <w:kern w:val="0"/>
          <w:sz w:val="30"/>
          <w:szCs w:val="30"/>
        </w:rPr>
        <w:t>全面实施国六排放标准</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鼓励将老旧车辆和非道路移动机械替换为清洁能源车辆</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持续推进清洁柴油车(机)行动</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lang w:val="en-US" w:eastAsia="zh-CN"/>
        </w:rPr>
        <w:t>2023</w:t>
      </w:r>
      <w:r>
        <w:rPr>
          <w:rFonts w:hint="eastAsia" w:ascii="Times New Roman" w:hAnsi="Times New Roman" w:eastAsia="仿宋_GB2312"/>
          <w:bCs/>
          <w:color w:val="auto"/>
          <w:kern w:val="0"/>
          <w:sz w:val="30"/>
          <w:szCs w:val="30"/>
        </w:rPr>
        <w:t>年年底前</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淘汰国三及以下排放标准柴油货车</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lang w:val="en-US" w:eastAsia="zh-CN"/>
        </w:rPr>
        <w:t>2025</w:t>
      </w:r>
      <w:r>
        <w:rPr>
          <w:rFonts w:hint="eastAsia" w:ascii="Times New Roman" w:hAnsi="Times New Roman" w:eastAsia="仿宋_GB2312"/>
          <w:bCs/>
          <w:color w:val="auto"/>
          <w:kern w:val="0"/>
          <w:sz w:val="30"/>
          <w:szCs w:val="30"/>
        </w:rPr>
        <w:t>年年底前</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完成淘汰国四及以下排放标准营运柴油货车国家下达任务</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国六排放标准重型货车占比达到</w:t>
      </w:r>
      <w:r>
        <w:rPr>
          <w:rFonts w:hint="eastAsia" w:ascii="Times New Roman" w:hAnsi="Times New Roman" w:eastAsia="仿宋_GB2312"/>
          <w:bCs/>
          <w:color w:val="auto"/>
          <w:kern w:val="0"/>
          <w:sz w:val="30"/>
          <w:szCs w:val="30"/>
          <w:lang w:val="en-US" w:eastAsia="zh-CN"/>
        </w:rPr>
        <w:t>30%%</w:t>
      </w:r>
      <w:r>
        <w:rPr>
          <w:rFonts w:hint="eastAsia" w:ascii="Times New Roman" w:hAnsi="Times New Roman" w:eastAsia="仿宋_GB2312"/>
          <w:bCs/>
          <w:color w:val="auto"/>
          <w:kern w:val="0"/>
          <w:sz w:val="30"/>
          <w:szCs w:val="30"/>
        </w:rPr>
        <w:t>以上</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加快车用LNG加气站、内河船舶LNG加注站、充电桩、加氢站布局</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在交通枢纽、批发市场、快递转运中心、物流园区等建设充电基础设施</w:t>
      </w:r>
      <w:r>
        <w:rPr>
          <w:rFonts w:hint="eastAsia" w:ascii="Times New Roman" w:hAnsi="Times New Roman" w:eastAsia="仿宋_GB2312"/>
          <w:bCs/>
          <w:color w:val="auto"/>
          <w:kern w:val="0"/>
          <w:sz w:val="30"/>
          <w:szCs w:val="30"/>
          <w:lang w:eastAsia="zh-CN"/>
        </w:rPr>
        <w:t>。推进新能源或清洁能源汽车使用，除应急救援车辆外，新增和更新公交车辆新能源占比</w:t>
      </w:r>
      <w:r>
        <w:rPr>
          <w:rFonts w:hint="eastAsia" w:ascii="Times New Roman" w:hAnsi="Times New Roman" w:eastAsia="仿宋_GB2312"/>
          <w:bCs/>
          <w:color w:val="auto"/>
          <w:kern w:val="0"/>
          <w:sz w:val="30"/>
          <w:szCs w:val="30"/>
          <w:lang w:val="en-US" w:eastAsia="zh-CN"/>
        </w:rPr>
        <w:t>100%</w:t>
      </w:r>
      <w:r>
        <w:rPr>
          <w:rFonts w:hint="eastAsia" w:ascii="Times New Roman" w:hAnsi="Times New Roman" w:eastAsia="仿宋_GB2312"/>
          <w:bCs/>
          <w:color w:val="auto"/>
          <w:kern w:val="0"/>
          <w:sz w:val="30"/>
          <w:szCs w:val="30"/>
          <w:lang w:eastAsia="zh-CN"/>
        </w:rPr>
        <w:t>，新增和更新出租车清洁能源和新能源占比</w:t>
      </w:r>
      <w:r>
        <w:rPr>
          <w:rFonts w:hint="eastAsia" w:ascii="Times New Roman" w:hAnsi="Times New Roman" w:eastAsia="仿宋_GB2312"/>
          <w:bCs/>
          <w:color w:val="auto"/>
          <w:kern w:val="0"/>
          <w:sz w:val="30"/>
          <w:szCs w:val="30"/>
          <w:lang w:val="en-US" w:eastAsia="zh-CN"/>
        </w:rPr>
        <w:t>80%</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lang w:val="en-US" w:eastAsia="zh-CN"/>
        </w:rPr>
        <w:t>2025</w:t>
      </w:r>
      <w:r>
        <w:rPr>
          <w:rFonts w:hint="eastAsia" w:ascii="Times New Roman" w:hAnsi="Times New Roman" w:eastAsia="仿宋_GB2312"/>
          <w:bCs/>
          <w:color w:val="auto"/>
          <w:kern w:val="0"/>
          <w:sz w:val="30"/>
          <w:szCs w:val="30"/>
          <w:lang w:eastAsia="zh-CN"/>
        </w:rPr>
        <w:t>年年底前，新能源汽车新车销量占比达</w:t>
      </w:r>
      <w:r>
        <w:rPr>
          <w:rFonts w:hint="eastAsia" w:ascii="Times New Roman" w:hAnsi="Times New Roman" w:eastAsia="仿宋_GB2312"/>
          <w:bCs/>
          <w:color w:val="auto"/>
          <w:kern w:val="0"/>
          <w:sz w:val="30"/>
          <w:szCs w:val="30"/>
          <w:lang w:val="en-US" w:eastAsia="zh-CN"/>
        </w:rPr>
        <w:t>20%</w:t>
      </w:r>
      <w:r>
        <w:rPr>
          <w:rFonts w:hint="eastAsia" w:ascii="Times New Roman" w:hAnsi="Times New Roman" w:eastAsia="仿宋_GB2312"/>
          <w:bCs/>
          <w:color w:val="auto"/>
          <w:kern w:val="0"/>
          <w:sz w:val="30"/>
          <w:szCs w:val="30"/>
          <w:lang w:eastAsia="zh-CN"/>
        </w:rPr>
        <w:t>左右。开展港口、铁路货场、物流园区等重点场所非道路移动机械零排放或近零排放示范应用。加快淘汰高污染、高耗能客船和老旧运输船舶。</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发展更具吸引力的城市公交。</w:t>
      </w:r>
      <w:r>
        <w:rPr>
          <w:rFonts w:hint="eastAsia" w:ascii="Times New Roman" w:hAnsi="Times New Roman" w:eastAsia="仿宋_GB2312"/>
          <w:bCs/>
          <w:color w:val="auto"/>
          <w:kern w:val="0"/>
          <w:sz w:val="30"/>
          <w:szCs w:val="30"/>
        </w:rPr>
        <w:t>实施城市公交优先发展战略，研究在中心城区施行BRT等大中运量公共交通的可行性，形成以其为骨架、常规公交为主体的公共交通网络；发展商务快线、旅游专线、大站快车、社区接驳公交、高峰通勤班车、定制公交等特色公共交通服务；合理调整城市出租汽车规模，引导城市出租汽车行业有序发展；鼓励汽车租赁业规模化、连锁化发展和跨地区协作；大力倡导自行车和步行等低碳绿色出行，多措并举解决城市中短距离出行和公交“最后一公里”的无缝对接。</w:t>
      </w:r>
    </w:p>
    <w:p>
      <w:pPr>
        <w:spacing w:line="360" w:lineRule="auto"/>
        <w:ind w:firstLine="643" w:firstLineChars="200"/>
        <w:outlineLvl w:val="2"/>
        <w:rPr>
          <w:rFonts w:ascii="Times New Roman" w:hAnsi="Times New Roman" w:eastAsia="仿宋_GB2312"/>
          <w:b/>
          <w:color w:val="auto"/>
          <w:sz w:val="32"/>
          <w:szCs w:val="21"/>
        </w:rPr>
      </w:pPr>
      <w:bookmarkStart w:id="183" w:name="_Toc31663"/>
      <w:bookmarkStart w:id="184" w:name="_Toc23061"/>
      <w:bookmarkStart w:id="185" w:name="_Toc21904"/>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四</w:t>
      </w:r>
      <w:r>
        <w:rPr>
          <w:rFonts w:hint="eastAsia" w:ascii="Times New Roman" w:hAnsi="Times New Roman" w:eastAsia="仿宋_GB2312"/>
          <w:b/>
          <w:color w:val="auto"/>
          <w:sz w:val="32"/>
          <w:szCs w:val="21"/>
        </w:rPr>
        <w:t>）</w:t>
      </w:r>
      <w:bookmarkEnd w:id="183"/>
      <w:bookmarkEnd w:id="184"/>
      <w:r>
        <w:rPr>
          <w:rFonts w:hint="eastAsia" w:ascii="Times New Roman" w:hAnsi="Times New Roman" w:eastAsia="仿宋_GB2312"/>
          <w:b/>
          <w:color w:val="auto"/>
          <w:sz w:val="32"/>
          <w:szCs w:val="21"/>
        </w:rPr>
        <w:t>培植壮大新兴产业</w:t>
      </w:r>
      <w:bookmarkEnd w:id="185"/>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新能源产业。</w:t>
      </w:r>
      <w:r>
        <w:rPr>
          <w:rFonts w:hint="eastAsia" w:ascii="Times New Roman" w:hAnsi="Times New Roman" w:eastAsia="仿宋_GB2312"/>
          <w:bCs/>
          <w:color w:val="auto"/>
          <w:kern w:val="0"/>
          <w:sz w:val="30"/>
          <w:szCs w:val="30"/>
        </w:rPr>
        <w:t>依托华能高温气冷堆、国核示范电站两个拥有自主知识产权的国家科技重大专项，建立涉核项目全链条招商数据库，开展产业链精准招商，吸引行业龙头企业入驻，构建第四代核电产业链。依托与清华大学合作建设的核能利用国际创新示范园，在核电备件备品中心、科技研发中心等领域培育一批配套服务载体，提供技术研发、工程设计等全链条核能产业配套服务，打造国家级核能设备生产制造基地。依托国华、华能等风电能源巨头，论证推进海上风电建设，围绕产业配套抓好研发和服务，拓展新型清洁能源在生产生活领域的应用范围。创新推动“光伏+”产业新模式，以市场需求为导向，提高光伏产业竞争力。</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新材料产业。</w:t>
      </w:r>
      <w:r>
        <w:rPr>
          <w:rFonts w:hint="eastAsia" w:ascii="Times New Roman" w:hAnsi="Times New Roman" w:eastAsia="仿宋_GB2312"/>
          <w:bCs/>
          <w:color w:val="auto"/>
          <w:kern w:val="0"/>
          <w:sz w:val="30"/>
          <w:szCs w:val="30"/>
        </w:rPr>
        <w:t>围绕满足新材料企业快速入园生产需求，支持建设一批标准化公共厂房，满足不同类型、不同规模企业用房需求。围绕初创企业发展需求，完善和布局企业所需的公共研发车间、研发监测中心等公共服务平台，为企业提供技术、研发、融资等产业全链条服务。围绕拓宽产业招商，在生物医用材料、新能源材料等领域，突破一批核心关键技术，吸引更多企业来荣投资设厂，支持稀土高端金属材料研发，建设稀土国家研究中心荣成分中心。加强与陕煤集团等龙头企业对接，加快碳纤维项目招商合作，培植发展碳纤维及复合材料产业。围绕系统解决研发、设计、工艺、检测和产业化等关键问题，联合山东大学、华东理工大学等，开展联合攻关、委托研发等创新工程，打造新材料产业化和创新发展高地。</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新一代信息技术产业。</w:t>
      </w:r>
      <w:r>
        <w:rPr>
          <w:rFonts w:hint="eastAsia" w:ascii="Times New Roman" w:hAnsi="Times New Roman" w:eastAsia="仿宋_GB2312"/>
          <w:bCs/>
          <w:color w:val="auto"/>
          <w:kern w:val="0"/>
          <w:sz w:val="30"/>
          <w:szCs w:val="30"/>
        </w:rPr>
        <w:t>推动细分领域链条延伸，把握信息技术升级换代和产业融合发展机遇，对接引入的专业孵化运营机构，推动以行业龙头企业为主导的信息技术产业协同发展。推动科创园和歌尔电子信息产业园建设，打造集设计研发、产品生产、商务办公于一体的现代化专业园区。拓展与中科院微电子研究所合作领域，抓好芯长征微电子、阅芯电子、中科芯信息技术、中科传感科技等重点项目建设，培植信息技术产业集聚发展。加快信息化基础设施和服务体系建设，打造高速、移动、安全、泛在的新一代信息基础网络系统。加大物联网、人工智能、新能源电子、智能电子系统等领域的科研创新与产业化应用，推动碧陆斯、信诚电子等劳动密集型企业“机器换人”。</w:t>
      </w:r>
    </w:p>
    <w:p>
      <w:pPr>
        <w:spacing w:line="360" w:lineRule="auto"/>
        <w:ind w:firstLine="643" w:firstLineChars="200"/>
        <w:outlineLvl w:val="2"/>
        <w:rPr>
          <w:rFonts w:ascii="Times New Roman" w:hAnsi="Times New Roman" w:eastAsia="仿宋_GB2312"/>
          <w:b/>
          <w:color w:val="auto"/>
          <w:sz w:val="32"/>
          <w:szCs w:val="21"/>
        </w:rPr>
      </w:pPr>
      <w:bookmarkStart w:id="186" w:name="_Toc12041"/>
      <w:bookmarkStart w:id="187" w:name="_Toc17470"/>
      <w:bookmarkStart w:id="188" w:name="_Toc2928"/>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五</w:t>
      </w:r>
      <w:r>
        <w:rPr>
          <w:rFonts w:hint="eastAsia" w:ascii="Times New Roman" w:hAnsi="Times New Roman" w:eastAsia="仿宋_GB2312"/>
          <w:b/>
          <w:color w:val="auto"/>
          <w:sz w:val="32"/>
          <w:szCs w:val="21"/>
        </w:rPr>
        <w:t>）园区循环化改造</w:t>
      </w:r>
      <w:bookmarkEnd w:id="186"/>
      <w:bookmarkEnd w:id="187"/>
      <w:bookmarkEnd w:id="188"/>
    </w:p>
    <w:p>
      <w:pPr>
        <w:spacing w:line="360" w:lineRule="auto"/>
        <w:ind w:firstLine="600" w:firstLineChars="200"/>
        <w:rPr>
          <w:rFonts w:hint="eastAsia"/>
          <w:color w:val="auto"/>
        </w:rPr>
      </w:pPr>
      <w:r>
        <w:rPr>
          <w:rFonts w:ascii="Times New Roman" w:hAnsi="Times New Roman" w:eastAsia="仿宋_GB2312"/>
          <w:bCs/>
          <w:color w:val="auto"/>
          <w:kern w:val="0"/>
          <w:sz w:val="30"/>
          <w:szCs w:val="30"/>
        </w:rPr>
        <w:t>依托园区平台、优势产业发展优势，着力培育海洋高新技术产业园、中国房车产业出口基地、全域旅游示范区、科技创业园、城铁商贸物流园等一批亮点园区。</w:t>
      </w:r>
      <w:r>
        <w:rPr>
          <w:rFonts w:hint="eastAsia" w:ascii="Times New Roman" w:hAnsi="Times New Roman" w:eastAsia="仿宋_GB2312"/>
          <w:bCs/>
          <w:color w:val="auto"/>
          <w:kern w:val="0"/>
          <w:sz w:val="30"/>
          <w:szCs w:val="30"/>
        </w:rPr>
        <w:t>重点考虑园区内主导产业的发展布局及相关产业的共生和循环，不断完善产业链，资源能源的循环利用、梯级利用以及污染控制措施等，应建立起促进循环经济发展的管理体制和管理办法。开展废旧产品和废弃物质深度资源化的关键技术研发和国外先进资源化技术的引进，完善园区基础设施建设，打通企业之间的能源交换和废物集中通道，实现园区企业间资源的优化配置，实现园区内物质、能源的集约利用、梯级利用以及基础设施和信息的共享，实现固体废物综合利用的最大化和废物“零”排放。探索循环经济技术、低碳技术的研发和应用，尤其是涉及原料的减量化利用、有毒有害原料的替代利用、有利于多次循环利用技术的开发以及产业间链接耦合关键技术的开发和应用。重视配套技术政策、标准、规范的制定；开展制度体系建设，体现空间布局，并体现“四节一综合”，即节能、节水、节地、节材和综合利用的相关内容。</w:t>
      </w:r>
    </w:p>
    <w:p>
      <w:pPr>
        <w:keepNext w:val="0"/>
        <w:keepLines w:val="0"/>
        <w:pageBreakBefore w:val="0"/>
        <w:widowControl w:val="0"/>
        <w:kinsoku/>
        <w:wordWrap/>
        <w:overflowPunct/>
        <w:topLinePunct w:val="0"/>
        <w:autoSpaceDE/>
        <w:autoSpaceDN/>
        <w:bidi w:val="0"/>
        <w:adjustRightInd/>
        <w:snapToGrid/>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189" w:name="_Toc28924"/>
      <w:bookmarkStart w:id="190" w:name="_Toc19470"/>
      <w:bookmarkStart w:id="191" w:name="_Toc29112"/>
      <w:bookmarkStart w:id="192" w:name="_Toc5129"/>
      <w:r>
        <w:rPr>
          <w:rFonts w:hint="eastAsia" w:ascii="Times New Roman" w:hAnsi="Times New Roman" w:eastAsia="楷体"/>
          <w:b/>
          <w:bCs/>
          <w:color w:val="auto"/>
          <w:sz w:val="36"/>
          <w:szCs w:val="36"/>
        </w:rPr>
        <w:t>第十三条</w:t>
      </w:r>
      <w:r>
        <w:rPr>
          <w:rFonts w:hint="eastAsia" w:ascii="Times New Roman" w:hAnsi="Times New Roman" w:eastAsia="楷体"/>
          <w:b/>
          <w:bCs/>
          <w:color w:val="auto"/>
          <w:sz w:val="36"/>
          <w:szCs w:val="36"/>
          <w:lang w:val="en-US" w:eastAsia="zh-CN"/>
        </w:rPr>
        <w:t xml:space="preserve">  筑造</w:t>
      </w:r>
      <w:r>
        <w:rPr>
          <w:rFonts w:hint="eastAsia" w:ascii="Times New Roman" w:hAnsi="Times New Roman" w:eastAsia="楷体"/>
          <w:b/>
          <w:bCs/>
          <w:color w:val="auto"/>
          <w:sz w:val="36"/>
          <w:szCs w:val="36"/>
        </w:rPr>
        <w:t>生态生活</w:t>
      </w:r>
      <w:bookmarkEnd w:id="189"/>
      <w:bookmarkEnd w:id="190"/>
      <w:bookmarkEnd w:id="191"/>
      <w:bookmarkEnd w:id="192"/>
    </w:p>
    <w:p>
      <w:pPr>
        <w:spacing w:line="360" w:lineRule="auto"/>
        <w:ind w:firstLine="643" w:firstLineChars="200"/>
        <w:outlineLvl w:val="2"/>
        <w:rPr>
          <w:rFonts w:ascii="Times New Roman" w:hAnsi="Times New Roman" w:eastAsia="仿宋_GB2312"/>
          <w:b/>
          <w:color w:val="auto"/>
          <w:sz w:val="32"/>
          <w:szCs w:val="21"/>
        </w:rPr>
      </w:pPr>
      <w:bookmarkStart w:id="193" w:name="_Toc13342"/>
      <w:bookmarkStart w:id="194" w:name="_Toc11280"/>
      <w:bookmarkStart w:id="195" w:name="_Toc14085"/>
      <w:r>
        <w:rPr>
          <w:rFonts w:hint="eastAsia" w:ascii="Times New Roman" w:hAnsi="Times New Roman" w:eastAsia="仿宋_GB2312"/>
          <w:b/>
          <w:color w:val="auto"/>
          <w:sz w:val="32"/>
          <w:szCs w:val="21"/>
        </w:rPr>
        <w:t>（一）加快城乡环境一体化建设</w:t>
      </w:r>
      <w:bookmarkEnd w:id="193"/>
      <w:bookmarkEnd w:id="194"/>
      <w:bookmarkEnd w:id="195"/>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推动城乡融合发展。</w:t>
      </w:r>
      <w:r>
        <w:rPr>
          <w:rFonts w:hint="eastAsia" w:ascii="Times New Roman" w:hAnsi="Times New Roman" w:eastAsia="仿宋_GB2312"/>
          <w:bCs/>
          <w:color w:val="auto"/>
          <w:kern w:val="0"/>
          <w:sz w:val="30"/>
          <w:szCs w:val="30"/>
        </w:rPr>
        <w:t>突出城乡统筹程度高的优势，在新型城镇化上聚焦发力、走在前列。坚持全域精致城市发展理念，以城乡融合发展为路径，把城市片区这个新引擎做强，提升中心城区首位引领作用，构建“主城—副城—新镇—片区”四级公共中心体系。加快威海海高园、好运角旅游度假区突破发展，推动人和、虎山西南片区全面崛起。坚持规模适度、产业集聚、功能集成、要素集约，深化建设一批高品质的小城市、中心镇、特色镇，把精致小镇节点做实，按照“五洁、四优、三规范”标准，推动镇容镇貌、基础设施、秩序管理全面提升，实现镇域经济新跨越。把乡村振兴这篇大文章做优，强化样板片区示范带动，实施农村人居环境整治提升五年行动，深化乡村治理体系，提升农村基础设施建设和公共服务水平，在农业农村现代化和城乡融合发展上走在全省全国前列。</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val="0"/>
          <w:color w:val="auto"/>
          <w:kern w:val="0"/>
          <w:sz w:val="30"/>
          <w:szCs w:val="30"/>
          <w:lang w:val="zh-CN"/>
        </w:rPr>
        <w:t>保障饮用水水源环境安全。</w:t>
      </w:r>
      <w:r>
        <w:rPr>
          <w:rFonts w:hint="eastAsia" w:ascii="Times New Roman" w:hAnsi="Times New Roman" w:eastAsia="仿宋_GB2312"/>
          <w:bCs/>
          <w:color w:val="auto"/>
          <w:kern w:val="0"/>
          <w:sz w:val="30"/>
          <w:szCs w:val="30"/>
        </w:rPr>
        <w:t>完善城市饮用水水源地生态环境保护。加大湖库型水源地上游水源涵养，通过建设前置库和生态沟渠、生态缓冲带等设施，减缓面源污染影响。在水源地上游及周边推进环水有机农业发展，大力推进水源地上游非规模化畜禽养殖户粪污资源化利用。建立健全饮用水水源安全预警体系，完善应急设施和应急物资储备，保障饮水安全。进一步规范农村饮用水水源地环境管理。有序开展农村饮用水水源地水质信息公开。开展农村千吨万人水源地违规项目清理，开展环境风险源排查防范，强化水源地环境应急管理。加强对分散式农村饮用水水源地的保护，建立定期监测工作机制。建立一批农村规模化工厂和饮水安全工程，全面解决农村饮水安全问题，到2025年，农村集中供水率达到100%。</w:t>
      </w:r>
    </w:p>
    <w:p>
      <w:pPr>
        <w:spacing w:line="360" w:lineRule="auto"/>
        <w:ind w:firstLine="643" w:firstLineChars="200"/>
        <w:outlineLvl w:val="2"/>
        <w:rPr>
          <w:rFonts w:ascii="Times New Roman" w:hAnsi="Times New Roman" w:eastAsia="仿宋_GB2312"/>
          <w:b/>
          <w:color w:val="auto"/>
          <w:sz w:val="32"/>
          <w:szCs w:val="21"/>
        </w:rPr>
      </w:pPr>
      <w:bookmarkStart w:id="196" w:name="_Toc8285"/>
      <w:bookmarkStart w:id="197" w:name="_Toc31032"/>
      <w:bookmarkStart w:id="198" w:name="_Toc9579"/>
      <w:r>
        <w:rPr>
          <w:rFonts w:hint="eastAsia" w:ascii="Times New Roman" w:hAnsi="Times New Roman" w:eastAsia="仿宋_GB2312"/>
          <w:b/>
          <w:color w:val="auto"/>
          <w:sz w:val="32"/>
          <w:szCs w:val="21"/>
        </w:rPr>
        <w:t>（二）</w:t>
      </w:r>
      <w:bookmarkEnd w:id="196"/>
      <w:bookmarkEnd w:id="197"/>
      <w:r>
        <w:rPr>
          <w:rFonts w:hint="eastAsia" w:ascii="Times New Roman" w:hAnsi="Times New Roman" w:eastAsia="仿宋_GB2312"/>
          <w:b/>
          <w:color w:val="auto"/>
          <w:sz w:val="32"/>
          <w:szCs w:val="21"/>
        </w:rPr>
        <w:t>提升精致城市品质</w:t>
      </w:r>
      <w:bookmarkEnd w:id="198"/>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en-US" w:eastAsia="zh-CN"/>
        </w:rPr>
        <w:t>1.</w:t>
      </w:r>
      <w:r>
        <w:rPr>
          <w:rFonts w:hint="default" w:ascii="Times New Roman" w:hAnsi="Times New Roman" w:eastAsia="楷体" w:cs="Times New Roman"/>
          <w:b/>
          <w:color w:val="auto"/>
          <w:kern w:val="0"/>
          <w:sz w:val="30"/>
          <w:szCs w:val="30"/>
          <w:lang w:val="zh-CN"/>
        </w:rPr>
        <w:t>提</w:t>
      </w:r>
      <w:r>
        <w:rPr>
          <w:rFonts w:hint="eastAsia" w:ascii="楷体" w:hAnsi="楷体" w:eastAsia="楷体" w:cs="楷体"/>
          <w:b/>
          <w:color w:val="auto"/>
          <w:kern w:val="0"/>
          <w:sz w:val="30"/>
          <w:szCs w:val="30"/>
          <w:lang w:val="zh-CN"/>
        </w:rPr>
        <w:t>升中心市区首位引领作用</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严控建设规模和开发强度，提升生态宜居和智慧管理水平，推动城市发展品质化、业态高端化。有序扩大规模容量，优化空间布局，完善城市功能，增强人口吸纳、要素集聚和产业支撑能力。进一步推广海绵城市、无废城市建设理念，积极探索社区雨水、中水回用，提升城市生态系统功能。积极推进老旧小区改造，对城区住宅小区的自来水、绿化、停车、管网设施完成改造提升。</w:t>
      </w:r>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en-US" w:eastAsia="zh-CN"/>
        </w:rPr>
        <w:t>2.</w:t>
      </w:r>
      <w:r>
        <w:rPr>
          <w:rFonts w:hint="eastAsia" w:ascii="楷体" w:hAnsi="楷体" w:eastAsia="楷体" w:cs="楷体"/>
          <w:b/>
          <w:color w:val="auto"/>
          <w:kern w:val="0"/>
          <w:sz w:val="30"/>
          <w:szCs w:val="30"/>
          <w:lang w:val="zh-CN"/>
        </w:rPr>
        <w:t>塑造城市特色风貌</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实施精致城市建设工程，加强城市基础设施建设，优化路网结构。铺装自行车慢行彩色陶瓷颗粒路面，完善交通环境。加强对城市空间立体性、平面协调性、风貌整体性、文脉延续性等方面的规划和管控，留住城市特有的地域环境、文化特色、建筑风格等“基因”。完善控制性详细规划编制，预留城区通风、视线廊道，严控临山、滨水区域建筑高度、密度、体量、容积率和后退距离，保证山体和海、河、湖面可见性。</w:t>
      </w:r>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en-US" w:eastAsia="zh-CN"/>
        </w:rPr>
        <w:t>3.</w:t>
      </w:r>
      <w:r>
        <w:rPr>
          <w:rFonts w:hint="default" w:ascii="Times New Roman" w:hAnsi="Times New Roman" w:eastAsia="楷体" w:cs="Times New Roman"/>
          <w:b/>
          <w:color w:val="auto"/>
          <w:kern w:val="0"/>
          <w:sz w:val="30"/>
          <w:szCs w:val="30"/>
          <w:lang w:val="zh-CN"/>
        </w:rPr>
        <w:t>提</w:t>
      </w:r>
      <w:r>
        <w:rPr>
          <w:rFonts w:hint="eastAsia" w:ascii="楷体" w:hAnsi="楷体" w:eastAsia="楷体" w:cs="楷体"/>
          <w:b/>
          <w:color w:val="auto"/>
          <w:kern w:val="0"/>
          <w:sz w:val="30"/>
          <w:szCs w:val="30"/>
          <w:lang w:val="zh-CN"/>
        </w:rPr>
        <w:t>高绿色建筑建设水平</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大力推进可再生能源和绿色建材在建筑中的应用，积极推进太阳能采暖、太阳能光伏发电在建筑中的应用，集中连片发展绿色节能建筑，积极推广被动式超低能耗建筑。完善绿色建筑激励与考核机制，落实相关绿色建筑评价标准，力争城镇绿色建筑占新建建筑比例达100%。实施“节能产品惠民工程”，完善惠民补贴政策，采取间接补贴消费者方式，扩大节能环保产品使用和消费，倡导居民使用高效节能产品。</w:t>
      </w:r>
      <w:bookmarkStart w:id="199" w:name="_Toc17783"/>
      <w:bookmarkStart w:id="200" w:name="_Toc21252"/>
    </w:p>
    <w:p>
      <w:pPr>
        <w:spacing w:line="360" w:lineRule="auto"/>
        <w:ind w:firstLine="602" w:firstLineChars="200"/>
        <w:rPr>
          <w:rFonts w:ascii="Times New Roman" w:hAnsi="Times New Roman" w:eastAsia="楷体"/>
          <w:b/>
          <w:bCs/>
          <w:color w:val="auto"/>
          <w:kern w:val="0"/>
          <w:sz w:val="30"/>
          <w:szCs w:val="30"/>
        </w:rPr>
      </w:pPr>
      <w:r>
        <w:rPr>
          <w:rFonts w:hint="eastAsia" w:ascii="Times New Roman" w:hAnsi="Times New Roman" w:eastAsia="楷体"/>
          <w:b/>
          <w:bCs/>
          <w:color w:val="auto"/>
          <w:kern w:val="0"/>
          <w:sz w:val="30"/>
          <w:szCs w:val="30"/>
          <w:lang w:val="en-US" w:eastAsia="zh-CN"/>
        </w:rPr>
        <w:t>4</w:t>
      </w:r>
      <w:r>
        <w:rPr>
          <w:rFonts w:hint="eastAsia" w:ascii="Times New Roman" w:hAnsi="Times New Roman" w:eastAsia="楷体"/>
          <w:b/>
          <w:bCs/>
          <w:color w:val="auto"/>
          <w:kern w:val="0"/>
          <w:sz w:val="30"/>
          <w:szCs w:val="30"/>
        </w:rPr>
        <w:t>.</w:t>
      </w:r>
      <w:r>
        <w:rPr>
          <w:rFonts w:ascii="Times New Roman" w:hAnsi="Times New Roman" w:eastAsia="楷体"/>
          <w:b/>
          <w:bCs/>
          <w:color w:val="auto"/>
          <w:kern w:val="0"/>
          <w:sz w:val="30"/>
          <w:szCs w:val="30"/>
        </w:rPr>
        <w:t>持续推动绿化养护升级</w:t>
      </w:r>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重点实施城区绿化、村庄绿化美化、干路沿线绿化提升等工程，不断改善城乡人居和生态环境，打造滨海生态花园城市。扎实推进裸露土地全覆盖工作，切实增强城区绿化观赏性。遵循生态自然的景观理念，合理搭配苗木品种，提升精致城市环境质量。建立强化社会绿化监管模式，提高园林绿化成效，切实增强单位、庭院、居住区绿化养护管理，形成完善的养护管理长效机制，提高园林绿化景观长效性。</w:t>
      </w:r>
    </w:p>
    <w:p>
      <w:pPr>
        <w:spacing w:line="360" w:lineRule="auto"/>
        <w:ind w:firstLine="643" w:firstLineChars="200"/>
        <w:outlineLvl w:val="2"/>
        <w:rPr>
          <w:rFonts w:ascii="Times New Roman" w:hAnsi="Times New Roman" w:eastAsia="仿宋_GB2312"/>
          <w:b/>
          <w:color w:val="auto"/>
          <w:sz w:val="32"/>
          <w:szCs w:val="21"/>
        </w:rPr>
      </w:pPr>
      <w:bookmarkStart w:id="201" w:name="_Toc27422"/>
      <w:r>
        <w:rPr>
          <w:rFonts w:hint="eastAsia" w:ascii="Times New Roman" w:hAnsi="Times New Roman" w:eastAsia="仿宋_GB2312"/>
          <w:b/>
          <w:color w:val="auto"/>
          <w:sz w:val="32"/>
          <w:szCs w:val="21"/>
        </w:rPr>
        <w:t>（三）推进美丽乡村建设</w:t>
      </w:r>
      <w:bookmarkEnd w:id="199"/>
      <w:bookmarkEnd w:id="200"/>
      <w:bookmarkEnd w:id="201"/>
    </w:p>
    <w:p>
      <w:pPr>
        <w:spacing w:line="360" w:lineRule="auto"/>
        <w:ind w:firstLine="602" w:firstLineChars="200"/>
        <w:rPr>
          <w:rFonts w:ascii="楷体" w:hAnsi="楷体" w:eastAsia="楷体" w:cs="楷体"/>
          <w:b/>
          <w:color w:val="auto"/>
          <w:kern w:val="0"/>
          <w:sz w:val="30"/>
          <w:szCs w:val="30"/>
          <w:lang w:val="zh-CN"/>
        </w:rPr>
      </w:pPr>
      <w:r>
        <w:rPr>
          <w:rFonts w:ascii="Times New Roman" w:hAnsi="Times New Roman" w:eastAsia="楷体"/>
          <w:b/>
          <w:color w:val="auto"/>
          <w:kern w:val="0"/>
          <w:sz w:val="30"/>
          <w:szCs w:val="30"/>
        </w:rPr>
        <w:t>1.</w:t>
      </w:r>
      <w:r>
        <w:rPr>
          <w:rFonts w:ascii="Times New Roman" w:hAnsi="Times New Roman" w:eastAsia="楷体"/>
          <w:b/>
          <w:color w:val="auto"/>
          <w:kern w:val="0"/>
          <w:sz w:val="30"/>
          <w:szCs w:val="30"/>
          <w:lang w:val="zh-CN"/>
        </w:rPr>
        <w:t>全</w:t>
      </w:r>
      <w:r>
        <w:rPr>
          <w:rFonts w:hint="eastAsia" w:ascii="楷体" w:hAnsi="楷体" w:eastAsia="楷体" w:cs="楷体"/>
          <w:b/>
          <w:color w:val="auto"/>
          <w:kern w:val="0"/>
          <w:sz w:val="30"/>
          <w:szCs w:val="30"/>
          <w:lang w:val="zh-CN"/>
        </w:rPr>
        <w:t>面推进乡村振兴</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加强耕地保护，防止耕地“非农化”“非粮化”，全面推广高标准农田建设，重点实施耕地质量提升综合集成技术，实施崖西粮食功能区土地整治，稳定全市粮食产量。推进产业深度融合，立足北部滨海康养、中部现代苹果、南部渔家风情三大片区组团，统筹抓好规划策划、项目招商和设施提升，推动三大片区渔农融合、一体发展，基本建成全域精致样板片区。以现代农业园区和精致农业示范基地为示范样板，加强规划引导，控制规模、打造精品，发展集一产种植、二产加工及休闲采摘、农事体验、科普宣教等功能于一体的精致农业基地和现代农业产业园区，推动农业与科技、文化、生态的深度融合。结合山水、海岸线、沿海景观、地貌等自然特点，以生态、休闲、旅游为基本要素，统筹自然绿色廊道、生态路径、海岸线、村庄公共空间，加快推进全域旅游示范区建设，构筑全域美丽乡村蓝图，打造独具魅力的都市美丽乡村、农民幸福家园，创建国家美丽乡村建设示范区。</w:t>
      </w:r>
    </w:p>
    <w:p>
      <w:pPr>
        <w:spacing w:line="360" w:lineRule="auto"/>
        <w:ind w:firstLine="602" w:firstLineChars="200"/>
        <w:rPr>
          <w:rFonts w:ascii="楷体" w:hAnsi="楷体" w:eastAsia="楷体" w:cs="楷体"/>
          <w:b/>
          <w:color w:val="auto"/>
          <w:kern w:val="0"/>
          <w:sz w:val="30"/>
          <w:szCs w:val="30"/>
          <w:lang w:val="zh-CN"/>
        </w:rPr>
      </w:pPr>
      <w:r>
        <w:rPr>
          <w:rFonts w:ascii="Times New Roman" w:hAnsi="Times New Roman" w:eastAsia="楷体"/>
          <w:b/>
          <w:color w:val="auto"/>
          <w:kern w:val="0"/>
          <w:sz w:val="30"/>
          <w:szCs w:val="30"/>
        </w:rPr>
        <w:t>2.</w:t>
      </w:r>
      <w:r>
        <w:rPr>
          <w:rFonts w:hint="eastAsia" w:ascii="楷体" w:hAnsi="楷体" w:eastAsia="楷体" w:cs="楷体"/>
          <w:b/>
          <w:color w:val="auto"/>
          <w:kern w:val="0"/>
          <w:sz w:val="30"/>
          <w:szCs w:val="30"/>
          <w:lang w:val="zh-CN"/>
        </w:rPr>
        <w:t>人居环境整治提档升级</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实施农村人居环境“六个提升”。</w:t>
      </w:r>
      <w:r>
        <w:rPr>
          <w:rFonts w:hint="eastAsia" w:ascii="Times New Roman" w:hAnsi="Times New Roman" w:eastAsia="仿宋_GB2312"/>
          <w:bCs/>
          <w:color w:val="auto"/>
          <w:kern w:val="0"/>
          <w:sz w:val="30"/>
          <w:szCs w:val="30"/>
        </w:rPr>
        <w:t>充分尊重乡村发展规律和村民意愿，开展新一轮农村人居环境提升行动，保护传统村落和乡村风貌，加快建设全域美丽宜居乡村，重点实施村内道路、环卫保洁、垃圾分类、污水、绿化和居室环境等行动。修复村内道路，村内通户道路“户户通”硬化全覆盖，道路完好率保持90%以上。完善环卫一体化和垃圾分类督查考核制度，加强标准化运行管理，污水处理设施全覆盖。开展新一轮绿化提升行动，完成绿化苗木栽植30</w:t>
      </w:r>
      <w:r>
        <w:rPr>
          <w:rFonts w:hint="eastAsia" w:ascii="Times New Roman" w:hAnsi="Times New Roman" w:eastAsia="仿宋_GB2312"/>
          <w:bCs/>
          <w:color w:val="auto"/>
          <w:kern w:val="0"/>
          <w:sz w:val="30"/>
          <w:szCs w:val="30"/>
          <w:lang w:val="en-US" w:eastAsia="zh-CN"/>
        </w:rPr>
        <w:t>0</w:t>
      </w:r>
      <w:r>
        <w:rPr>
          <w:rFonts w:hint="eastAsia" w:ascii="Times New Roman" w:hAnsi="Times New Roman" w:eastAsia="仿宋_GB2312"/>
          <w:bCs/>
          <w:color w:val="auto"/>
          <w:kern w:val="0"/>
          <w:sz w:val="30"/>
          <w:szCs w:val="30"/>
        </w:rPr>
        <w:t>万株。巩固清洁家园整治成效，提升清洁家园示范户、精品户覆盖水平。开展美丽村居建设“四一三”行动，培育地域文化鲜明、建筑风格多样、田园风光优美的美丽村居。健全农村人居环境长效管护机制，推进农村绿化、改厕、环卫一体化、污水处理综合管护，叫响“美在农村”品牌。</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打造乡村振兴样板片区“五个组团”。</w:t>
      </w:r>
      <w:r>
        <w:rPr>
          <w:rFonts w:hint="eastAsia" w:ascii="Times New Roman" w:hAnsi="Times New Roman" w:eastAsia="仿宋_GB2312"/>
          <w:bCs/>
          <w:color w:val="auto"/>
          <w:kern w:val="0"/>
          <w:sz w:val="30"/>
          <w:szCs w:val="30"/>
        </w:rPr>
        <w:t>深化样板片区建设，按照专业规划、整合资源、全面提升的原则，依托宁津、荫子、夏庄等片区，突破镇街地域界限，集聚资源，集中攻坚，打造渔家风情、美丽田园、伟德花果里、海牧蓝乡、桃源里五个组团，培植一批重点示范样板片区。</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楷体_GB2312" w:hAnsi="楷体_GB2312" w:eastAsia="楷体_GB2312" w:cs="楷体_GB2312"/>
          <w:bCs/>
          <w:color w:val="auto"/>
          <w:kern w:val="0"/>
          <w:sz w:val="30"/>
          <w:szCs w:val="30"/>
        </w:rPr>
        <w:t>培植美丽乡村“六类典型”。</w:t>
      </w:r>
      <w:r>
        <w:rPr>
          <w:rFonts w:hint="eastAsia" w:ascii="Times New Roman" w:hAnsi="Times New Roman" w:eastAsia="仿宋_GB2312"/>
          <w:bCs/>
          <w:color w:val="auto"/>
          <w:kern w:val="0"/>
          <w:sz w:val="30"/>
          <w:szCs w:val="30"/>
        </w:rPr>
        <w:t>开展特色化村庄建设，总结农村环境整治，以省市级美丽乡村示范村为基础，围绕“村容、道路、绿化、产业、文化、治理”六方面，分类施策、重点建设，打造具有荣成特色的新时代村庄品牌。</w:t>
      </w:r>
    </w:p>
    <w:p>
      <w:pPr>
        <w:spacing w:line="360" w:lineRule="auto"/>
        <w:ind w:firstLine="602" w:firstLineChars="200"/>
        <w:rPr>
          <w:rFonts w:ascii="楷体" w:hAnsi="楷体" w:eastAsia="楷体" w:cs="楷体"/>
          <w:b/>
          <w:color w:val="auto"/>
          <w:kern w:val="0"/>
          <w:sz w:val="30"/>
          <w:szCs w:val="30"/>
          <w:lang w:val="zh-CN"/>
        </w:rPr>
      </w:pPr>
      <w:r>
        <w:rPr>
          <w:rFonts w:ascii="Times New Roman" w:hAnsi="Times New Roman" w:eastAsia="楷体"/>
          <w:b/>
          <w:color w:val="auto"/>
          <w:kern w:val="0"/>
          <w:sz w:val="30"/>
          <w:szCs w:val="30"/>
        </w:rPr>
        <w:t>3.</w:t>
      </w:r>
      <w:r>
        <w:rPr>
          <w:rFonts w:hint="eastAsia" w:ascii="楷体" w:hAnsi="楷体" w:eastAsia="楷体" w:cs="楷体"/>
          <w:b/>
          <w:color w:val="auto"/>
          <w:kern w:val="0"/>
          <w:sz w:val="30"/>
          <w:szCs w:val="30"/>
          <w:lang w:val="zh-CN"/>
        </w:rPr>
        <w:t>发展集约化、标准化、绿色化和规模化畜禽养殖</w:t>
      </w:r>
    </w:p>
    <w:p>
      <w:pPr>
        <w:spacing w:line="360" w:lineRule="auto"/>
        <w:ind w:firstLine="600" w:firstLineChars="200"/>
        <w:rPr>
          <w:rFonts w:hint="default" w:ascii="Times New Roman" w:hAnsi="Times New Roman" w:eastAsia="仿宋_GB2312"/>
          <w:bCs/>
          <w:color w:val="auto"/>
          <w:kern w:val="0"/>
          <w:sz w:val="30"/>
          <w:szCs w:val="30"/>
          <w:lang w:val="en-US" w:eastAsia="zh-CN"/>
        </w:rPr>
      </w:pPr>
      <w:r>
        <w:rPr>
          <w:rFonts w:hint="eastAsia" w:ascii="Times New Roman" w:hAnsi="Times New Roman" w:eastAsia="仿宋_GB2312"/>
          <w:bCs/>
          <w:color w:val="auto"/>
          <w:kern w:val="0"/>
          <w:sz w:val="30"/>
          <w:szCs w:val="30"/>
        </w:rPr>
        <w:t>引导畜禽养殖向承载潜力大的区域特别是粮食和果菜茶种植密集区域、优势区域适当转移。坚持以肥料化和能源化为主要利用方向，重点建立种养结合、农牧循环的绿色畜牧业发展模式，根据养殖类型、养殖规模和周边土地消纳能力等，分类推进畜禽粪污处理和利用。推进在养殖密集区域集中建设畜禽粪便收集处理利用中心，实现粪污统一收集、集中处理、区域利用。依法加强饲料中超剂量使用铜、锌等问题监管。加强兽用抗菌药综合治理，实施动物源细菌耐药性监测、药物饲料添加剂退出和兽用抗菌药使用减量化行动。规模化养殖场粪污处理设施装备配套率达到100%。畜禽养殖场粪污综合利用率</w:t>
      </w:r>
      <w:r>
        <w:rPr>
          <w:rFonts w:hint="eastAsia" w:ascii="Times New Roman" w:hAnsi="Times New Roman" w:eastAsia="仿宋_GB2312"/>
          <w:bCs/>
          <w:color w:val="auto"/>
          <w:kern w:val="0"/>
          <w:sz w:val="30"/>
          <w:szCs w:val="30"/>
          <w:lang w:val="en-US" w:eastAsia="zh-CN"/>
        </w:rPr>
        <w:t>达到95%。</w:t>
      </w:r>
    </w:p>
    <w:p>
      <w:pPr>
        <w:spacing w:line="360" w:lineRule="auto"/>
        <w:ind w:firstLine="643" w:firstLineChars="200"/>
        <w:outlineLvl w:val="2"/>
        <w:rPr>
          <w:rFonts w:ascii="Times New Roman" w:hAnsi="Times New Roman" w:eastAsia="仿宋_GB2312"/>
          <w:b/>
          <w:color w:val="auto"/>
          <w:sz w:val="32"/>
          <w:szCs w:val="21"/>
        </w:rPr>
      </w:pPr>
      <w:bookmarkStart w:id="202" w:name="_Toc19480"/>
      <w:bookmarkStart w:id="203" w:name="_Toc25221"/>
      <w:bookmarkStart w:id="204" w:name="_Toc3208"/>
      <w:r>
        <w:rPr>
          <w:rFonts w:hint="eastAsia" w:ascii="Times New Roman" w:hAnsi="Times New Roman" w:eastAsia="仿宋_GB2312"/>
          <w:b/>
          <w:color w:val="auto"/>
          <w:sz w:val="32"/>
          <w:szCs w:val="21"/>
        </w:rPr>
        <w:t>（四）倡导绿色生活方式</w:t>
      </w:r>
      <w:bookmarkEnd w:id="202"/>
      <w:bookmarkEnd w:id="203"/>
      <w:bookmarkEnd w:id="204"/>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zh-CN"/>
        </w:rPr>
        <w:t>1.培</w:t>
      </w:r>
      <w:r>
        <w:rPr>
          <w:rFonts w:hint="eastAsia" w:ascii="楷体" w:hAnsi="楷体" w:eastAsia="楷体" w:cs="楷体"/>
          <w:b/>
          <w:color w:val="auto"/>
          <w:kern w:val="0"/>
          <w:sz w:val="30"/>
          <w:szCs w:val="30"/>
          <w:lang w:val="zh-CN"/>
        </w:rPr>
        <w:t>养绿色理念</w:t>
      </w:r>
    </w:p>
    <w:p>
      <w:pPr>
        <w:spacing w:line="360" w:lineRule="auto"/>
        <w:ind w:firstLine="600" w:firstLineChars="200"/>
        <w:rPr>
          <w:rFonts w:ascii="Times New Roman" w:hAnsi="Times New Roman" w:eastAsia="仿宋_GB2312"/>
          <w:bCs/>
          <w:color w:val="auto"/>
          <w:kern w:val="0"/>
          <w:sz w:val="30"/>
          <w:szCs w:val="30"/>
          <w:lang w:val="zh-CN"/>
        </w:rPr>
      </w:pPr>
      <w:r>
        <w:rPr>
          <w:rFonts w:hint="eastAsia" w:ascii="Times New Roman" w:hAnsi="Times New Roman" w:eastAsia="仿宋_GB2312"/>
          <w:bCs/>
          <w:color w:val="auto"/>
          <w:kern w:val="0"/>
          <w:sz w:val="30"/>
          <w:szCs w:val="30"/>
        </w:rPr>
        <w:t>宣传生态文明理念，展现生态优先、绿色发展的生态实践，倡导勤俭节约、低碳绿色、文明健康的生活方式和消费模式，广泛开展节约型机关、绿色家庭等行动，增强全民生态环保意识，让崇尚自然、尊重自然的价值理念深入人心。深入推进生活垃圾分类，建成生活垃圾分类处理系统，推广“农村垃圾分类与全域化社会信用体系建设衔接”模式，到2022年，全市基本建成生活垃圾分类处理系统，全社会生活垃圾分类习惯自觉养成，垃圾分类成为生活“新时尚”。开展“低碳社会，由我做起”活动，坚持政府主导、企业主体、多方参与、全民行动，大力培育和弘扬生态文化，用绿色发展理念影响公众行为。</w:t>
      </w:r>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zh-CN"/>
        </w:rPr>
        <w:t>2.</w:t>
      </w:r>
      <w:r>
        <w:rPr>
          <w:rFonts w:hint="eastAsia" w:ascii="楷体" w:hAnsi="楷体" w:eastAsia="楷体" w:cs="楷体"/>
          <w:b/>
          <w:color w:val="auto"/>
          <w:kern w:val="0"/>
          <w:sz w:val="30"/>
          <w:szCs w:val="30"/>
          <w:lang w:val="zh-CN"/>
        </w:rPr>
        <w:t>提倡绿色消费</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广泛开展绿色消费教育，普及绿色消费知识。倡导消费时选择绿色产品，减少奢侈消费和过度消费，结合“无废城市”建设探索塑料减量化和绿色快递物流模式，到2022年绿色生活创建行动取得积极进展，一次性塑料制品消费量明显减少。在衣食住行等各个领域推进绿色化，注重节约资源和能源。</w:t>
      </w:r>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zh-CN"/>
        </w:rPr>
        <w:t>3.</w:t>
      </w:r>
      <w:r>
        <w:rPr>
          <w:rFonts w:hint="eastAsia" w:ascii="楷体" w:hAnsi="楷体" w:eastAsia="楷体" w:cs="楷体"/>
          <w:b/>
          <w:color w:val="auto"/>
          <w:kern w:val="0"/>
          <w:sz w:val="30"/>
          <w:szCs w:val="30"/>
          <w:lang w:val="zh-CN"/>
        </w:rPr>
        <w:t>推行绿色居住</w:t>
      </w:r>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积极宣传推广绿色饮食、节约用水、环保装修、垃圾分类等生活知识，培养健康、文明的行为方式和良好的公共环境卫生意识，摒弃不良习惯和不文明行为，让绿色理念渗透到居民生活的各个层面，让绿色低碳成为每个家庭的自觉选择。</w:t>
      </w:r>
    </w:p>
    <w:p>
      <w:pPr>
        <w:spacing w:line="360" w:lineRule="auto"/>
        <w:ind w:firstLine="602" w:firstLineChars="200"/>
        <w:rPr>
          <w:rFonts w:hint="eastAsia" w:ascii="楷体" w:hAnsi="楷体" w:eastAsia="楷体" w:cs="楷体"/>
          <w:b/>
          <w:color w:val="auto"/>
          <w:kern w:val="0"/>
          <w:sz w:val="30"/>
          <w:szCs w:val="30"/>
          <w:lang w:val="zh-CN"/>
        </w:rPr>
      </w:pPr>
      <w:r>
        <w:rPr>
          <w:rFonts w:hint="default" w:ascii="Times New Roman" w:hAnsi="Times New Roman" w:eastAsia="楷体" w:cs="Times New Roman"/>
          <w:b/>
          <w:color w:val="auto"/>
          <w:kern w:val="0"/>
          <w:sz w:val="30"/>
          <w:szCs w:val="30"/>
          <w:lang w:val="zh-CN"/>
        </w:rPr>
        <w:t>4.倡</w:t>
      </w:r>
      <w:r>
        <w:rPr>
          <w:rFonts w:hint="eastAsia" w:ascii="楷体" w:hAnsi="楷体" w:eastAsia="楷体" w:cs="楷体"/>
          <w:b/>
          <w:color w:val="auto"/>
          <w:kern w:val="0"/>
          <w:sz w:val="30"/>
          <w:szCs w:val="30"/>
          <w:lang w:val="zh-CN"/>
        </w:rPr>
        <w:t>导绿色出行</w:t>
      </w:r>
    </w:p>
    <w:p>
      <w:pPr>
        <w:spacing w:line="360" w:lineRule="auto"/>
        <w:ind w:firstLine="6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完善城市绿色交通建设，加快城市绿色公共交通体系建设，完善BRT、商务快线、旅游专线、大站快车、社区接驳公交、高峰通勤班车、定制公交等特色公共交通服务。</w:t>
      </w:r>
      <w:r>
        <w:rPr>
          <w:rFonts w:ascii="Times New Roman" w:hAnsi="Times New Roman" w:eastAsia="仿宋_GB2312"/>
          <w:bCs/>
          <w:color w:val="auto"/>
          <w:kern w:val="0"/>
          <w:sz w:val="30"/>
          <w:szCs w:val="30"/>
        </w:rPr>
        <w:t>开展绿色出行创建行动，加大区域和城乡公共交通设施建设力度，持续在城市公共交通、出租汽车、分时租赁、旅游观光、机场港口摆渡、政府机关及公共机构等领域推广节能、新能源车辆利用，加快配套设施建设。</w:t>
      </w:r>
      <w:r>
        <w:rPr>
          <w:rFonts w:hint="eastAsia" w:ascii="Times New Roman" w:hAnsi="Times New Roman" w:eastAsia="仿宋_GB2312"/>
          <w:bCs/>
          <w:color w:val="auto"/>
          <w:kern w:val="0"/>
          <w:sz w:val="30"/>
          <w:szCs w:val="30"/>
        </w:rPr>
        <w:t>倡导“能走不骑，能骑不坐，能坐不开”，鼓励城镇居民每周少开一天车，一公里内步行、三公里内骑行、城区交通尽可能采取乘坐公共交通工具、骑自行车或步行等低碳绿色的出行方式。多措并举解决城市中短距离出行和公交“最后一公里”的无缝对接。</w:t>
      </w:r>
    </w:p>
    <w:p>
      <w:pPr>
        <w:numPr>
          <w:ilvl w:val="255"/>
          <w:numId w:val="0"/>
        </w:numPr>
        <w:spacing w:line="360" w:lineRule="auto"/>
        <w:ind w:firstLine="643" w:firstLineChars="200"/>
        <w:outlineLvl w:val="2"/>
        <w:rPr>
          <w:rFonts w:ascii="Times New Roman" w:hAnsi="Times New Roman" w:eastAsia="仿宋_GB2312"/>
          <w:b/>
          <w:color w:val="auto"/>
          <w:sz w:val="32"/>
          <w:szCs w:val="21"/>
        </w:rPr>
      </w:pPr>
      <w:bookmarkStart w:id="205" w:name="_Toc28988"/>
      <w:r>
        <w:rPr>
          <w:rFonts w:hint="eastAsia" w:ascii="Times New Roman" w:hAnsi="Times New Roman" w:eastAsia="仿宋_GB2312"/>
          <w:b/>
          <w:color w:val="auto"/>
          <w:sz w:val="32"/>
          <w:szCs w:val="21"/>
        </w:rPr>
        <w:t>（</w:t>
      </w:r>
      <w:r>
        <w:rPr>
          <w:rFonts w:hint="eastAsia" w:ascii="Times New Roman" w:hAnsi="Times New Roman" w:eastAsia="仿宋_GB2312"/>
          <w:b/>
          <w:color w:val="auto"/>
          <w:sz w:val="32"/>
          <w:szCs w:val="21"/>
          <w:lang w:val="en-US" w:eastAsia="zh-CN"/>
        </w:rPr>
        <w:t>五</w:t>
      </w:r>
      <w:r>
        <w:rPr>
          <w:rFonts w:hint="eastAsia" w:ascii="Times New Roman" w:hAnsi="Times New Roman" w:eastAsia="仿宋_GB2312"/>
          <w:b/>
          <w:color w:val="auto"/>
          <w:sz w:val="32"/>
          <w:szCs w:val="21"/>
        </w:rPr>
        <w:t>）推进节水城市建设</w:t>
      </w:r>
      <w:bookmarkEnd w:id="205"/>
    </w:p>
    <w:p>
      <w:pPr>
        <w:adjustRightInd w:val="0"/>
        <w:snapToGrid w:val="0"/>
        <w:spacing w:line="360" w:lineRule="auto"/>
        <w:ind w:firstLine="600" w:firstLineChars="200"/>
        <w:rPr>
          <w:rFonts w:ascii="Times New Roman" w:hAnsi="Times New Roman"/>
          <w:bCs/>
          <w:color w:val="auto"/>
          <w:kern w:val="0"/>
          <w:szCs w:val="30"/>
        </w:rPr>
      </w:pPr>
      <w:r>
        <w:rPr>
          <w:rFonts w:hint="eastAsia" w:ascii="Times New Roman" w:hAnsi="Times New Roman" w:eastAsia="仿宋_GB2312"/>
          <w:bCs/>
          <w:color w:val="auto"/>
          <w:kern w:val="0"/>
          <w:sz w:val="30"/>
          <w:szCs w:val="30"/>
        </w:rPr>
        <w:t>在推进污水治理的同时，发展节水工业、节水农业，提高用水效率。建设超声波远程抄表系统，完善水资源监控管理平台。进一步加大市政再生水、海水、雨水等非常规水资源的利用。新、扩建一批市政再生水处理及配套设施，拓宽工业、市政和河道生态用水渠道。有序推进“国和一号”核电海水淡化项目建设。持续推进海绵城市建设，新建公建项目全面实施海绵城市建设措施。推进水网连通和水系连通工程建设，将非常规水资源与地表水、地下水、引调水共同纳入城市水资源统一配置，预留足够的生态水量。加大枯水期河道生态补水，保障必要生态流量。</w:t>
      </w:r>
    </w:p>
    <w:p>
      <w:pPr>
        <w:keepNext w:val="0"/>
        <w:keepLines w:val="0"/>
        <w:pageBreakBefore w:val="0"/>
        <w:widowControl w:val="0"/>
        <w:kinsoku/>
        <w:wordWrap/>
        <w:overflowPunct/>
        <w:topLinePunct w:val="0"/>
        <w:autoSpaceDE/>
        <w:autoSpaceDN/>
        <w:bidi w:val="0"/>
        <w:adjustRightInd w:val="0"/>
        <w:snapToGrid w:val="0"/>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206" w:name="_Toc31771"/>
      <w:bookmarkStart w:id="207" w:name="_Toc19118"/>
      <w:bookmarkStart w:id="208" w:name="_Toc15104"/>
      <w:bookmarkStart w:id="209" w:name="_Toc11062"/>
      <w:r>
        <w:rPr>
          <w:rFonts w:hint="eastAsia" w:ascii="Times New Roman" w:hAnsi="Times New Roman" w:eastAsia="楷体"/>
          <w:b/>
          <w:bCs/>
          <w:color w:val="auto"/>
          <w:sz w:val="36"/>
          <w:szCs w:val="36"/>
        </w:rPr>
        <w:t>第十四条</w:t>
      </w:r>
      <w:r>
        <w:rPr>
          <w:rFonts w:hint="eastAsia" w:ascii="Times New Roman" w:hAnsi="Times New Roman" w:eastAsia="楷体"/>
          <w:b/>
          <w:bCs/>
          <w:color w:val="auto"/>
          <w:sz w:val="36"/>
          <w:szCs w:val="36"/>
          <w:lang w:val="en-US" w:eastAsia="zh-CN"/>
        </w:rPr>
        <w:t xml:space="preserve">  培育</w:t>
      </w:r>
      <w:r>
        <w:rPr>
          <w:rFonts w:ascii="Times New Roman" w:hAnsi="Times New Roman" w:eastAsia="楷体"/>
          <w:b/>
          <w:bCs/>
          <w:color w:val="auto"/>
          <w:sz w:val="36"/>
          <w:szCs w:val="36"/>
        </w:rPr>
        <w:t>生态文化</w:t>
      </w:r>
      <w:bookmarkEnd w:id="206"/>
      <w:bookmarkEnd w:id="207"/>
      <w:bookmarkEnd w:id="208"/>
      <w:bookmarkEnd w:id="209"/>
    </w:p>
    <w:p>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outlineLvl w:val="2"/>
        <w:rPr>
          <w:rFonts w:ascii="Times New Roman" w:hAnsi="Times New Roman" w:eastAsia="仿宋_GB2312"/>
          <w:b/>
          <w:color w:val="auto"/>
          <w:sz w:val="32"/>
          <w:szCs w:val="21"/>
        </w:rPr>
      </w:pPr>
      <w:bookmarkStart w:id="210" w:name="_Toc19885"/>
      <w:bookmarkStart w:id="211" w:name="_Toc15852"/>
      <w:bookmarkStart w:id="212" w:name="_Toc28494"/>
      <w:r>
        <w:rPr>
          <w:rFonts w:hint="eastAsia" w:ascii="Times New Roman" w:hAnsi="Times New Roman" w:eastAsia="仿宋_GB2312"/>
          <w:b/>
          <w:color w:val="auto"/>
          <w:sz w:val="32"/>
          <w:szCs w:val="21"/>
        </w:rPr>
        <w:t>（一）生态文化载体建设</w:t>
      </w:r>
      <w:bookmarkEnd w:id="210"/>
      <w:bookmarkEnd w:id="211"/>
      <w:bookmarkEnd w:id="212"/>
    </w:p>
    <w:p>
      <w:pPr>
        <w:spacing w:line="360" w:lineRule="auto"/>
        <w:ind w:firstLine="602" w:firstLineChars="200"/>
        <w:rPr>
          <w:rFonts w:ascii="Times New Roman" w:hAnsi="Times New Roman" w:eastAsia="楷体"/>
          <w:b/>
          <w:color w:val="auto"/>
          <w:kern w:val="0"/>
          <w:sz w:val="30"/>
          <w:szCs w:val="30"/>
          <w:lang w:val="zh-CN"/>
        </w:rPr>
      </w:pPr>
      <w:r>
        <w:rPr>
          <w:rFonts w:ascii="Times New Roman" w:hAnsi="Times New Roman" w:eastAsia="楷体"/>
          <w:b/>
          <w:color w:val="auto"/>
          <w:kern w:val="0"/>
          <w:sz w:val="30"/>
          <w:szCs w:val="30"/>
        </w:rPr>
        <w:t>1.</w:t>
      </w:r>
      <w:r>
        <w:rPr>
          <w:rFonts w:ascii="Times New Roman" w:hAnsi="Times New Roman" w:eastAsia="楷体"/>
          <w:b/>
          <w:color w:val="auto"/>
          <w:kern w:val="0"/>
          <w:sz w:val="30"/>
          <w:szCs w:val="30"/>
          <w:lang w:val="zh-CN"/>
        </w:rPr>
        <w:t>加强传统特色生态文化保护</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做好非物质文化遗产保护和传承。</w:t>
      </w:r>
      <w:r>
        <w:rPr>
          <w:rFonts w:hint="eastAsia" w:ascii="Times New Roman" w:hAnsi="Times New Roman" w:eastAsia="仿宋_GB2312"/>
          <w:bCs/>
          <w:color w:val="auto"/>
          <w:kern w:val="0"/>
          <w:sz w:val="30"/>
          <w:szCs w:val="30"/>
        </w:rPr>
        <w:t>坚持“保护第一、实现可持续发展”原则，持续开展文物保护工程。积极申报各级文物保护单位，提高文物保护单位影响力，讲好文物故事。深化文物保护法律普及力度，引导全民参与文物保护和监督。推动文旅融合发展，以海草房、天后宫、成山头遗址等文保单位修缮工程为基础，带动周边特色旅游经济发展。</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弘扬优秀传统文化。</w:t>
      </w:r>
      <w:r>
        <w:rPr>
          <w:rFonts w:hint="eastAsia" w:ascii="Times New Roman" w:hAnsi="Times New Roman" w:eastAsia="仿宋_GB2312"/>
          <w:bCs/>
          <w:color w:val="auto"/>
          <w:kern w:val="0"/>
          <w:sz w:val="30"/>
          <w:szCs w:val="30"/>
        </w:rPr>
        <w:t>深入挖掘和阐发优秀传统文化的时代价值，坚定文化自信，持续深化文化体制改革，积极推进文化产业发展。精心打造群众大合唱比赛、京剧票友大赛和渔家秧歌、锣鼓大赛等群众文化品牌赛事。聚合各类文化阵地和资源，精心组织开展好“全覆盖送戏下乡”“书香荣成·全民阅读”“百日文化广场”等文化惠民活动。大力实施艺术精品创作工程，出台文艺产品创作推广激励办法，引导全市文艺工作者用心用情用力打造体现时代高度、富有时代标识的精品力作。</w:t>
      </w:r>
    </w:p>
    <w:p>
      <w:pPr>
        <w:numPr>
          <w:ilvl w:val="0"/>
          <w:numId w:val="0"/>
        </w:numPr>
        <w:spacing w:line="360" w:lineRule="auto"/>
        <w:ind w:firstLine="602" w:firstLineChars="200"/>
        <w:rPr>
          <w:rFonts w:ascii="Times New Roman" w:hAnsi="Times New Roman" w:eastAsia="楷体"/>
          <w:b/>
          <w:color w:val="auto"/>
          <w:kern w:val="0"/>
          <w:sz w:val="30"/>
          <w:szCs w:val="30"/>
          <w:lang w:val="zh-CN"/>
        </w:rPr>
      </w:pPr>
      <w:r>
        <w:rPr>
          <w:rFonts w:hint="eastAsia" w:ascii="Times New Roman" w:hAnsi="Times New Roman" w:eastAsia="楷体"/>
          <w:b/>
          <w:color w:val="auto"/>
          <w:kern w:val="0"/>
          <w:sz w:val="30"/>
          <w:szCs w:val="30"/>
          <w:lang w:val="en-US" w:eastAsia="zh-CN"/>
        </w:rPr>
        <w:t>2.</w:t>
      </w:r>
      <w:r>
        <w:rPr>
          <w:rFonts w:hint="eastAsia" w:ascii="Times New Roman" w:hAnsi="Times New Roman" w:eastAsia="楷体"/>
          <w:b/>
          <w:color w:val="auto"/>
          <w:kern w:val="0"/>
          <w:sz w:val="30"/>
          <w:szCs w:val="30"/>
        </w:rPr>
        <w:t>叫响特色文化品牌</w:t>
      </w:r>
    </w:p>
    <w:p>
      <w:pPr>
        <w:spacing w:line="360" w:lineRule="auto"/>
        <w:ind w:firstLine="600" w:firstLineChars="200"/>
        <w:rPr>
          <w:rFonts w:hint="eastAsia"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持续打造红色文化、渔家文化、民俗文化等文化名片</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开展“红色印迹”文化元素挖掘、保护与利用，将具有重要价值的革命遗址遗迹纳入各级文物保护单位；将博物馆打造展示成为荣成历史文化和风土人情的窗口，用文物、老物件讲好“荣成故事”</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丰富完善郭永怀事迹陈列馆，深入打造郭永怀事迹宣讲团和永怀讲堂两个社会教育品牌</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继续发展和保护荣成节庆文化，继续打造“渔民开洋谢洋节”“成山头吃会”等荣成本土民俗节日，使之成为荣成乡村旅游品牌。充分利用非遗、文物两大文化遗产，实现产业化发展。形成指尖非遗、舌尖非遗、视觉非遗、听觉非遗分类展演，包装开发系列旅游产品。推动特色优秀文化走出去，以文化活动为牵引，继续办好“写荣成、画荣成、摄荣成、唱荣成”“美丽乡村文化艺术节”等活动，积极做好重大节庆文化活动宣传，不断提升“自由呼吸·自在荣成”知名度和美誉度。</w:t>
      </w:r>
    </w:p>
    <w:p>
      <w:pPr>
        <w:numPr>
          <w:ilvl w:val="0"/>
          <w:numId w:val="0"/>
        </w:numPr>
        <w:spacing w:line="360" w:lineRule="auto"/>
        <w:ind w:firstLine="602" w:firstLineChars="200"/>
        <w:rPr>
          <w:rFonts w:ascii="Times New Roman" w:hAnsi="Times New Roman" w:eastAsia="楷体"/>
          <w:b/>
          <w:color w:val="auto"/>
          <w:kern w:val="0"/>
          <w:sz w:val="30"/>
          <w:szCs w:val="30"/>
          <w:lang w:val="zh-CN"/>
        </w:rPr>
      </w:pPr>
      <w:r>
        <w:rPr>
          <w:rFonts w:hint="eastAsia" w:ascii="Times New Roman" w:hAnsi="Times New Roman" w:eastAsia="楷体"/>
          <w:b/>
          <w:color w:val="auto"/>
          <w:kern w:val="0"/>
          <w:sz w:val="30"/>
          <w:szCs w:val="30"/>
          <w:lang w:val="en-US" w:eastAsia="zh-CN"/>
        </w:rPr>
        <w:t>3.</w:t>
      </w:r>
      <w:r>
        <w:rPr>
          <w:rFonts w:hint="eastAsia" w:ascii="Times New Roman" w:hAnsi="Times New Roman" w:eastAsia="楷体"/>
          <w:b/>
          <w:color w:val="auto"/>
          <w:kern w:val="0"/>
          <w:sz w:val="30"/>
          <w:szCs w:val="30"/>
          <w:lang w:val="zh-CN"/>
        </w:rPr>
        <w:t>加快现代生态文化培育</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高起点布局生态文化资源。</w:t>
      </w:r>
      <w:r>
        <w:rPr>
          <w:rFonts w:hint="eastAsia" w:ascii="Times New Roman" w:hAnsi="Times New Roman" w:eastAsia="仿宋_GB2312"/>
          <w:bCs/>
          <w:color w:val="auto"/>
          <w:kern w:val="0"/>
          <w:sz w:val="30"/>
          <w:szCs w:val="30"/>
        </w:rPr>
        <w:t>创新实行“宿营公园+微营地”模式，推动红色印迹、海洋牧场、样板片区、景区村庄联动发展</w:t>
      </w:r>
      <w:r>
        <w:rPr>
          <w:rFonts w:hint="eastAsia" w:ascii="Times New Roman" w:hAnsi="Times New Roman" w:eastAsia="仿宋_GB2312"/>
          <w:bCs/>
          <w:color w:val="auto"/>
          <w:kern w:val="0"/>
          <w:sz w:val="30"/>
          <w:szCs w:val="30"/>
          <w:lang w:eastAsia="zh-CN"/>
        </w:rPr>
        <w:t>。</w:t>
      </w:r>
      <w:r>
        <w:rPr>
          <w:rFonts w:hint="eastAsia" w:ascii="Times New Roman" w:hAnsi="Times New Roman" w:eastAsia="仿宋_GB2312"/>
          <w:bCs/>
          <w:color w:val="auto"/>
          <w:kern w:val="0"/>
          <w:sz w:val="30"/>
          <w:szCs w:val="30"/>
        </w:rPr>
        <w:t>抓好旅游公路及驿站建设，在滨海公路及滨海步道建设上，加快俚岛、寻山等区域实施，先行打通中心城区及好运角，并抓好南部区域规划论证，确保荣成千里海岸线尽快全面贯通。推动产城融合发展，对滨海公园区域，坚持市场化思维运作，对区域存量用地资源，聘请顶级设计公司整体规划，举办中国国际房车旅游大会、沙滩音乐节等活动，打造荣成中央活力区，增加人气活力。</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高标准打造核心景区。</w:t>
      </w:r>
      <w:r>
        <w:rPr>
          <w:rFonts w:hint="eastAsia" w:ascii="Times New Roman" w:hAnsi="Times New Roman" w:eastAsia="仿宋_GB2312"/>
          <w:bCs/>
          <w:color w:val="auto"/>
          <w:kern w:val="0"/>
          <w:sz w:val="30"/>
          <w:szCs w:val="30"/>
        </w:rPr>
        <w:t>主要是抓好景区设施完善，加快重点景区旅游品牌提升。其中，成山头景区，重点整体提升策划，挖掘太阳文化、秦皇汉武文化等，并加快海洋馆、航海博物馆等项目建设，重振老牌景区形象。那香海景区，整合提升钻石沙滩、游乐项目、鸡鸣岛等核心资源，并启动国家5A级旅游景区创建。赤山景区，加大研学项目开发力度，串联花村画村等，打造“山海赏花作画”路线，加快培育新的生态观光点，延伸产业链条。</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rPr>
        <w:t>高规格组织文旅运作。</w:t>
      </w:r>
      <w:r>
        <w:rPr>
          <w:rFonts w:hint="eastAsia" w:ascii="Times New Roman" w:hAnsi="Times New Roman" w:eastAsia="仿宋_GB2312"/>
          <w:bCs/>
          <w:color w:val="auto"/>
          <w:kern w:val="0"/>
          <w:sz w:val="30"/>
          <w:szCs w:val="30"/>
        </w:rPr>
        <w:t>加快荣成市文旅集团组建，加快成立专班，组织梳理全市文化、旅游、休闲等生态文明资源，统筹产业布局。挖掘荣成市特色自然资源，以及始皇东巡、卫所文化、渔家民俗、红色印迹等文化符号，形成荣成特色文化符号，制定发展定位和IP体系。结合精品民宿组团培植、夜间娱乐活动举办、文旅主题活动推广等，实行精准营销推介。</w:t>
      </w:r>
    </w:p>
    <w:p>
      <w:pPr>
        <w:spacing w:line="360" w:lineRule="auto"/>
        <w:ind w:firstLine="643" w:firstLineChars="200"/>
        <w:outlineLvl w:val="2"/>
        <w:rPr>
          <w:rFonts w:ascii="Times New Roman" w:hAnsi="Times New Roman" w:eastAsia="仿宋_GB2312"/>
          <w:b/>
          <w:color w:val="auto"/>
          <w:sz w:val="32"/>
          <w:szCs w:val="21"/>
        </w:rPr>
      </w:pPr>
      <w:bookmarkStart w:id="213" w:name="_Toc24371"/>
      <w:bookmarkStart w:id="214" w:name="_Toc3758"/>
      <w:bookmarkStart w:id="215" w:name="_Toc2613"/>
      <w:r>
        <w:rPr>
          <w:rFonts w:hint="eastAsia" w:ascii="Times New Roman" w:hAnsi="Times New Roman" w:eastAsia="仿宋_GB2312"/>
          <w:b/>
          <w:color w:val="auto"/>
          <w:sz w:val="32"/>
          <w:szCs w:val="21"/>
        </w:rPr>
        <w:t>（二）生态文明宣传教育</w:t>
      </w:r>
      <w:bookmarkEnd w:id="213"/>
      <w:bookmarkEnd w:id="214"/>
      <w:bookmarkEnd w:id="215"/>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lang w:val="zh-CN"/>
        </w:rPr>
        <w:t>强化党政领导干部教育培训。</w:t>
      </w:r>
      <w:r>
        <w:rPr>
          <w:rFonts w:ascii="Times New Roman" w:hAnsi="Times New Roman" w:eastAsia="仿宋_GB2312"/>
          <w:bCs/>
          <w:color w:val="auto"/>
          <w:kern w:val="0"/>
          <w:sz w:val="30"/>
          <w:szCs w:val="30"/>
        </w:rPr>
        <w:t>加强对全</w:t>
      </w:r>
      <w:r>
        <w:rPr>
          <w:rFonts w:hint="eastAsia" w:ascii="Times New Roman" w:hAnsi="Times New Roman" w:eastAsia="仿宋_GB2312"/>
          <w:bCs/>
          <w:color w:val="auto"/>
          <w:kern w:val="0"/>
          <w:sz w:val="30"/>
          <w:szCs w:val="30"/>
        </w:rPr>
        <w:t>市</w:t>
      </w:r>
      <w:r>
        <w:rPr>
          <w:rFonts w:ascii="Times New Roman" w:hAnsi="Times New Roman" w:eastAsia="仿宋_GB2312"/>
          <w:bCs/>
          <w:color w:val="auto"/>
          <w:kern w:val="0"/>
          <w:sz w:val="30"/>
          <w:szCs w:val="30"/>
        </w:rPr>
        <w:t>党政领导干部的生态文明教育，引导全</w:t>
      </w:r>
      <w:r>
        <w:rPr>
          <w:rFonts w:hint="eastAsia" w:ascii="Times New Roman" w:hAnsi="Times New Roman" w:eastAsia="仿宋_GB2312"/>
          <w:bCs/>
          <w:color w:val="auto"/>
          <w:kern w:val="0"/>
          <w:sz w:val="30"/>
          <w:szCs w:val="30"/>
        </w:rPr>
        <w:t>市</w:t>
      </w:r>
      <w:r>
        <w:rPr>
          <w:rFonts w:ascii="Times New Roman" w:hAnsi="Times New Roman" w:eastAsia="仿宋_GB2312"/>
          <w:bCs/>
          <w:color w:val="auto"/>
          <w:kern w:val="0"/>
          <w:sz w:val="30"/>
          <w:szCs w:val="30"/>
        </w:rPr>
        <w:t>党政领导干部牢固树立生态优先的发展观、政绩观，树立和践行</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绿水青山就是金山银山</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的理念，坚持节约资源和保护环境的基本国策。通过多形式、多渠道</w:t>
      </w:r>
      <w:r>
        <w:rPr>
          <w:rFonts w:hint="eastAsia" w:ascii="Times New Roman" w:hAnsi="Times New Roman" w:eastAsia="仿宋_GB2312"/>
          <w:bCs/>
          <w:color w:val="auto"/>
          <w:kern w:val="0"/>
          <w:sz w:val="30"/>
          <w:szCs w:val="30"/>
        </w:rPr>
        <w:t>开展</w:t>
      </w:r>
      <w:r>
        <w:rPr>
          <w:rFonts w:ascii="Times New Roman" w:hAnsi="Times New Roman" w:eastAsia="仿宋_GB2312"/>
          <w:bCs/>
          <w:color w:val="auto"/>
          <w:kern w:val="0"/>
          <w:sz w:val="30"/>
          <w:szCs w:val="30"/>
        </w:rPr>
        <w:t>生态文明建设相关培训活动，不断深化生态文明的宣传教育，力争让更多的领导干部接受更高水平的生态文明培训，帮助领导干部创新思维、解放思想，把保住绿水青山的生态意识贯穿到工作中去。规划期间，确保全市党政领导干部参加生态文明培训的人数比例达到100%。</w:t>
      </w:r>
    </w:p>
    <w:p>
      <w:pPr>
        <w:spacing w:line="360" w:lineRule="auto"/>
        <w:ind w:firstLine="600" w:firstLineChars="200"/>
        <w:rPr>
          <w:rFonts w:ascii="Times New Roman" w:hAnsi="Times New Roman" w:eastAsia="仿宋_GB2312"/>
          <w:bCs/>
          <w:color w:val="auto"/>
          <w:kern w:val="0"/>
          <w:sz w:val="30"/>
          <w:szCs w:val="30"/>
        </w:rPr>
      </w:pPr>
      <w:r>
        <w:rPr>
          <w:rFonts w:hint="eastAsia" w:ascii="楷体_GB2312" w:hAnsi="楷体_GB2312" w:eastAsia="楷体_GB2312" w:cs="楷体_GB2312"/>
          <w:b w:val="0"/>
          <w:bCs/>
          <w:color w:val="auto"/>
          <w:kern w:val="0"/>
          <w:sz w:val="30"/>
          <w:szCs w:val="30"/>
          <w:lang w:val="zh-CN"/>
        </w:rPr>
        <w:t>加强社会公众生态文明教育。</w:t>
      </w:r>
      <w:r>
        <w:rPr>
          <w:rFonts w:ascii="Times New Roman" w:hAnsi="Times New Roman" w:eastAsia="仿宋_GB2312"/>
          <w:bCs/>
          <w:color w:val="auto"/>
          <w:kern w:val="0"/>
          <w:sz w:val="30"/>
          <w:szCs w:val="30"/>
        </w:rPr>
        <w:t>把生态文明教育纳入全民教育体系，在干部培训、中小学教育、企业文化培训、社区教育等方面渗透系统性的生态文明教育内容，提高公众节约公共资源和生态环保意识。市委党校制定政府各部门学习计划，定期安排生态文明建设和环境保护课程，对党政领导进行生态文明知识、理念和建设管理经验培训。适时适度将生态文明意识融入到教学之中，开展以生态文明为主题的校园文艺活动、校园书法和绘画活动。加强对企业法人、经营管理层干部</w:t>
      </w:r>
      <w:r>
        <w:rPr>
          <w:rFonts w:hint="eastAsia" w:ascii="Times New Roman" w:hAnsi="Times New Roman" w:eastAsia="仿宋_GB2312"/>
          <w:bCs/>
          <w:color w:val="auto"/>
          <w:kern w:val="0"/>
          <w:sz w:val="30"/>
          <w:szCs w:val="30"/>
        </w:rPr>
        <w:t>的</w:t>
      </w:r>
      <w:r>
        <w:rPr>
          <w:rFonts w:ascii="Times New Roman" w:hAnsi="Times New Roman" w:eastAsia="仿宋_GB2312"/>
          <w:bCs/>
          <w:color w:val="auto"/>
          <w:kern w:val="0"/>
          <w:sz w:val="30"/>
          <w:szCs w:val="30"/>
        </w:rPr>
        <w:t>生态文明意识教育，培养协调生产与生态保护的</w:t>
      </w:r>
      <w:r>
        <w:rPr>
          <w:rFonts w:hint="eastAsia" w:ascii="Times New Roman" w:hAnsi="Times New Roman" w:eastAsia="仿宋_GB2312"/>
          <w:bCs/>
          <w:color w:val="auto"/>
          <w:kern w:val="0"/>
          <w:sz w:val="30"/>
          <w:szCs w:val="30"/>
        </w:rPr>
        <w:t>意识和</w:t>
      </w:r>
      <w:r>
        <w:rPr>
          <w:rFonts w:ascii="Times New Roman" w:hAnsi="Times New Roman" w:eastAsia="仿宋_GB2312"/>
          <w:bCs/>
          <w:color w:val="auto"/>
          <w:kern w:val="0"/>
          <w:sz w:val="30"/>
          <w:szCs w:val="30"/>
        </w:rPr>
        <w:t>能力。对企业职工入职培训增加生态文明知识内容，提高员工生态文明素养。在全市城乡社区开展</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生态文明建设我参与</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等活动，自觉养成节约资源的习惯。各级管理部门定期检查各单位、部门生态教育开展情况，指导活动开展，提高活动效果。</w:t>
      </w:r>
    </w:p>
    <w:p>
      <w:pPr>
        <w:pStyle w:val="2"/>
        <w:rPr>
          <w:color w:val="auto"/>
        </w:rPr>
      </w:pPr>
    </w:p>
    <w:p>
      <w:pPr>
        <w:spacing w:line="360" w:lineRule="auto"/>
        <w:ind w:firstLine="643" w:firstLineChars="200"/>
        <w:outlineLvl w:val="2"/>
        <w:rPr>
          <w:rFonts w:ascii="Times New Roman" w:hAnsi="Times New Roman" w:eastAsia="仿宋_GB2312"/>
          <w:b/>
          <w:color w:val="auto"/>
          <w:sz w:val="32"/>
          <w:szCs w:val="21"/>
        </w:rPr>
      </w:pPr>
      <w:bookmarkStart w:id="216" w:name="_Toc31095"/>
      <w:bookmarkStart w:id="217" w:name="_Toc19079"/>
      <w:bookmarkStart w:id="218" w:name="_Toc24904"/>
      <w:r>
        <w:rPr>
          <w:rFonts w:hint="eastAsia" w:ascii="Times New Roman" w:hAnsi="Times New Roman" w:eastAsia="仿宋_GB2312"/>
          <w:b/>
          <w:color w:val="auto"/>
          <w:sz w:val="32"/>
          <w:szCs w:val="21"/>
        </w:rPr>
        <w:t>（三）生态文明共建共享</w:t>
      </w:r>
      <w:bookmarkEnd w:id="216"/>
      <w:bookmarkEnd w:id="217"/>
      <w:bookmarkEnd w:id="218"/>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动员公众参与生态文明建设，完善公众参与制度，推动建立全体居民参与的社会行动体系。挖掘各类平台，培育多种宣教模式和渠道，推动生态文明理念普及；针对不同年龄层次群众设计不同的教育培训方式和内容，从思想和行动上动员其参与到生态文明建设中；加强网络支撑、技术设备支撑、新旧媒体支撑，提高生态文明教育培训的硬件水平和能力；创作高质量的生态文化作品，烘托全县开展生态文明建设的良好氛围。积极培育和扩大与生态文明建设相关的非政府组织，如环保志愿组织、社区合作组织及志愿服务队等，发挥非政府组织对生态文明建设的重要推动作用。</w:t>
      </w:r>
    </w:p>
    <w:p>
      <w:pPr>
        <w:rPr>
          <w:rFonts w:hint="eastAsia" w:ascii="方正小标宋简体" w:hAnsi="方正小标宋简体" w:eastAsia="方正小标宋简体" w:cs="方正小标宋简体"/>
          <w:bCs/>
          <w:color w:val="auto"/>
          <w:sz w:val="44"/>
          <w:szCs w:val="44"/>
        </w:rPr>
      </w:pPr>
      <w:bookmarkStart w:id="219" w:name="_Toc4614"/>
      <w:bookmarkStart w:id="220" w:name="_Toc17092"/>
      <w:bookmarkStart w:id="221" w:name="_Toc22913"/>
      <w:r>
        <w:rPr>
          <w:rFonts w:hint="eastAsia" w:ascii="方正小标宋简体" w:hAnsi="方正小标宋简体" w:eastAsia="方正小标宋简体" w:cs="方正小标宋简体"/>
          <w:bCs/>
          <w:color w:val="auto"/>
          <w:sz w:val="44"/>
          <w:szCs w:val="44"/>
        </w:rPr>
        <w:br w:type="page"/>
      </w:r>
    </w:p>
    <w:p>
      <w:pPr>
        <w:spacing w:line="360" w:lineRule="auto"/>
        <w:jc w:val="center"/>
        <w:outlineLvl w:val="0"/>
        <w:rPr>
          <w:rFonts w:ascii="Times New Roman" w:hAnsi="Times New Roman" w:eastAsia="黑体"/>
          <w:bCs/>
          <w:color w:val="auto"/>
          <w:sz w:val="44"/>
          <w:szCs w:val="44"/>
        </w:rPr>
      </w:pPr>
      <w:bookmarkStart w:id="222" w:name="_Toc26251"/>
      <w:r>
        <w:rPr>
          <w:rFonts w:hint="eastAsia" w:ascii="方正小标宋简体" w:hAnsi="方正小标宋简体" w:eastAsia="方正小标宋简体" w:cs="方正小标宋简体"/>
          <w:bCs/>
          <w:color w:val="auto"/>
          <w:sz w:val="44"/>
          <w:szCs w:val="44"/>
        </w:rPr>
        <w:t xml:space="preserve">第四章 </w:t>
      </w:r>
      <w:r>
        <w:rPr>
          <w:rFonts w:hint="eastAsia" w:ascii="方正小标宋简体" w:hAnsi="方正小标宋简体" w:eastAsia="方正小标宋简体" w:cs="方正小标宋简体"/>
          <w:bCs/>
          <w:color w:val="auto"/>
          <w:sz w:val="44"/>
          <w:szCs w:val="44"/>
          <w:lang w:val="en-US" w:eastAsia="zh-CN"/>
        </w:rPr>
        <w:t xml:space="preserve"> </w:t>
      </w:r>
      <w:r>
        <w:rPr>
          <w:rFonts w:hint="eastAsia" w:ascii="方正小标宋简体" w:hAnsi="方正小标宋简体" w:eastAsia="方正小标宋简体" w:cs="方正小标宋简体"/>
          <w:bCs/>
          <w:color w:val="auto"/>
          <w:sz w:val="44"/>
          <w:szCs w:val="44"/>
        </w:rPr>
        <w:t>重点工程与效益分析</w:t>
      </w:r>
      <w:bookmarkEnd w:id="219"/>
      <w:bookmarkEnd w:id="220"/>
      <w:bookmarkEnd w:id="221"/>
      <w:bookmarkEnd w:id="222"/>
    </w:p>
    <w:p>
      <w:pPr>
        <w:spacing w:line="360" w:lineRule="auto"/>
        <w:jc w:val="center"/>
        <w:outlineLvl w:val="1"/>
        <w:rPr>
          <w:rFonts w:ascii="Times New Roman" w:hAnsi="Times New Roman" w:eastAsia="楷体"/>
          <w:b/>
          <w:bCs/>
          <w:color w:val="auto"/>
          <w:sz w:val="36"/>
          <w:szCs w:val="36"/>
        </w:rPr>
      </w:pPr>
      <w:bookmarkStart w:id="223" w:name="_Toc7743"/>
      <w:bookmarkStart w:id="224" w:name="_Toc7590"/>
      <w:bookmarkStart w:id="225" w:name="_Toc15485"/>
      <w:bookmarkStart w:id="226" w:name="_Toc9938"/>
      <w:r>
        <w:rPr>
          <w:rFonts w:ascii="Times New Roman" w:hAnsi="Times New Roman" w:eastAsia="楷体"/>
          <w:b/>
          <w:bCs/>
          <w:color w:val="auto"/>
          <w:sz w:val="36"/>
          <w:szCs w:val="36"/>
        </w:rPr>
        <w:t>第十五条</w:t>
      </w:r>
      <w:r>
        <w:rPr>
          <w:rFonts w:hint="eastAsia" w:ascii="Times New Roman" w:hAnsi="Times New Roman" w:eastAsia="楷体"/>
          <w:b/>
          <w:bCs/>
          <w:color w:val="auto"/>
          <w:sz w:val="36"/>
          <w:szCs w:val="36"/>
          <w:lang w:val="en-US" w:eastAsia="zh-CN"/>
        </w:rPr>
        <w:t xml:space="preserve">  </w:t>
      </w:r>
      <w:r>
        <w:rPr>
          <w:rFonts w:ascii="Times New Roman" w:hAnsi="Times New Roman" w:eastAsia="楷体"/>
          <w:b/>
          <w:bCs/>
          <w:color w:val="auto"/>
          <w:sz w:val="36"/>
          <w:szCs w:val="36"/>
        </w:rPr>
        <w:t>工程内容与投资估算</w:t>
      </w:r>
      <w:bookmarkEnd w:id="223"/>
      <w:bookmarkEnd w:id="224"/>
      <w:bookmarkEnd w:id="225"/>
      <w:bookmarkEnd w:id="226"/>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根据荣成市生态文明建设目标，结合重点任务推进工作实际，确定了本次规划建设的各领域、各阶段重点</w:t>
      </w:r>
      <w:r>
        <w:rPr>
          <w:rFonts w:hint="eastAsia" w:ascii="Times New Roman" w:hAnsi="Times New Roman" w:eastAsia="仿宋_GB2312"/>
          <w:bCs/>
          <w:color w:val="auto"/>
          <w:kern w:val="0"/>
          <w:sz w:val="30"/>
          <w:szCs w:val="30"/>
        </w:rPr>
        <w:t>建设</w:t>
      </w:r>
      <w:r>
        <w:rPr>
          <w:rFonts w:ascii="Times New Roman" w:hAnsi="Times New Roman" w:eastAsia="仿宋_GB2312"/>
          <w:bCs/>
          <w:color w:val="auto"/>
          <w:kern w:val="0"/>
          <w:sz w:val="30"/>
          <w:szCs w:val="30"/>
        </w:rPr>
        <w:t>工程项目和内容。拟实施</w:t>
      </w:r>
      <w:r>
        <w:rPr>
          <w:rFonts w:hint="eastAsia" w:ascii="Times New Roman" w:hAnsi="Times New Roman" w:eastAsia="仿宋_GB2312"/>
          <w:bCs/>
          <w:color w:val="auto"/>
          <w:kern w:val="0"/>
          <w:sz w:val="30"/>
          <w:szCs w:val="30"/>
          <w:lang w:val="en-US" w:eastAsia="zh-CN"/>
        </w:rPr>
        <w:t>48</w:t>
      </w:r>
      <w:r>
        <w:rPr>
          <w:rFonts w:ascii="Times New Roman" w:hAnsi="Times New Roman" w:eastAsia="仿宋_GB2312"/>
          <w:bCs/>
          <w:color w:val="auto"/>
          <w:kern w:val="0"/>
          <w:sz w:val="30"/>
          <w:szCs w:val="30"/>
        </w:rPr>
        <w:t>项重点工程项目，</w:t>
      </w:r>
      <w:r>
        <w:rPr>
          <w:rFonts w:hint="eastAsia" w:ascii="Times New Roman" w:hAnsi="Times New Roman" w:eastAsia="仿宋_GB2312"/>
          <w:bCs/>
          <w:color w:val="auto"/>
          <w:kern w:val="0"/>
          <w:sz w:val="30"/>
          <w:szCs w:val="30"/>
        </w:rPr>
        <w:t>总投资</w:t>
      </w:r>
      <w:r>
        <w:rPr>
          <w:rFonts w:hint="eastAsia" w:ascii="Times New Roman" w:hAnsi="Times New Roman" w:eastAsia="仿宋_GB2312"/>
          <w:bCs/>
          <w:color w:val="auto"/>
          <w:kern w:val="0"/>
          <w:sz w:val="30"/>
          <w:szCs w:val="30"/>
          <w:lang w:val="en-US" w:eastAsia="zh-CN"/>
        </w:rPr>
        <w:t>1881.08</w:t>
      </w:r>
      <w:r>
        <w:rPr>
          <w:rFonts w:hint="eastAsia" w:ascii="Times New Roman" w:hAnsi="Times New Roman" w:eastAsia="仿宋_GB2312"/>
          <w:bCs/>
          <w:color w:val="auto"/>
          <w:kern w:val="0"/>
          <w:sz w:val="30"/>
          <w:szCs w:val="30"/>
        </w:rPr>
        <w:t>亿元，详</w:t>
      </w:r>
      <w:r>
        <w:rPr>
          <w:rFonts w:ascii="Times New Roman" w:hAnsi="Times New Roman" w:eastAsia="仿宋_GB2312"/>
          <w:bCs/>
          <w:color w:val="auto"/>
          <w:kern w:val="0"/>
          <w:sz w:val="30"/>
          <w:szCs w:val="30"/>
        </w:rPr>
        <w:t>见附件。</w:t>
      </w:r>
    </w:p>
    <w:p>
      <w:pPr>
        <w:spacing w:line="360" w:lineRule="auto"/>
        <w:jc w:val="center"/>
        <w:outlineLvl w:val="1"/>
        <w:rPr>
          <w:rFonts w:ascii="Times New Roman" w:hAnsi="Times New Roman" w:eastAsia="楷体"/>
          <w:b/>
          <w:bCs/>
          <w:color w:val="auto"/>
          <w:sz w:val="36"/>
          <w:szCs w:val="36"/>
        </w:rPr>
      </w:pPr>
      <w:bookmarkStart w:id="227" w:name="_Toc12972"/>
      <w:bookmarkStart w:id="228" w:name="_Toc3841"/>
      <w:bookmarkStart w:id="229" w:name="_Toc18628"/>
      <w:bookmarkStart w:id="230" w:name="_Toc13472"/>
      <w:r>
        <w:rPr>
          <w:rFonts w:ascii="Times New Roman" w:hAnsi="Times New Roman" w:eastAsia="楷体"/>
          <w:b/>
          <w:bCs/>
          <w:color w:val="auto"/>
          <w:sz w:val="36"/>
          <w:szCs w:val="36"/>
        </w:rPr>
        <w:t>第十六条</w:t>
      </w:r>
      <w:r>
        <w:rPr>
          <w:rFonts w:hint="eastAsia" w:ascii="Times New Roman" w:hAnsi="Times New Roman" w:eastAsia="楷体"/>
          <w:b/>
          <w:bCs/>
          <w:color w:val="auto"/>
          <w:sz w:val="36"/>
          <w:szCs w:val="36"/>
          <w:lang w:val="en-US" w:eastAsia="zh-CN"/>
        </w:rPr>
        <w:t xml:space="preserve">  </w:t>
      </w:r>
      <w:r>
        <w:rPr>
          <w:rFonts w:ascii="Times New Roman" w:hAnsi="Times New Roman" w:eastAsia="楷体"/>
          <w:b/>
          <w:bCs/>
          <w:color w:val="auto"/>
          <w:sz w:val="36"/>
          <w:szCs w:val="36"/>
        </w:rPr>
        <w:t>效益分析</w:t>
      </w:r>
      <w:bookmarkEnd w:id="227"/>
      <w:bookmarkEnd w:id="228"/>
      <w:bookmarkEnd w:id="229"/>
      <w:bookmarkEnd w:id="230"/>
    </w:p>
    <w:p>
      <w:pPr>
        <w:spacing w:line="360" w:lineRule="auto"/>
        <w:ind w:firstLine="643" w:firstLineChars="200"/>
        <w:outlineLvl w:val="2"/>
        <w:rPr>
          <w:rFonts w:ascii="Times New Roman" w:hAnsi="Times New Roman" w:eastAsia="仿宋_GB2312"/>
          <w:b/>
          <w:color w:val="auto"/>
          <w:sz w:val="32"/>
          <w:szCs w:val="21"/>
          <w:lang w:val="zh-CN"/>
        </w:rPr>
      </w:pPr>
      <w:bookmarkStart w:id="231" w:name="_Toc37636149"/>
      <w:bookmarkStart w:id="232" w:name="_Toc24955"/>
      <w:bookmarkStart w:id="233" w:name="_Toc3763"/>
      <w:bookmarkStart w:id="234" w:name="_Toc11386"/>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rPr>
        <w:t>一</w:t>
      </w:r>
      <w:r>
        <w:rPr>
          <w:rFonts w:hint="eastAsia" w:ascii="Times New Roman" w:hAnsi="Times New Roman" w:eastAsia="仿宋_GB2312"/>
          <w:b/>
          <w:color w:val="auto"/>
          <w:sz w:val="32"/>
          <w:szCs w:val="21"/>
          <w:lang w:val="zh-CN"/>
        </w:rPr>
        <w:t>）生态环境效益</w:t>
      </w:r>
      <w:bookmarkEnd w:id="231"/>
      <w:bookmarkEnd w:id="232"/>
      <w:bookmarkEnd w:id="233"/>
      <w:bookmarkEnd w:id="234"/>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人居环境不断得到改善，城乡绿地系统、生态居住区建设和环境综合整治将不断完善，有利于明显改善全市城乡生态环境质量，取得显著的环境效益。随着产业结构的优化、战略新兴产业和生态农业的发展，工业废弃物大大减少，农业环境质量会明显改善。生活废物资源化处理将会有效改善城乡生活环境。通过绿色生产和绿色消费理念转化为社会行为，生产和生活产生的环境废弃物将逐步减少，环境负荷全面减轻。人均绿地占有量的持续提高，将进一步提升环境的自净能力和生态调控能力，有利于生态系统摆脱环境污染胁迫，更加适宜人类生存和发展。通过不断加强自然保护区管理能力建设、近岸海洋资源养护等生态修复措施，加强生态系统保护，可确保优势生态资源得到永续利用。</w:t>
      </w:r>
    </w:p>
    <w:p>
      <w:pPr>
        <w:spacing w:line="360" w:lineRule="auto"/>
        <w:ind w:firstLine="643" w:firstLineChars="200"/>
        <w:outlineLvl w:val="2"/>
        <w:rPr>
          <w:rFonts w:ascii="Times New Roman" w:hAnsi="Times New Roman" w:eastAsia="仿宋_GB2312"/>
          <w:b/>
          <w:color w:val="auto"/>
          <w:sz w:val="32"/>
          <w:szCs w:val="21"/>
          <w:lang w:val="zh-CN"/>
        </w:rPr>
      </w:pPr>
      <w:bookmarkStart w:id="235" w:name="_Toc2945"/>
      <w:bookmarkStart w:id="236" w:name="_Toc7338"/>
      <w:bookmarkStart w:id="237" w:name="_Toc7494"/>
      <w:bookmarkStart w:id="238" w:name="_Toc37636150"/>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rPr>
        <w:t>二</w:t>
      </w:r>
      <w:r>
        <w:rPr>
          <w:rFonts w:hint="eastAsia" w:ascii="Times New Roman" w:hAnsi="Times New Roman" w:eastAsia="仿宋_GB2312"/>
          <w:b/>
          <w:color w:val="auto"/>
          <w:sz w:val="32"/>
          <w:szCs w:val="21"/>
          <w:lang w:val="zh-CN"/>
        </w:rPr>
        <w:t>）经济效益</w:t>
      </w:r>
      <w:bookmarkEnd w:id="235"/>
      <w:bookmarkEnd w:id="236"/>
      <w:bookmarkEnd w:id="237"/>
      <w:bookmarkEnd w:id="238"/>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推动经济增长。规划实施后，生态经济模式基本形成，经济发展的适应性和稳定性增强。对产业转型、产业</w:t>
      </w:r>
      <w:r>
        <w:rPr>
          <w:rFonts w:hint="eastAsia" w:ascii="Times New Roman" w:hAnsi="Times New Roman" w:eastAsia="仿宋_GB2312"/>
          <w:bCs/>
          <w:color w:val="auto"/>
          <w:kern w:val="0"/>
          <w:sz w:val="30"/>
          <w:szCs w:val="30"/>
        </w:rPr>
        <w:t>结构</w:t>
      </w:r>
      <w:r>
        <w:rPr>
          <w:rFonts w:ascii="Times New Roman" w:hAnsi="Times New Roman" w:eastAsia="仿宋_GB2312"/>
          <w:bCs/>
          <w:color w:val="auto"/>
          <w:kern w:val="0"/>
          <w:sz w:val="30"/>
          <w:szCs w:val="30"/>
        </w:rPr>
        <w:t>优化、提升经济效益等方面发挥积极作用。三次产业构成关系趋于协调，经济组分之间的有序化程度提高，生态生产与经济生产形成了较为合理的支持关系。生态旅游品质持续提升。有效提高产品质量，增加无公害产品、绿色产品和有机产品的份额，提高产品竞争力和市场价格。构建良好的投资环境，知名度进一步提高，成为国内外资本争相投入的投资热土，给现代服务业、先进制造业、特色生态农业经济发展带来强劲的推动力。</w:t>
      </w:r>
      <w:bookmarkStart w:id="239" w:name="_Toc37636151"/>
    </w:p>
    <w:p>
      <w:pPr>
        <w:spacing w:line="360" w:lineRule="auto"/>
        <w:ind w:firstLine="643" w:firstLineChars="200"/>
        <w:outlineLvl w:val="2"/>
        <w:rPr>
          <w:rFonts w:ascii="Times New Roman" w:hAnsi="Times New Roman" w:eastAsia="仿宋_GB2312"/>
          <w:b/>
          <w:color w:val="auto"/>
          <w:sz w:val="32"/>
          <w:szCs w:val="21"/>
          <w:lang w:val="zh-CN"/>
        </w:rPr>
      </w:pPr>
      <w:bookmarkStart w:id="240" w:name="_Toc6974"/>
      <w:bookmarkStart w:id="241" w:name="_Toc25948"/>
      <w:bookmarkStart w:id="242" w:name="_Toc10718"/>
      <w:r>
        <w:rPr>
          <w:rFonts w:hint="eastAsia" w:ascii="Times New Roman" w:hAnsi="Times New Roman" w:eastAsia="仿宋_GB2312"/>
          <w:b/>
          <w:color w:val="auto"/>
          <w:sz w:val="32"/>
          <w:szCs w:val="21"/>
          <w:lang w:val="zh-CN"/>
        </w:rPr>
        <w:t>（</w:t>
      </w:r>
      <w:r>
        <w:rPr>
          <w:rFonts w:hint="eastAsia" w:ascii="Times New Roman" w:hAnsi="Times New Roman" w:eastAsia="仿宋_GB2312"/>
          <w:b/>
          <w:color w:val="auto"/>
          <w:sz w:val="32"/>
          <w:szCs w:val="21"/>
        </w:rPr>
        <w:t>三</w:t>
      </w:r>
      <w:r>
        <w:rPr>
          <w:rFonts w:hint="eastAsia" w:ascii="Times New Roman" w:hAnsi="Times New Roman" w:eastAsia="仿宋_GB2312"/>
          <w:b/>
          <w:color w:val="auto"/>
          <w:sz w:val="32"/>
          <w:szCs w:val="21"/>
          <w:lang w:val="zh-CN"/>
        </w:rPr>
        <w:t>）社会效益</w:t>
      </w:r>
      <w:bookmarkEnd w:id="239"/>
      <w:bookmarkEnd w:id="240"/>
      <w:bookmarkEnd w:id="241"/>
      <w:bookmarkEnd w:id="242"/>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城乡环境基础设施将更加完善，城市服务功能将显著增强，城乡环境面貌将进一步得到改善，人们居住的环境将更加舒适，人与自然的关系将更加和谐。随着人均收入和城镇化水平的不断提高，交通、通讯、给排水、卫生等基础设施的不断完善以及城乡社会保障体系的日益完善，食品和饮用水安全</w:t>
      </w:r>
      <w:r>
        <w:rPr>
          <w:rFonts w:hint="eastAsia" w:ascii="Times New Roman" w:hAnsi="Times New Roman" w:eastAsia="仿宋_GB2312"/>
          <w:bCs/>
          <w:color w:val="auto"/>
          <w:kern w:val="0"/>
          <w:sz w:val="30"/>
          <w:szCs w:val="30"/>
        </w:rPr>
        <w:t>得到</w:t>
      </w:r>
      <w:r>
        <w:rPr>
          <w:rFonts w:ascii="Times New Roman" w:hAnsi="Times New Roman" w:eastAsia="仿宋_GB2312"/>
          <w:bCs/>
          <w:color w:val="auto"/>
          <w:kern w:val="0"/>
          <w:sz w:val="30"/>
          <w:szCs w:val="30"/>
        </w:rPr>
        <w:t>有效保障，人民生活质量将得到显著提高。城乡差别缩小，增加社会公平性和稳定因素，增强广大群众对党和政府的信任，促进社会和谐稳定。通过生态文化建设，增强公众生态环保意识，有利于促进整个社会生态文明程度和人口素质的显著提高，有利于不断</w:t>
      </w:r>
      <w:r>
        <w:rPr>
          <w:rFonts w:hint="eastAsia" w:ascii="Times New Roman" w:hAnsi="Times New Roman" w:eastAsia="仿宋_GB2312"/>
          <w:bCs/>
          <w:color w:val="auto"/>
          <w:kern w:val="0"/>
          <w:sz w:val="30"/>
          <w:szCs w:val="30"/>
        </w:rPr>
        <w:t>提高</w:t>
      </w:r>
      <w:r>
        <w:rPr>
          <w:rFonts w:ascii="Times New Roman" w:hAnsi="Times New Roman" w:eastAsia="仿宋_GB2312"/>
          <w:bCs/>
          <w:color w:val="auto"/>
          <w:kern w:val="0"/>
          <w:sz w:val="30"/>
          <w:szCs w:val="30"/>
        </w:rPr>
        <w:t>干部群众的生态环境意识，更好地保护生态环境质量，保障生态系统的健康持续发展。</w:t>
      </w:r>
    </w:p>
    <w:p>
      <w:pPr>
        <w:jc w:val="left"/>
        <w:rPr>
          <w:rFonts w:ascii="Times New Roman" w:hAnsi="Times New Roman" w:eastAsia="黑体"/>
          <w:bCs/>
          <w:color w:val="auto"/>
          <w:sz w:val="44"/>
          <w:szCs w:val="44"/>
        </w:rPr>
      </w:pPr>
      <w:bookmarkStart w:id="243" w:name="_Toc13021"/>
      <w:bookmarkStart w:id="244" w:name="_Toc12010"/>
      <w:bookmarkStart w:id="245" w:name="_Toc2024"/>
      <w:r>
        <w:rPr>
          <w:rFonts w:ascii="Times New Roman" w:hAnsi="Times New Roman" w:eastAsia="黑体"/>
          <w:bCs/>
          <w:color w:val="auto"/>
          <w:sz w:val="44"/>
          <w:szCs w:val="44"/>
        </w:rPr>
        <w:br w:type="page"/>
      </w:r>
    </w:p>
    <w:p>
      <w:pPr>
        <w:spacing w:line="360" w:lineRule="auto"/>
        <w:jc w:val="center"/>
        <w:outlineLvl w:val="0"/>
        <w:rPr>
          <w:rFonts w:ascii="Times New Roman" w:hAnsi="Times New Roman" w:eastAsia="黑体"/>
          <w:bCs/>
          <w:color w:val="auto"/>
          <w:sz w:val="44"/>
          <w:szCs w:val="44"/>
        </w:rPr>
      </w:pPr>
      <w:bookmarkStart w:id="246" w:name="_Toc14917"/>
      <w:r>
        <w:rPr>
          <w:rFonts w:hint="eastAsia" w:ascii="方正小标宋简体" w:hAnsi="方正小标宋简体" w:eastAsia="方正小标宋简体" w:cs="方正小标宋简体"/>
          <w:bCs/>
          <w:color w:val="auto"/>
          <w:sz w:val="44"/>
          <w:szCs w:val="44"/>
        </w:rPr>
        <w:t xml:space="preserve">第五章 </w:t>
      </w:r>
      <w:r>
        <w:rPr>
          <w:rFonts w:hint="eastAsia" w:ascii="方正小标宋简体" w:hAnsi="方正小标宋简体" w:eastAsia="方正小标宋简体" w:cs="方正小标宋简体"/>
          <w:bCs/>
          <w:color w:val="auto"/>
          <w:sz w:val="44"/>
          <w:szCs w:val="44"/>
          <w:lang w:val="en-US" w:eastAsia="zh-CN"/>
        </w:rPr>
        <w:t xml:space="preserve"> </w:t>
      </w:r>
      <w:r>
        <w:rPr>
          <w:rFonts w:hint="eastAsia" w:ascii="方正小标宋简体" w:hAnsi="方正小标宋简体" w:eastAsia="方正小标宋简体" w:cs="方正小标宋简体"/>
          <w:bCs/>
          <w:color w:val="auto"/>
          <w:sz w:val="44"/>
          <w:szCs w:val="44"/>
        </w:rPr>
        <w:t>保障措施</w:t>
      </w:r>
      <w:bookmarkEnd w:id="243"/>
      <w:bookmarkEnd w:id="244"/>
      <w:bookmarkEnd w:id="245"/>
      <w:bookmarkEnd w:id="246"/>
    </w:p>
    <w:p>
      <w:pPr>
        <w:spacing w:line="360" w:lineRule="auto"/>
        <w:jc w:val="center"/>
        <w:outlineLvl w:val="1"/>
        <w:rPr>
          <w:rFonts w:ascii="Times New Roman" w:hAnsi="Times New Roman" w:eastAsia="楷体"/>
          <w:b/>
          <w:bCs/>
          <w:color w:val="auto"/>
          <w:sz w:val="36"/>
          <w:szCs w:val="36"/>
        </w:rPr>
      </w:pPr>
      <w:bookmarkStart w:id="247" w:name="_Toc5502"/>
      <w:bookmarkStart w:id="248" w:name="_Toc13400"/>
      <w:bookmarkStart w:id="249" w:name="_Toc7947"/>
      <w:bookmarkStart w:id="250" w:name="_Toc22880"/>
      <w:r>
        <w:rPr>
          <w:rFonts w:ascii="Times New Roman" w:hAnsi="Times New Roman" w:eastAsia="楷体"/>
          <w:b/>
          <w:bCs/>
          <w:color w:val="auto"/>
          <w:sz w:val="36"/>
          <w:szCs w:val="36"/>
        </w:rPr>
        <w:t>第十七条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发挥党的领导核心作用</w:t>
      </w:r>
      <w:bookmarkEnd w:id="247"/>
      <w:bookmarkEnd w:id="248"/>
      <w:bookmarkEnd w:id="249"/>
      <w:bookmarkEnd w:id="250"/>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发挥党的领导核心作用，坚持党的领导，坚持党总揽全局、协调各方，发挥各级党委（党组）领导核心作用，确保生态文明建设的领导权始终掌握在党的手里</w:t>
      </w:r>
      <w:r>
        <w:rPr>
          <w:rFonts w:ascii="Times New Roman" w:hAnsi="Times New Roman" w:eastAsia="仿宋_GB2312"/>
          <w:bCs/>
          <w:color w:val="auto"/>
          <w:kern w:val="0"/>
          <w:sz w:val="30"/>
          <w:szCs w:val="30"/>
        </w:rPr>
        <w:t>。</w:t>
      </w:r>
      <w:r>
        <w:rPr>
          <w:rFonts w:hint="eastAsia" w:ascii="Times New Roman" w:hAnsi="Times New Roman" w:eastAsia="仿宋_GB2312"/>
          <w:bCs/>
          <w:color w:val="auto"/>
          <w:kern w:val="0"/>
          <w:sz w:val="30"/>
          <w:szCs w:val="30"/>
        </w:rPr>
        <w:t>生态文明建设工作领导小组负责组织协调、任务分解、督促检查、评估考核和项目推进等职能。健全发改、工信、自然资源、</w:t>
      </w:r>
      <w:r>
        <w:rPr>
          <w:rFonts w:hint="eastAsia" w:ascii="Times New Roman" w:hAnsi="Times New Roman" w:eastAsia="仿宋_GB2312"/>
          <w:bCs/>
          <w:color w:val="auto"/>
          <w:kern w:val="0"/>
          <w:sz w:val="30"/>
          <w:szCs w:val="30"/>
          <w:lang w:val="en-US" w:eastAsia="zh-CN"/>
        </w:rPr>
        <w:t>海洋、</w:t>
      </w:r>
      <w:r>
        <w:rPr>
          <w:rFonts w:hint="eastAsia" w:ascii="Times New Roman" w:hAnsi="Times New Roman" w:eastAsia="仿宋_GB2312"/>
          <w:bCs/>
          <w:color w:val="auto"/>
          <w:kern w:val="0"/>
          <w:sz w:val="30"/>
          <w:szCs w:val="30"/>
        </w:rPr>
        <w:t>生态环境、住建、水利、农业农村、综合行政执法等的联系会商、联动执法、联合响应机制，加强环境执法与综合行政执法的统筹协调。</w:t>
      </w:r>
    </w:p>
    <w:p>
      <w:pPr>
        <w:keepNext w:val="0"/>
        <w:keepLines w:val="0"/>
        <w:pageBreakBefore w:val="0"/>
        <w:widowControl w:val="0"/>
        <w:kinsoku/>
        <w:wordWrap/>
        <w:overflowPunct/>
        <w:topLinePunct w:val="0"/>
        <w:autoSpaceDE/>
        <w:autoSpaceDN/>
        <w:bidi w:val="0"/>
        <w:adjustRightInd w:val="0"/>
        <w:snapToGrid w:val="0"/>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251" w:name="_Toc5858"/>
      <w:bookmarkStart w:id="252" w:name="_Toc12750"/>
      <w:bookmarkStart w:id="253" w:name="_Toc5984"/>
      <w:bookmarkStart w:id="254" w:name="_Toc2650"/>
      <w:r>
        <w:rPr>
          <w:rFonts w:ascii="Times New Roman" w:hAnsi="Times New Roman" w:eastAsia="楷体"/>
          <w:b/>
          <w:bCs/>
          <w:color w:val="auto"/>
          <w:sz w:val="36"/>
          <w:szCs w:val="36"/>
        </w:rPr>
        <w:t>第十八条</w:t>
      </w:r>
      <w:r>
        <w:rPr>
          <w:rFonts w:hint="eastAsia" w:ascii="Times New Roman" w:hAnsi="Times New Roman" w:eastAsia="楷体"/>
          <w:b/>
          <w:bCs/>
          <w:color w:val="auto"/>
          <w:sz w:val="36"/>
          <w:szCs w:val="36"/>
          <w:lang w:val="en-US" w:eastAsia="zh-CN"/>
        </w:rPr>
        <w:t xml:space="preserve">  </w:t>
      </w:r>
      <w:r>
        <w:rPr>
          <w:rFonts w:ascii="Times New Roman" w:hAnsi="Times New Roman" w:eastAsia="楷体"/>
          <w:b/>
          <w:bCs/>
          <w:color w:val="auto"/>
          <w:sz w:val="36"/>
          <w:szCs w:val="36"/>
        </w:rPr>
        <w:t>健全实施机制</w:t>
      </w:r>
      <w:bookmarkEnd w:id="251"/>
      <w:bookmarkEnd w:id="252"/>
      <w:bookmarkEnd w:id="253"/>
      <w:bookmarkEnd w:id="254"/>
    </w:p>
    <w:p>
      <w:pPr>
        <w:spacing w:line="360" w:lineRule="auto"/>
        <w:ind w:firstLine="600" w:firstLineChars="200"/>
        <w:rPr>
          <w:rFonts w:ascii="Times New Roman" w:hAnsi="Times New Roman" w:eastAsia="仿宋_GB2312"/>
          <w:bCs/>
          <w:color w:val="auto"/>
          <w:kern w:val="0"/>
          <w:sz w:val="30"/>
          <w:szCs w:val="30"/>
        </w:rPr>
      </w:pPr>
      <w:r>
        <w:rPr>
          <w:rFonts w:hint="eastAsia" w:ascii="Times New Roman" w:hAnsi="Times New Roman" w:eastAsia="仿宋_GB2312"/>
          <w:bCs/>
          <w:color w:val="auto"/>
          <w:kern w:val="0"/>
          <w:sz w:val="30"/>
          <w:szCs w:val="30"/>
        </w:rPr>
        <w:t>加强对规划实施的年度监测和中期评估，建立健全重要目标任务实施跟踪反馈机制，加强规划实施的动态管理。建立规划实施监督长效机制。完善考核制度。根据各单位职能，逐项分解规划任务，并结合市委、市政府要求，建立科学、有效的规划推进机制。按照参考性、约束性指标的不同要求，对规划目标、重点任务、建设项目等实行分类评价考核，提高规划实施的约束性和实效性。</w:t>
      </w:r>
    </w:p>
    <w:p>
      <w:pPr>
        <w:keepNext w:val="0"/>
        <w:keepLines w:val="0"/>
        <w:pageBreakBefore w:val="0"/>
        <w:widowControl w:val="0"/>
        <w:kinsoku/>
        <w:wordWrap/>
        <w:overflowPunct/>
        <w:topLinePunct w:val="0"/>
        <w:autoSpaceDE/>
        <w:autoSpaceDN/>
        <w:bidi w:val="0"/>
        <w:adjustRightInd w:val="0"/>
        <w:snapToGrid w:val="0"/>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255" w:name="_Toc14030"/>
      <w:bookmarkStart w:id="256" w:name="_Toc20822"/>
      <w:bookmarkStart w:id="257" w:name="_Toc27970"/>
      <w:bookmarkStart w:id="258" w:name="_Toc7826"/>
      <w:r>
        <w:rPr>
          <w:rFonts w:ascii="Times New Roman" w:hAnsi="Times New Roman" w:eastAsia="楷体"/>
          <w:b/>
          <w:bCs/>
          <w:color w:val="auto"/>
          <w:sz w:val="36"/>
          <w:szCs w:val="36"/>
        </w:rPr>
        <w:t>第十九条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加大</w:t>
      </w:r>
      <w:r>
        <w:rPr>
          <w:rFonts w:ascii="Times New Roman" w:hAnsi="Times New Roman" w:eastAsia="楷体"/>
          <w:b/>
          <w:bCs/>
          <w:color w:val="auto"/>
          <w:sz w:val="36"/>
          <w:szCs w:val="36"/>
        </w:rPr>
        <w:t>资金统筹</w:t>
      </w:r>
      <w:bookmarkEnd w:id="255"/>
      <w:bookmarkEnd w:id="256"/>
      <w:bookmarkEnd w:id="257"/>
      <w:bookmarkEnd w:id="258"/>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按照</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政府主导、社会参与、市场运作</w:t>
      </w:r>
      <w:r>
        <w:rPr>
          <w:rFonts w:hint="eastAsia" w:ascii="Times New Roman" w:hAnsi="Times New Roman" w:eastAsia="仿宋_GB2312"/>
          <w:bCs/>
          <w:color w:val="auto"/>
          <w:kern w:val="0"/>
          <w:sz w:val="30"/>
          <w:szCs w:val="30"/>
        </w:rPr>
        <w:t>”</w:t>
      </w:r>
      <w:r>
        <w:rPr>
          <w:rFonts w:ascii="Times New Roman" w:hAnsi="Times New Roman" w:eastAsia="仿宋_GB2312"/>
          <w:bCs/>
          <w:color w:val="auto"/>
          <w:kern w:val="0"/>
          <w:sz w:val="30"/>
          <w:szCs w:val="30"/>
        </w:rPr>
        <w:t>的原则，建立和完善生态文明建设资金筹措机制。把生态文明建设作为公共财政支出的重点，加大投入力度。整合新农村建设、</w:t>
      </w:r>
      <w:r>
        <w:rPr>
          <w:rFonts w:hint="eastAsia" w:ascii="Times New Roman" w:hAnsi="Times New Roman" w:eastAsia="仿宋_GB2312"/>
          <w:bCs/>
          <w:color w:val="auto"/>
          <w:kern w:val="0"/>
          <w:sz w:val="30"/>
          <w:szCs w:val="30"/>
        </w:rPr>
        <w:t>生态</w:t>
      </w:r>
      <w:r>
        <w:rPr>
          <w:rFonts w:ascii="Times New Roman" w:hAnsi="Times New Roman" w:eastAsia="仿宋_GB2312"/>
          <w:bCs/>
          <w:color w:val="auto"/>
          <w:kern w:val="0"/>
          <w:sz w:val="30"/>
          <w:szCs w:val="30"/>
        </w:rPr>
        <w:t>环境保护、水利工程建设等发展专项资金，向生态文明建设重点项目倾斜。推动财政部门积极争取上级的项目和资金扶持。探索建立生态文明建设投融资平台，拓宽资金来源渠道，多层次筹措资金，鼓励社会资金投入生态工程项目建设。</w:t>
      </w:r>
    </w:p>
    <w:p>
      <w:pPr>
        <w:keepNext w:val="0"/>
        <w:keepLines w:val="0"/>
        <w:pageBreakBefore w:val="0"/>
        <w:widowControl w:val="0"/>
        <w:kinsoku/>
        <w:wordWrap/>
        <w:overflowPunct/>
        <w:topLinePunct w:val="0"/>
        <w:autoSpaceDE/>
        <w:autoSpaceDN/>
        <w:bidi w:val="0"/>
        <w:adjustRightInd w:val="0"/>
        <w:snapToGrid w:val="0"/>
        <w:spacing w:before="144" w:beforeLines="50" w:after="144" w:afterLines="50" w:line="360" w:lineRule="auto"/>
        <w:jc w:val="center"/>
        <w:textAlignment w:val="auto"/>
        <w:outlineLvl w:val="1"/>
        <w:rPr>
          <w:rFonts w:ascii="Times New Roman" w:hAnsi="Times New Roman" w:eastAsia="楷体"/>
          <w:b/>
          <w:bCs/>
          <w:color w:val="auto"/>
          <w:sz w:val="36"/>
          <w:szCs w:val="36"/>
        </w:rPr>
      </w:pPr>
      <w:bookmarkStart w:id="259" w:name="_Toc17656"/>
      <w:bookmarkStart w:id="260" w:name="_Toc5808"/>
      <w:bookmarkStart w:id="261" w:name="_Toc21088"/>
      <w:bookmarkStart w:id="262" w:name="_Toc13926"/>
      <w:r>
        <w:rPr>
          <w:rFonts w:ascii="Times New Roman" w:hAnsi="Times New Roman" w:eastAsia="楷体"/>
          <w:b/>
          <w:bCs/>
          <w:color w:val="auto"/>
          <w:sz w:val="36"/>
          <w:szCs w:val="36"/>
        </w:rPr>
        <w:t>第二十条</w:t>
      </w:r>
      <w:r>
        <w:rPr>
          <w:rFonts w:hint="eastAsia" w:ascii="Times New Roman" w:hAnsi="Times New Roman" w:eastAsia="楷体"/>
          <w:b/>
          <w:bCs/>
          <w:color w:val="auto"/>
          <w:sz w:val="36"/>
          <w:szCs w:val="36"/>
          <w:lang w:val="en-US" w:eastAsia="zh-CN"/>
        </w:rPr>
        <w:t xml:space="preserve">  </w:t>
      </w:r>
      <w:r>
        <w:rPr>
          <w:rFonts w:hint="eastAsia" w:ascii="Times New Roman" w:hAnsi="Times New Roman" w:eastAsia="楷体"/>
          <w:b/>
          <w:bCs/>
          <w:color w:val="auto"/>
          <w:sz w:val="36"/>
          <w:szCs w:val="36"/>
        </w:rPr>
        <w:t>引导</w:t>
      </w:r>
      <w:r>
        <w:rPr>
          <w:rFonts w:ascii="Times New Roman" w:hAnsi="Times New Roman" w:eastAsia="楷体"/>
          <w:b/>
          <w:bCs/>
          <w:color w:val="auto"/>
          <w:sz w:val="36"/>
          <w:szCs w:val="36"/>
        </w:rPr>
        <w:t>社会参与</w:t>
      </w:r>
      <w:bookmarkEnd w:id="259"/>
      <w:bookmarkEnd w:id="260"/>
      <w:bookmarkEnd w:id="261"/>
      <w:bookmarkEnd w:id="262"/>
    </w:p>
    <w:p>
      <w:pPr>
        <w:spacing w:line="360" w:lineRule="auto"/>
        <w:ind w:firstLine="600" w:firstLineChars="200"/>
        <w:rPr>
          <w:rFonts w:ascii="Times New Roman" w:hAnsi="Times New Roman" w:eastAsia="仿宋_GB2312"/>
          <w:bCs/>
          <w:color w:val="auto"/>
          <w:kern w:val="0"/>
          <w:sz w:val="30"/>
          <w:szCs w:val="30"/>
        </w:rPr>
      </w:pPr>
      <w:r>
        <w:rPr>
          <w:rFonts w:ascii="Times New Roman" w:hAnsi="Times New Roman" w:eastAsia="仿宋_GB2312"/>
          <w:bCs/>
          <w:color w:val="auto"/>
          <w:kern w:val="0"/>
          <w:sz w:val="30"/>
          <w:szCs w:val="30"/>
        </w:rPr>
        <w:t>充分发挥人民群众在生态文明建设中的主体作用，坚持党的群众路线，虚心听取群众意见，广泛动员群众参加生态文明建设的各项活动，调动他们的积极性、</w:t>
      </w:r>
      <w:r>
        <w:rPr>
          <w:rFonts w:hint="eastAsia" w:ascii="Times New Roman" w:hAnsi="Times New Roman" w:eastAsia="仿宋_GB2312"/>
          <w:bCs/>
          <w:color w:val="auto"/>
          <w:kern w:val="0"/>
          <w:sz w:val="30"/>
          <w:szCs w:val="30"/>
        </w:rPr>
        <w:t>主动性</w:t>
      </w:r>
      <w:r>
        <w:rPr>
          <w:rFonts w:ascii="Times New Roman" w:hAnsi="Times New Roman" w:eastAsia="仿宋_GB2312"/>
          <w:bCs/>
          <w:color w:val="auto"/>
          <w:kern w:val="0"/>
          <w:sz w:val="30"/>
          <w:szCs w:val="30"/>
        </w:rPr>
        <w:t>、创造性。积极开展环境保护宣传教育活动，广泛普及和宣传环保法律法规知识和科学知识，提高各级领导的环境意识和综合决策</w:t>
      </w:r>
      <w:r>
        <w:rPr>
          <w:rFonts w:hint="eastAsia" w:ascii="Times New Roman" w:hAnsi="Times New Roman" w:eastAsia="仿宋_GB2312"/>
          <w:bCs/>
          <w:color w:val="auto"/>
          <w:kern w:val="0"/>
          <w:sz w:val="30"/>
          <w:szCs w:val="30"/>
        </w:rPr>
        <w:t>水平</w:t>
      </w:r>
      <w:r>
        <w:rPr>
          <w:rFonts w:ascii="Times New Roman" w:hAnsi="Times New Roman" w:eastAsia="仿宋_GB2312"/>
          <w:bCs/>
          <w:color w:val="auto"/>
          <w:kern w:val="0"/>
          <w:sz w:val="30"/>
          <w:szCs w:val="30"/>
        </w:rPr>
        <w:t>，提高各级领导和公众自觉遵守环境法律、法规的自觉性，引导企业履行社会责任，自觉控制污染、追求绿色效益。建立</w:t>
      </w:r>
      <w:r>
        <w:rPr>
          <w:rFonts w:hint="eastAsia" w:ascii="Times New Roman" w:hAnsi="Times New Roman" w:eastAsia="仿宋_GB2312"/>
          <w:bCs/>
          <w:color w:val="auto"/>
          <w:kern w:val="0"/>
          <w:sz w:val="30"/>
          <w:szCs w:val="30"/>
        </w:rPr>
        <w:t>有效</w:t>
      </w:r>
      <w:r>
        <w:rPr>
          <w:rFonts w:ascii="Times New Roman" w:hAnsi="Times New Roman" w:eastAsia="仿宋_GB2312"/>
          <w:bCs/>
          <w:color w:val="auto"/>
          <w:kern w:val="0"/>
          <w:sz w:val="30"/>
          <w:szCs w:val="30"/>
        </w:rPr>
        <w:t>的社会和舆论监督机制，促进</w:t>
      </w:r>
      <w:r>
        <w:rPr>
          <w:rFonts w:hint="eastAsia" w:ascii="Times New Roman" w:hAnsi="Times New Roman" w:eastAsia="仿宋_GB2312"/>
          <w:bCs/>
          <w:color w:val="auto"/>
          <w:kern w:val="0"/>
          <w:sz w:val="30"/>
          <w:szCs w:val="30"/>
        </w:rPr>
        <w:t>生态文明建设</w:t>
      </w:r>
      <w:r>
        <w:rPr>
          <w:rFonts w:ascii="Times New Roman" w:hAnsi="Times New Roman" w:eastAsia="仿宋_GB2312"/>
          <w:bCs/>
          <w:color w:val="auto"/>
          <w:kern w:val="0"/>
          <w:sz w:val="30"/>
          <w:szCs w:val="30"/>
        </w:rPr>
        <w:t>的广泛公众支持和参与，促进全民环境意识的提高，强化社会、公众对</w:t>
      </w:r>
      <w:r>
        <w:rPr>
          <w:rFonts w:hint="eastAsia" w:ascii="Times New Roman" w:hAnsi="Times New Roman" w:eastAsia="仿宋_GB2312"/>
          <w:bCs/>
          <w:color w:val="auto"/>
          <w:kern w:val="0"/>
          <w:sz w:val="30"/>
          <w:szCs w:val="30"/>
        </w:rPr>
        <w:t>生态文明建设</w:t>
      </w:r>
      <w:r>
        <w:rPr>
          <w:rFonts w:ascii="Times New Roman" w:hAnsi="Times New Roman" w:eastAsia="仿宋_GB2312"/>
          <w:bCs/>
          <w:color w:val="auto"/>
          <w:kern w:val="0"/>
          <w:sz w:val="30"/>
          <w:szCs w:val="30"/>
        </w:rPr>
        <w:t>的参与和监督。</w:t>
      </w:r>
    </w:p>
    <w:p>
      <w:pPr>
        <w:pStyle w:val="2"/>
        <w:ind w:firstLine="0" w:firstLineChars="0"/>
        <w:rPr>
          <w:rFonts w:ascii="Times New Roman" w:hAnsi="Times New Roman"/>
          <w:color w:val="auto"/>
        </w:rPr>
      </w:pPr>
    </w:p>
    <w:p>
      <w:pPr>
        <w:rPr>
          <w:rFonts w:ascii="Times New Roman" w:hAnsi="Times New Roman" w:eastAsia="黑体"/>
          <w:bCs/>
          <w:color w:val="auto"/>
          <w:sz w:val="36"/>
          <w:szCs w:val="36"/>
        </w:rPr>
        <w:sectPr>
          <w:headerReference r:id="rId10" w:type="default"/>
          <w:pgSz w:w="11907" w:h="16839"/>
          <w:pgMar w:top="1418" w:right="1417" w:bottom="1418" w:left="1701" w:header="720" w:footer="720" w:gutter="0"/>
          <w:pgBorders>
            <w:top w:val="none" w:sz="0" w:space="0"/>
            <w:left w:val="none" w:sz="0" w:space="0"/>
            <w:bottom w:val="none" w:sz="0" w:space="0"/>
            <w:right w:val="none" w:sz="0" w:space="0"/>
          </w:pgBorders>
          <w:pgNumType w:fmt="decimal"/>
          <w:cols w:space="720" w:num="1"/>
          <w:docGrid w:linePitch="286" w:charSpace="0"/>
        </w:sectPr>
      </w:pPr>
    </w:p>
    <w:p>
      <w:pPr>
        <w:pStyle w:val="25"/>
        <w:outlineLvl w:val="0"/>
        <w:rPr>
          <w:rFonts w:ascii="Times New Roman" w:hAnsi="Times New Roman"/>
          <w:color w:val="auto"/>
        </w:rPr>
      </w:pPr>
      <w:bookmarkStart w:id="263" w:name="_Toc27621"/>
      <w:bookmarkStart w:id="264" w:name="_Toc21068"/>
      <w:r>
        <w:rPr>
          <w:rFonts w:hint="eastAsia" w:ascii="黑体" w:hAnsi="黑体" w:eastAsia="黑体" w:cs="黑体"/>
          <w:color w:val="auto"/>
        </w:rPr>
        <w:t>附件</w:t>
      </w:r>
      <w:bookmarkEnd w:id="263"/>
      <w:bookmarkEnd w:id="264"/>
    </w:p>
    <w:p>
      <w:pPr>
        <w:pStyle w:val="25"/>
        <w:keepNext w:val="0"/>
        <w:keepLines w:val="0"/>
        <w:pageBreakBefore w:val="0"/>
        <w:widowControl/>
        <w:kinsoku/>
        <w:wordWrap/>
        <w:overflowPunct/>
        <w:topLinePunct w:val="0"/>
        <w:autoSpaceDE/>
        <w:autoSpaceDN/>
        <w:bidi w:val="0"/>
        <w:adjustRightInd w:val="0"/>
        <w:snapToGrid w:val="0"/>
        <w:spacing w:line="360" w:lineRule="auto"/>
        <w:jc w:val="center"/>
        <w:textAlignment w:val="auto"/>
        <w:outlineLvl w:val="0"/>
        <w:rPr>
          <w:rFonts w:hint="eastAsia" w:ascii="黑体" w:hAnsi="黑体" w:eastAsia="黑体" w:cs="黑体"/>
          <w:b w:val="0"/>
          <w:bCs/>
          <w:color w:val="auto"/>
          <w:sz w:val="30"/>
          <w:szCs w:val="30"/>
        </w:rPr>
      </w:pPr>
      <w:r>
        <w:rPr>
          <w:rFonts w:hint="eastAsia" w:ascii="黑体" w:hAnsi="黑体" w:eastAsia="黑体" w:cs="黑体"/>
          <w:b w:val="0"/>
          <w:bCs/>
          <w:color w:val="auto"/>
          <w:sz w:val="30"/>
          <w:szCs w:val="30"/>
        </w:rPr>
        <w:t>荣成市生态文明建设重点项目表</w:t>
      </w:r>
    </w:p>
    <w:tbl>
      <w:tblPr>
        <w:tblStyle w:val="19"/>
        <w:tblW w:w="14408"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34" w:type="dxa"/>
          <w:bottom w:w="0" w:type="dxa"/>
          <w:right w:w="34" w:type="dxa"/>
        </w:tblCellMar>
      </w:tblPr>
      <w:tblGrid>
        <w:gridCol w:w="518"/>
        <w:gridCol w:w="1155"/>
        <w:gridCol w:w="2280"/>
        <w:gridCol w:w="5700"/>
        <w:gridCol w:w="1095"/>
        <w:gridCol w:w="1470"/>
        <w:gridCol w:w="219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b/>
                <w:bCs/>
                <w:color w:val="auto"/>
                <w:kern w:val="0"/>
                <w:szCs w:val="21"/>
              </w:rPr>
            </w:pPr>
            <w:r>
              <w:rPr>
                <w:rFonts w:ascii="Times New Roman" w:hAnsi="Times New Roman" w:eastAsia="仿宋_GB2312"/>
                <w:b/>
                <w:bCs/>
                <w:color w:val="auto"/>
                <w:kern w:val="0"/>
                <w:szCs w:val="21"/>
              </w:rPr>
              <w:t>序号</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b/>
                <w:bCs/>
                <w:color w:val="auto"/>
                <w:szCs w:val="21"/>
              </w:rPr>
            </w:pPr>
            <w:r>
              <w:rPr>
                <w:rFonts w:ascii="Times New Roman" w:hAnsi="Times New Roman" w:eastAsia="仿宋_GB2312"/>
                <w:b/>
                <w:bCs/>
                <w:color w:val="auto"/>
                <w:kern w:val="0"/>
                <w:szCs w:val="21"/>
              </w:rPr>
              <w:t>领域</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b/>
                <w:bCs/>
                <w:color w:val="auto"/>
                <w:szCs w:val="21"/>
              </w:rPr>
            </w:pPr>
            <w:r>
              <w:rPr>
                <w:rFonts w:ascii="Times New Roman" w:hAnsi="Times New Roman" w:eastAsia="仿宋_GB2312"/>
                <w:b/>
                <w:bCs/>
                <w:color w:val="auto"/>
                <w:kern w:val="0"/>
                <w:szCs w:val="21"/>
              </w:rPr>
              <w:t>项目名称</w:t>
            </w:r>
          </w:p>
        </w:tc>
        <w:tc>
          <w:tcPr>
            <w:tcW w:w="5700" w:type="dxa"/>
            <w:tcBorders>
              <w:tl2br w:val="nil"/>
              <w:tr2bl w:val="nil"/>
            </w:tcBorders>
            <w:shd w:val="clear" w:color="auto" w:fill="auto"/>
            <w:vAlign w:val="center"/>
          </w:tcPr>
          <w:p>
            <w:pPr>
              <w:widowControl/>
              <w:jc w:val="center"/>
              <w:textAlignment w:val="center"/>
              <w:rPr>
                <w:rFonts w:ascii="Times New Roman" w:hAnsi="Times New Roman" w:eastAsia="仿宋_GB2312"/>
                <w:b/>
                <w:bCs/>
                <w:color w:val="auto"/>
                <w:szCs w:val="21"/>
              </w:rPr>
            </w:pPr>
            <w:r>
              <w:rPr>
                <w:rFonts w:ascii="Times New Roman" w:hAnsi="Times New Roman" w:eastAsia="仿宋_GB2312"/>
                <w:b/>
                <w:bCs/>
                <w:color w:val="auto"/>
                <w:kern w:val="0"/>
                <w:szCs w:val="21"/>
              </w:rPr>
              <w:t>建设内容</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b/>
                <w:bCs/>
                <w:color w:val="auto"/>
                <w:szCs w:val="21"/>
              </w:rPr>
            </w:pPr>
            <w:r>
              <w:rPr>
                <w:rFonts w:ascii="Times New Roman" w:hAnsi="Times New Roman" w:eastAsia="仿宋_GB2312"/>
                <w:b/>
                <w:bCs/>
                <w:color w:val="auto"/>
                <w:kern w:val="0"/>
                <w:szCs w:val="21"/>
              </w:rPr>
              <w:t>投资估算（亿元）</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b/>
                <w:bCs/>
                <w:color w:val="auto"/>
                <w:szCs w:val="21"/>
              </w:rPr>
            </w:pPr>
            <w:r>
              <w:rPr>
                <w:rFonts w:ascii="Times New Roman" w:hAnsi="Times New Roman" w:eastAsia="仿宋_GB2312"/>
                <w:b/>
                <w:bCs/>
                <w:color w:val="auto"/>
                <w:kern w:val="0"/>
                <w:szCs w:val="21"/>
              </w:rPr>
              <w:t>实施年限</w:t>
            </w:r>
          </w:p>
        </w:tc>
        <w:tc>
          <w:tcPr>
            <w:tcW w:w="2190"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b/>
                <w:bCs/>
                <w:color w:val="auto"/>
                <w:szCs w:val="21"/>
                <w:lang w:val="en-US" w:eastAsia="zh-CN"/>
              </w:rPr>
            </w:pPr>
            <w:r>
              <w:rPr>
                <w:rFonts w:ascii="Times New Roman" w:hAnsi="Times New Roman" w:eastAsia="仿宋_GB2312"/>
                <w:b/>
                <w:bCs/>
                <w:color w:val="auto"/>
                <w:kern w:val="0"/>
                <w:szCs w:val="21"/>
              </w:rPr>
              <w:t>责任单位</w:t>
            </w:r>
            <w:r>
              <w:rPr>
                <w:rFonts w:hint="eastAsia" w:ascii="Times New Roman" w:hAnsi="Times New Roman" w:eastAsia="仿宋_GB2312"/>
                <w:b/>
                <w:bCs/>
                <w:color w:val="auto"/>
                <w:kern w:val="0"/>
                <w:szCs w:val="21"/>
                <w:lang w:val="en-US" w:eastAsia="zh-CN"/>
              </w:rPr>
              <w:t>/部门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1</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国和一号核电海水淡化</w:t>
            </w:r>
            <w:r>
              <w:rPr>
                <w:rStyle w:val="43"/>
                <w:rFonts w:hint="default" w:ascii="Times New Roman" w:hAnsi="Times New Roman" w:eastAsia="仿宋_GB2312" w:cs="Times New Roman"/>
                <w:color w:val="auto"/>
                <w:sz w:val="21"/>
                <w:szCs w:val="21"/>
              </w:rPr>
              <w:t>示范工程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规划建设10</w:t>
            </w:r>
            <w:r>
              <w:rPr>
                <w:rStyle w:val="43"/>
                <w:rFonts w:hint="default" w:ascii="Times New Roman" w:hAnsi="Times New Roman" w:eastAsia="仿宋_GB2312" w:cs="Times New Roman"/>
                <w:color w:val="auto"/>
                <w:sz w:val="21"/>
                <w:szCs w:val="21"/>
              </w:rPr>
              <w:t>万吨海水淡化厂，一期规划建设</w:t>
            </w:r>
            <w:r>
              <w:rPr>
                <w:rFonts w:ascii="Times New Roman" w:hAnsi="Times New Roman" w:eastAsia="仿宋_GB2312"/>
                <w:color w:val="auto"/>
                <w:kern w:val="0"/>
                <w:szCs w:val="21"/>
              </w:rPr>
              <w:t>5</w:t>
            </w:r>
            <w:r>
              <w:rPr>
                <w:rStyle w:val="43"/>
                <w:rFonts w:hint="default" w:ascii="Times New Roman" w:hAnsi="Times New Roman" w:eastAsia="仿宋_GB2312" w:cs="Times New Roman"/>
                <w:color w:val="auto"/>
                <w:sz w:val="21"/>
                <w:szCs w:val="21"/>
              </w:rPr>
              <w:t>万吨，先期建设</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万吨。</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2020-2025</w:t>
            </w:r>
          </w:p>
        </w:tc>
        <w:tc>
          <w:tcPr>
            <w:tcW w:w="2190"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rPr>
            </w:pPr>
            <w:r>
              <w:rPr>
                <w:rFonts w:ascii="Times New Roman" w:hAnsi="Times New Roman" w:eastAsia="仿宋_GB2312"/>
                <w:color w:val="auto"/>
                <w:kern w:val="0"/>
                <w:szCs w:val="21"/>
              </w:rPr>
              <w:t>国家电投</w:t>
            </w:r>
            <w:r>
              <w:rPr>
                <w:rFonts w:hint="default" w:ascii="Times New Roman" w:hAnsi="Times New Roman" w:eastAsia="仿宋_GB2312"/>
                <w:color w:val="auto"/>
                <w:kern w:val="0"/>
                <w:szCs w:val="21"/>
              </w:rPr>
              <w:t>集团</w:t>
            </w:r>
          </w:p>
          <w:p>
            <w:pPr>
              <w:pStyle w:val="2"/>
              <w:ind w:left="0" w:leftChars="0" w:firstLine="0" w:firstLineChars="0"/>
              <w:jc w:val="center"/>
              <w:rPr>
                <w:rFonts w:hint="default" w:eastAsia="仿宋_GB2312"/>
                <w:color w:val="auto"/>
                <w:lang w:val="en-US" w:eastAsia="zh-CN"/>
              </w:rPr>
            </w:pP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国核示范CAP1400</w:t>
            </w:r>
            <w:r>
              <w:rPr>
                <w:rStyle w:val="43"/>
                <w:rFonts w:hint="default" w:ascii="Times New Roman" w:hAnsi="Times New Roman" w:eastAsia="仿宋_GB2312" w:cs="Times New Roman"/>
                <w:color w:val="auto"/>
                <w:sz w:val="21"/>
                <w:szCs w:val="21"/>
              </w:rPr>
              <w:t>大型先进压水堆核电工程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建设2</w:t>
            </w:r>
            <w:r>
              <w:rPr>
                <w:rStyle w:val="43"/>
                <w:rFonts w:hint="default" w:ascii="Times New Roman" w:hAnsi="Times New Roman" w:eastAsia="仿宋_GB2312" w:cs="Times New Roman"/>
                <w:color w:val="auto"/>
                <w:sz w:val="21"/>
                <w:szCs w:val="21"/>
              </w:rPr>
              <w:t>台</w:t>
            </w:r>
            <w:r>
              <w:rPr>
                <w:rFonts w:ascii="Times New Roman" w:hAnsi="Times New Roman" w:eastAsia="仿宋_GB2312"/>
                <w:color w:val="auto"/>
                <w:kern w:val="0"/>
                <w:szCs w:val="21"/>
              </w:rPr>
              <w:t>CAP1400</w:t>
            </w:r>
            <w:r>
              <w:rPr>
                <w:rStyle w:val="43"/>
                <w:rFonts w:hint="default" w:ascii="Times New Roman" w:hAnsi="Times New Roman" w:eastAsia="仿宋_GB2312" w:cs="Times New Roman"/>
                <w:color w:val="auto"/>
                <w:sz w:val="21"/>
                <w:szCs w:val="21"/>
              </w:rPr>
              <w:t>核电机组。</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483.00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2019-2025</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国核示范电站有限责任公司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3</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荣成高温气冷堆示范</w:t>
            </w:r>
          </w:p>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建设1</w:t>
            </w:r>
            <w:r>
              <w:rPr>
                <w:rStyle w:val="43"/>
                <w:rFonts w:hint="default" w:ascii="Times New Roman" w:hAnsi="Times New Roman" w:eastAsia="仿宋_GB2312" w:cs="Times New Roman"/>
                <w:color w:val="auto"/>
                <w:sz w:val="21"/>
                <w:szCs w:val="21"/>
              </w:rPr>
              <w:t>台</w:t>
            </w:r>
            <w:r>
              <w:rPr>
                <w:rFonts w:ascii="Times New Roman" w:hAnsi="Times New Roman" w:eastAsia="仿宋_GB2312"/>
                <w:color w:val="auto"/>
                <w:kern w:val="0"/>
                <w:szCs w:val="21"/>
              </w:rPr>
              <w:t>20</w:t>
            </w:r>
            <w:r>
              <w:rPr>
                <w:rStyle w:val="43"/>
                <w:rFonts w:hint="default" w:ascii="Times New Roman" w:hAnsi="Times New Roman" w:eastAsia="仿宋_GB2312" w:cs="Times New Roman"/>
                <w:color w:val="auto"/>
                <w:sz w:val="21"/>
                <w:szCs w:val="21"/>
              </w:rPr>
              <w:t>万千瓦高温气冷堆核电机组。</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92.30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华能山东石岛湾核电有限公司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4</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华能山东石岛湾核电厂扩建工程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拟建设4</w:t>
            </w:r>
            <w:r>
              <w:rPr>
                <w:rStyle w:val="43"/>
                <w:rFonts w:hint="default" w:ascii="Times New Roman" w:hAnsi="Times New Roman" w:eastAsia="仿宋_GB2312" w:cs="Times New Roman"/>
                <w:color w:val="auto"/>
                <w:sz w:val="21"/>
                <w:szCs w:val="21"/>
              </w:rPr>
              <w:t>台</w:t>
            </w:r>
            <w:r>
              <w:rPr>
                <w:rFonts w:ascii="Times New Roman" w:hAnsi="Times New Roman" w:eastAsia="仿宋_GB2312"/>
                <w:color w:val="auto"/>
                <w:kern w:val="0"/>
                <w:szCs w:val="21"/>
              </w:rPr>
              <w:t>CAP1000</w:t>
            </w:r>
            <w:r>
              <w:rPr>
                <w:rStyle w:val="43"/>
                <w:rFonts w:hint="default" w:ascii="Times New Roman" w:hAnsi="Times New Roman" w:eastAsia="仿宋_GB2312" w:cs="Times New Roman"/>
                <w:color w:val="auto"/>
                <w:sz w:val="21"/>
                <w:szCs w:val="21"/>
              </w:rPr>
              <w:t>压水堆核电机组。</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755</w:t>
            </w:r>
            <w:r>
              <w:rPr>
                <w:rFonts w:ascii="Times New Roman" w:hAnsi="Times New Roman" w:eastAsia="仿宋_GB2312"/>
                <w:color w:val="auto"/>
                <w:kern w:val="0"/>
                <w:szCs w:val="21"/>
              </w:rPr>
              <w:t>.00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2022-2029</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华能石岛湾核电开发有限责任公司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5</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荣成市天然气热电联产项目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台</w:t>
            </w:r>
            <w:r>
              <w:rPr>
                <w:rFonts w:ascii="Times New Roman" w:hAnsi="Times New Roman" w:eastAsia="仿宋_GB2312"/>
                <w:color w:val="auto"/>
                <w:kern w:val="0"/>
                <w:szCs w:val="21"/>
              </w:rPr>
              <w:t>E</w:t>
            </w:r>
            <w:r>
              <w:rPr>
                <w:rStyle w:val="43"/>
                <w:rFonts w:hint="default" w:ascii="Times New Roman" w:hAnsi="Times New Roman" w:eastAsia="仿宋_GB2312" w:cs="Times New Roman"/>
                <w:color w:val="auto"/>
                <w:sz w:val="21"/>
                <w:szCs w:val="21"/>
              </w:rPr>
              <w:t>级燃气</w:t>
            </w:r>
            <w:r>
              <w:rPr>
                <w:rFonts w:ascii="Times New Roman" w:hAnsi="Times New Roman" w:eastAsia="仿宋_GB2312"/>
                <w:color w:val="auto"/>
                <w:kern w:val="0"/>
                <w:szCs w:val="21"/>
              </w:rPr>
              <w:t>-</w:t>
            </w:r>
            <w:r>
              <w:rPr>
                <w:rStyle w:val="43"/>
                <w:rFonts w:hint="default" w:ascii="Times New Roman" w:hAnsi="Times New Roman" w:eastAsia="仿宋_GB2312" w:cs="Times New Roman"/>
                <w:color w:val="auto"/>
                <w:sz w:val="21"/>
                <w:szCs w:val="21"/>
              </w:rPr>
              <w:t>蒸汽联合循环热电联产机组（包含</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台</w:t>
            </w:r>
            <w:r>
              <w:rPr>
                <w:rFonts w:ascii="Times New Roman" w:hAnsi="Times New Roman" w:eastAsia="仿宋_GB2312"/>
                <w:color w:val="auto"/>
                <w:kern w:val="0"/>
                <w:szCs w:val="21"/>
              </w:rPr>
              <w:t>E</w:t>
            </w:r>
            <w:r>
              <w:rPr>
                <w:rStyle w:val="43"/>
                <w:rFonts w:hint="default" w:ascii="Times New Roman" w:hAnsi="Times New Roman" w:eastAsia="仿宋_GB2312" w:cs="Times New Roman"/>
                <w:color w:val="auto"/>
                <w:sz w:val="21"/>
                <w:szCs w:val="21"/>
              </w:rPr>
              <w:t>级燃气轮发电机组、</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台背压式汽轮发电机组、</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台余热锅炉）和</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台</w:t>
            </w:r>
            <w:r>
              <w:rPr>
                <w:rFonts w:ascii="Times New Roman" w:hAnsi="Times New Roman" w:eastAsia="仿宋_GB2312"/>
                <w:color w:val="auto"/>
                <w:kern w:val="0"/>
                <w:szCs w:val="21"/>
              </w:rPr>
              <w:t>50</w:t>
            </w:r>
            <w:r>
              <w:rPr>
                <w:rStyle w:val="43"/>
                <w:rFonts w:hint="default" w:ascii="Times New Roman" w:hAnsi="Times New Roman" w:eastAsia="仿宋_GB2312" w:cs="Times New Roman"/>
                <w:color w:val="auto"/>
                <w:sz w:val="21"/>
                <w:szCs w:val="21"/>
              </w:rPr>
              <w:t>吨</w:t>
            </w:r>
            <w:r>
              <w:rPr>
                <w:rFonts w:ascii="Times New Roman" w:hAnsi="Times New Roman" w:eastAsia="仿宋_GB2312"/>
                <w:color w:val="auto"/>
                <w:kern w:val="0"/>
                <w:szCs w:val="21"/>
              </w:rPr>
              <w:t>/</w:t>
            </w:r>
            <w:r>
              <w:rPr>
                <w:rStyle w:val="43"/>
                <w:rFonts w:hint="default" w:ascii="Times New Roman" w:hAnsi="Times New Roman" w:eastAsia="仿宋_GB2312" w:cs="Times New Roman"/>
                <w:color w:val="auto"/>
                <w:sz w:val="21"/>
                <w:szCs w:val="21"/>
              </w:rPr>
              <w:t>小时燃气锅炉，设计燃料为天然气。</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26.40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2021-2023</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荣成昊阳清洁能源有限公司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6</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好运角旅游度假区生物质热电联产工程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占地128亩，新上130吨锅炉、汽轮机、发电机等，新增供热120万平方，实现年发电2亿度，同时配套5300平方米的办公用房。</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2019-2021</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威海</w:t>
            </w:r>
            <w:r>
              <w:rPr>
                <w:rStyle w:val="43"/>
                <w:rFonts w:hint="default" w:ascii="Times New Roman" w:hAnsi="Times New Roman" w:eastAsia="仿宋_GB2312" w:cs="Times New Roman"/>
                <w:color w:val="auto"/>
                <w:sz w:val="21"/>
                <w:szCs w:val="21"/>
              </w:rPr>
              <w:t>川能热力有限公司</w:t>
            </w:r>
            <w:r>
              <w:rPr>
                <w:rStyle w:val="43"/>
                <w:rFonts w:hint="eastAsia" w:ascii="Times New Roman" w:hAnsi="Times New Roman" w:eastAsia="仿宋_GB2312" w:cs="Times New Roman"/>
                <w:color w:val="auto"/>
                <w:sz w:val="21"/>
                <w:szCs w:val="21"/>
                <w:lang w:eastAsia="zh-CN"/>
              </w:rPr>
              <w:t>、</w:t>
            </w: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7</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核能供暖项目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依托压水堆示范工程实施集中供暖面积为450</w:t>
            </w:r>
            <w:r>
              <w:rPr>
                <w:rStyle w:val="43"/>
                <w:rFonts w:hint="default" w:ascii="Times New Roman" w:hAnsi="Times New Roman" w:eastAsia="仿宋_GB2312" w:cs="Times New Roman"/>
                <w:color w:val="auto"/>
                <w:sz w:val="21"/>
                <w:szCs w:val="21"/>
              </w:rPr>
              <w:t>万平方米。</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1.84</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2021-2023</w:t>
            </w:r>
          </w:p>
        </w:tc>
        <w:tc>
          <w:tcPr>
            <w:tcW w:w="2190" w:type="dxa"/>
            <w:tcBorders>
              <w:tl2br w:val="nil"/>
              <w:tr2bl w:val="nil"/>
            </w:tcBorders>
            <w:shd w:val="clear" w:color="auto" w:fill="auto"/>
            <w:vAlign w:val="center"/>
          </w:tcPr>
          <w:p>
            <w:pPr>
              <w:widowControl/>
              <w:jc w:val="left"/>
              <w:textAlignment w:val="center"/>
              <w:rPr>
                <w:rStyle w:val="43"/>
                <w:rFonts w:hint="eastAsia" w:ascii="Times New Roman" w:hAnsi="Times New Roman" w:eastAsia="仿宋_GB2312" w:cs="Times New Roman"/>
                <w:color w:val="auto"/>
                <w:sz w:val="21"/>
                <w:szCs w:val="21"/>
                <w:lang w:eastAsia="zh-CN"/>
              </w:rPr>
            </w:pPr>
            <w:r>
              <w:rPr>
                <w:rStyle w:val="43"/>
                <w:rFonts w:hint="default" w:ascii="Times New Roman" w:hAnsi="Times New Roman" w:eastAsia="仿宋_GB2312" w:cs="Times New Roman"/>
                <w:color w:val="auto"/>
                <w:sz w:val="21"/>
                <w:szCs w:val="21"/>
              </w:rPr>
              <w:t>国核示范电站有限责任公司</w:t>
            </w:r>
            <w:r>
              <w:rPr>
                <w:rStyle w:val="43"/>
                <w:rFonts w:hint="eastAsia" w:ascii="Times New Roman" w:hAnsi="Times New Roman" w:eastAsia="仿宋_GB2312" w:cs="Times New Roman"/>
                <w:color w:val="auto"/>
                <w:sz w:val="21"/>
                <w:szCs w:val="21"/>
                <w:lang w:eastAsia="zh-CN"/>
              </w:rPr>
              <w:t>、</w:t>
            </w:r>
            <w:r>
              <w:rPr>
                <w:rStyle w:val="43"/>
                <w:rFonts w:hint="eastAsia" w:ascii="Times New Roman" w:hAnsi="Times New Roman" w:eastAsia="仿宋_GB2312" w:cs="Times New Roman"/>
                <w:color w:val="auto"/>
                <w:sz w:val="21"/>
                <w:szCs w:val="21"/>
                <w:lang w:val="en-US" w:eastAsia="zh-CN"/>
              </w:rPr>
              <w:t>荣成市发改委</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8</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鹁鸽岛东兴国家级海洋牧场示范区建设项目</w:t>
            </w:r>
          </w:p>
        </w:tc>
        <w:tc>
          <w:tcPr>
            <w:tcW w:w="5700" w:type="dxa"/>
            <w:tcBorders>
              <w:tl2br w:val="nil"/>
              <w:tr2bl w:val="nil"/>
            </w:tcBorders>
            <w:shd w:val="clear" w:color="auto" w:fill="auto"/>
            <w:vAlign w:val="center"/>
          </w:tcPr>
          <w:p>
            <w:pPr>
              <w:widowControl/>
              <w:adjustRightInd w:val="0"/>
              <w:snapToGrid w:val="0"/>
              <w:spacing w:line="300" w:lineRule="exact"/>
              <w:jc w:val="left"/>
              <w:textAlignment w:val="center"/>
              <w:rPr>
                <w:rFonts w:ascii="Times New Roman" w:hAnsi="Times New Roman" w:eastAsia="仿宋_GB2312"/>
                <w:color w:val="auto"/>
                <w:szCs w:val="21"/>
              </w:rPr>
            </w:pPr>
            <w:r>
              <w:rPr>
                <w:rStyle w:val="43"/>
                <w:rFonts w:hint="default" w:ascii="Times New Roman" w:hAnsi="Times New Roman" w:eastAsia="仿宋_GB2312" w:cs="Times New Roman"/>
                <w:color w:val="auto"/>
                <w:sz w:val="21"/>
                <w:szCs w:val="21"/>
              </w:rPr>
              <w:t>投方人工礁体</w:t>
            </w:r>
            <w:r>
              <w:rPr>
                <w:rFonts w:ascii="Times New Roman" w:hAnsi="Times New Roman" w:eastAsia="仿宋_GB2312"/>
                <w:color w:val="auto"/>
                <w:kern w:val="0"/>
                <w:szCs w:val="21"/>
              </w:rPr>
              <w:t>3万</w:t>
            </w:r>
            <w:r>
              <w:rPr>
                <w:rStyle w:val="43"/>
                <w:rFonts w:hint="default" w:ascii="Times New Roman" w:hAnsi="Times New Roman" w:eastAsia="仿宋_GB2312" w:cs="Times New Roman"/>
                <w:color w:val="auto"/>
                <w:sz w:val="21"/>
                <w:szCs w:val="21"/>
              </w:rPr>
              <w:t>空方，建设海洋牧场观测系统1套。</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0.17</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批复下达之日起两年内完成</w:t>
            </w:r>
          </w:p>
        </w:tc>
        <w:tc>
          <w:tcPr>
            <w:tcW w:w="2190" w:type="dxa"/>
            <w:tcBorders>
              <w:tl2br w:val="nil"/>
              <w:tr2bl w:val="nil"/>
            </w:tcBorders>
            <w:shd w:val="clear" w:color="auto" w:fill="auto"/>
            <w:vAlign w:val="center"/>
          </w:tcPr>
          <w:p>
            <w:pPr>
              <w:widowControl/>
              <w:jc w:val="left"/>
              <w:textAlignment w:val="center"/>
              <w:rPr>
                <w:rStyle w:val="43"/>
                <w:rFonts w:hint="default" w:ascii="Times New Roman" w:hAnsi="Times New Roman" w:eastAsia="仿宋_GB2312" w:cs="Times New Roman"/>
                <w:color w:val="auto"/>
                <w:sz w:val="21"/>
                <w:szCs w:val="21"/>
                <w:lang w:val="en-US" w:eastAsia="zh-CN"/>
              </w:rPr>
            </w:pPr>
            <w:r>
              <w:rPr>
                <w:rStyle w:val="43"/>
                <w:rFonts w:hint="default" w:ascii="Times New Roman" w:hAnsi="Times New Roman" w:eastAsia="仿宋_GB2312" w:cs="Times New Roman"/>
                <w:color w:val="auto"/>
                <w:sz w:val="21"/>
                <w:szCs w:val="21"/>
              </w:rPr>
              <w:t>荣成市东兴水产有限公司</w:t>
            </w:r>
            <w:r>
              <w:rPr>
                <w:rStyle w:val="43"/>
                <w:rFonts w:hint="eastAsia" w:ascii="Times New Roman" w:hAnsi="Times New Roman" w:eastAsia="仿宋_GB2312" w:cs="Times New Roman"/>
                <w:color w:val="auto"/>
                <w:sz w:val="21"/>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90"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9</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鑫弘国家级海洋牧场示范区建设项目</w:t>
            </w:r>
          </w:p>
        </w:tc>
        <w:tc>
          <w:tcPr>
            <w:tcW w:w="5700" w:type="dxa"/>
            <w:tcBorders>
              <w:tl2br w:val="nil"/>
              <w:tr2bl w:val="nil"/>
            </w:tcBorders>
            <w:shd w:val="clear" w:color="auto" w:fill="auto"/>
            <w:vAlign w:val="center"/>
          </w:tcPr>
          <w:p>
            <w:pPr>
              <w:widowControl/>
              <w:adjustRightInd w:val="0"/>
              <w:snapToGrid w:val="0"/>
              <w:spacing w:line="300" w:lineRule="exact"/>
              <w:jc w:val="left"/>
              <w:textAlignment w:val="center"/>
              <w:rPr>
                <w:rFonts w:ascii="Times New Roman" w:hAnsi="Times New Roman" w:eastAsia="仿宋_GB2312"/>
                <w:color w:val="auto"/>
                <w:szCs w:val="21"/>
              </w:rPr>
            </w:pPr>
            <w:r>
              <w:rPr>
                <w:rStyle w:val="43"/>
                <w:rFonts w:hint="default" w:ascii="Times New Roman" w:hAnsi="Times New Roman" w:eastAsia="仿宋_GB2312" w:cs="Times New Roman"/>
                <w:color w:val="auto"/>
                <w:sz w:val="21"/>
                <w:szCs w:val="21"/>
              </w:rPr>
              <w:t>投放人工礁体</w:t>
            </w:r>
            <w:r>
              <w:rPr>
                <w:rFonts w:ascii="Times New Roman" w:hAnsi="Times New Roman" w:eastAsia="仿宋_GB2312"/>
                <w:color w:val="auto"/>
                <w:kern w:val="0"/>
                <w:szCs w:val="21"/>
              </w:rPr>
              <w:t>3万</w:t>
            </w:r>
            <w:r>
              <w:rPr>
                <w:rStyle w:val="43"/>
                <w:rFonts w:hint="default" w:ascii="Times New Roman" w:hAnsi="Times New Roman" w:eastAsia="仿宋_GB2312" w:cs="Times New Roman"/>
                <w:color w:val="auto"/>
                <w:sz w:val="21"/>
                <w:szCs w:val="21"/>
              </w:rPr>
              <w:t>空方，建设海洋牧场观测系统1套。</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0.17</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批复下达之日起两年内完成</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山东鑫弘集团有限公司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10</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沙窝岛国家级渔港经济区建设项目</w:t>
            </w:r>
          </w:p>
        </w:tc>
        <w:tc>
          <w:tcPr>
            <w:tcW w:w="5700" w:type="dxa"/>
            <w:tcBorders>
              <w:tl2br w:val="nil"/>
              <w:tr2bl w:val="nil"/>
            </w:tcBorders>
            <w:shd w:val="clear" w:color="auto" w:fill="auto"/>
            <w:vAlign w:val="center"/>
          </w:tcPr>
          <w:p>
            <w:pPr>
              <w:widowControl/>
              <w:adjustRightInd w:val="0"/>
              <w:snapToGrid w:val="0"/>
              <w:spacing w:line="300" w:lineRule="exact"/>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项目总体建设规模：园区总面积6000</w:t>
            </w:r>
            <w:r>
              <w:rPr>
                <w:rStyle w:val="43"/>
                <w:rFonts w:hint="default" w:ascii="Times New Roman" w:hAnsi="Times New Roman" w:eastAsia="仿宋_GB2312" w:cs="Times New Roman"/>
                <w:color w:val="auto"/>
                <w:sz w:val="21"/>
                <w:szCs w:val="21"/>
              </w:rPr>
              <w:t>公顷，其中陆域面积</w:t>
            </w:r>
            <w:r>
              <w:rPr>
                <w:rFonts w:ascii="Times New Roman" w:hAnsi="Times New Roman" w:eastAsia="仿宋_GB2312"/>
                <w:color w:val="auto"/>
                <w:kern w:val="0"/>
                <w:szCs w:val="21"/>
              </w:rPr>
              <w:t>100</w:t>
            </w:r>
            <w:r>
              <w:rPr>
                <w:rStyle w:val="43"/>
                <w:rFonts w:hint="default" w:ascii="Times New Roman" w:hAnsi="Times New Roman" w:eastAsia="仿宋_GB2312" w:cs="Times New Roman"/>
                <w:color w:val="auto"/>
                <w:sz w:val="21"/>
                <w:szCs w:val="21"/>
              </w:rPr>
              <w:t>公顷，海域面积</w:t>
            </w:r>
            <w:r>
              <w:rPr>
                <w:rFonts w:ascii="Times New Roman" w:hAnsi="Times New Roman" w:eastAsia="仿宋_GB2312"/>
                <w:color w:val="auto"/>
                <w:kern w:val="0"/>
                <w:szCs w:val="21"/>
              </w:rPr>
              <w:t>5900</w:t>
            </w:r>
            <w:r>
              <w:rPr>
                <w:rStyle w:val="43"/>
                <w:rFonts w:hint="default" w:ascii="Times New Roman" w:hAnsi="Times New Roman" w:eastAsia="仿宋_GB2312" w:cs="Times New Roman"/>
                <w:color w:val="auto"/>
                <w:sz w:val="21"/>
                <w:szCs w:val="21"/>
              </w:rPr>
              <w:t>公顷，规划建设渔港核心区、精深加工区、交易市场区、滨海旅游区等四大功能区，主要包括码头、港池航道疏浚、陆域形成及地基处理、园区道路、卸鱼设施、污水处理站、变电站、消防站、培训楼、冷链物流库、加工车间、交易市场、综合服务中心、仓储库、船厂、滨海旅游区以及相应的供电照明、给排水、通信控制等相应的配套设施。</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13.569</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w:t>
            </w:r>
            <w:r>
              <w:rPr>
                <w:rFonts w:hint="eastAsia" w:ascii="Times New Roman" w:hAnsi="Times New Roman" w:eastAsia="仿宋_GB2312"/>
                <w:color w:val="auto"/>
                <w:kern w:val="0"/>
                <w:szCs w:val="21"/>
              </w:rPr>
              <w:t>5</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沙窝岛国家远洋渔业基地发展服务中心、人和镇政府</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11</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海洋高新技术产业园核心区建设</w:t>
            </w:r>
          </w:p>
        </w:tc>
        <w:tc>
          <w:tcPr>
            <w:tcW w:w="5700" w:type="dxa"/>
            <w:tcBorders>
              <w:tl2br w:val="nil"/>
              <w:tr2bl w:val="nil"/>
            </w:tcBorders>
            <w:shd w:val="clear" w:color="auto" w:fill="auto"/>
            <w:vAlign w:val="center"/>
          </w:tcPr>
          <w:p>
            <w:pPr>
              <w:widowControl/>
              <w:adjustRightInd w:val="0"/>
              <w:snapToGrid w:val="0"/>
              <w:spacing w:line="300" w:lineRule="exact"/>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以海洋生物医药、海洋生物制品、海洋生态养殖、会展交易及电子商务等为主导，建设海洋高新技术研发中心、智慧农业示范中心、科技企业孵化中心等，打造具有国际竞争力、国内重要的海洋生物及制品创新与生产基地。</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13.00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持续推进</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威海（荣成）海洋高新技术产业园</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12</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靖海渔港小镇建设项目</w:t>
            </w:r>
          </w:p>
        </w:tc>
        <w:tc>
          <w:tcPr>
            <w:tcW w:w="5700" w:type="dxa"/>
            <w:tcBorders>
              <w:tl2br w:val="nil"/>
              <w:tr2bl w:val="nil"/>
            </w:tcBorders>
            <w:shd w:val="clear" w:color="auto" w:fill="auto"/>
            <w:vAlign w:val="center"/>
          </w:tcPr>
          <w:p>
            <w:pPr>
              <w:widowControl/>
              <w:adjustRightInd w:val="0"/>
              <w:snapToGrid w:val="0"/>
              <w:spacing w:line="300" w:lineRule="exact"/>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占地100</w:t>
            </w:r>
            <w:r>
              <w:rPr>
                <w:rStyle w:val="43"/>
                <w:rFonts w:hint="default" w:ascii="Times New Roman" w:hAnsi="Times New Roman" w:eastAsia="仿宋_GB2312" w:cs="Times New Roman"/>
                <w:color w:val="auto"/>
                <w:sz w:val="21"/>
                <w:szCs w:val="21"/>
              </w:rPr>
              <w:t>亩沙窝岛水产品精深加工暨冷链物流基地；占地</w:t>
            </w:r>
            <w:r>
              <w:rPr>
                <w:rFonts w:ascii="Times New Roman" w:hAnsi="Times New Roman" w:eastAsia="仿宋_GB2312"/>
                <w:color w:val="auto"/>
                <w:kern w:val="0"/>
                <w:szCs w:val="21"/>
              </w:rPr>
              <w:t>300</w:t>
            </w:r>
            <w:r>
              <w:rPr>
                <w:rStyle w:val="43"/>
                <w:rFonts w:hint="default" w:ascii="Times New Roman" w:hAnsi="Times New Roman" w:eastAsia="仿宋_GB2312" w:cs="Times New Roman"/>
                <w:color w:val="auto"/>
                <w:sz w:val="21"/>
                <w:szCs w:val="21"/>
              </w:rPr>
              <w:t>亩远洋船舶修造园；泊位总长</w:t>
            </w:r>
            <w:r>
              <w:rPr>
                <w:rFonts w:ascii="Times New Roman" w:hAnsi="Times New Roman" w:eastAsia="仿宋_GB2312"/>
                <w:color w:val="auto"/>
                <w:kern w:val="0"/>
                <w:szCs w:val="21"/>
              </w:rPr>
              <w:t>1080</w:t>
            </w:r>
            <w:r>
              <w:rPr>
                <w:rStyle w:val="43"/>
                <w:rFonts w:hint="default" w:ascii="Times New Roman" w:hAnsi="Times New Roman" w:eastAsia="仿宋_GB2312" w:cs="Times New Roman"/>
                <w:color w:val="auto"/>
                <w:sz w:val="21"/>
                <w:szCs w:val="21"/>
              </w:rPr>
              <w:t>米的沙窝岛中心渔港；占地</w:t>
            </w:r>
            <w:r>
              <w:rPr>
                <w:rFonts w:ascii="Times New Roman" w:hAnsi="Times New Roman" w:eastAsia="仿宋_GB2312"/>
                <w:color w:val="auto"/>
                <w:kern w:val="0"/>
                <w:szCs w:val="21"/>
              </w:rPr>
              <w:t>470</w:t>
            </w:r>
            <w:r>
              <w:rPr>
                <w:rStyle w:val="43"/>
                <w:rFonts w:hint="default" w:ascii="Times New Roman" w:hAnsi="Times New Roman" w:eastAsia="仿宋_GB2312" w:cs="Times New Roman"/>
                <w:color w:val="auto"/>
                <w:sz w:val="21"/>
                <w:szCs w:val="21"/>
              </w:rPr>
              <w:t>亩集居住区、老年公寓、商贸中心、幼儿园、医院、文化中心、社区服务、中心花园为一体的康馨生活服务区；占地面积</w:t>
            </w:r>
            <w:r>
              <w:rPr>
                <w:rFonts w:ascii="Times New Roman" w:hAnsi="Times New Roman" w:eastAsia="仿宋_GB2312"/>
                <w:color w:val="auto"/>
                <w:kern w:val="0"/>
                <w:szCs w:val="21"/>
              </w:rPr>
              <w:t>300</w:t>
            </w:r>
            <w:r>
              <w:rPr>
                <w:rStyle w:val="43"/>
                <w:rFonts w:hint="default" w:ascii="Times New Roman" w:hAnsi="Times New Roman" w:eastAsia="仿宋_GB2312" w:cs="Times New Roman"/>
                <w:color w:val="auto"/>
                <w:sz w:val="21"/>
                <w:szCs w:val="21"/>
              </w:rPr>
              <w:t>亩水产品冷链物流园；占地</w:t>
            </w:r>
            <w:r>
              <w:rPr>
                <w:rFonts w:ascii="Times New Roman" w:hAnsi="Times New Roman" w:eastAsia="仿宋_GB2312"/>
                <w:color w:val="auto"/>
                <w:kern w:val="0"/>
                <w:szCs w:val="21"/>
              </w:rPr>
              <w:t>150</w:t>
            </w:r>
            <w:r>
              <w:rPr>
                <w:rStyle w:val="43"/>
                <w:rFonts w:hint="default" w:ascii="Times New Roman" w:hAnsi="Times New Roman" w:eastAsia="仿宋_GB2312" w:cs="Times New Roman"/>
                <w:color w:val="auto"/>
                <w:sz w:val="21"/>
                <w:szCs w:val="21"/>
              </w:rPr>
              <w:t>亩休闲渔业基地；占地</w:t>
            </w:r>
            <w:r>
              <w:rPr>
                <w:rFonts w:ascii="Times New Roman" w:hAnsi="Times New Roman" w:eastAsia="仿宋_GB2312"/>
                <w:color w:val="auto"/>
                <w:kern w:val="0"/>
                <w:szCs w:val="21"/>
              </w:rPr>
              <w:t>78</w:t>
            </w:r>
            <w:r>
              <w:rPr>
                <w:rStyle w:val="43"/>
                <w:rFonts w:hint="default" w:ascii="Times New Roman" w:hAnsi="Times New Roman" w:eastAsia="仿宋_GB2312" w:cs="Times New Roman"/>
                <w:color w:val="auto"/>
                <w:sz w:val="21"/>
                <w:szCs w:val="21"/>
              </w:rPr>
              <w:t>亩，建筑面积</w:t>
            </w:r>
            <w:r>
              <w:rPr>
                <w:rFonts w:ascii="Times New Roman" w:hAnsi="Times New Roman" w:eastAsia="仿宋_GB2312"/>
                <w:color w:val="auto"/>
                <w:kern w:val="0"/>
                <w:szCs w:val="21"/>
              </w:rPr>
              <w:t>7.6</w:t>
            </w:r>
            <w:r>
              <w:rPr>
                <w:rStyle w:val="43"/>
                <w:rFonts w:hint="default" w:ascii="Times New Roman" w:hAnsi="Times New Roman" w:eastAsia="仿宋_GB2312" w:cs="Times New Roman"/>
                <w:color w:val="auto"/>
                <w:sz w:val="21"/>
                <w:szCs w:val="21"/>
              </w:rPr>
              <w:t>万平方米水产品交易中心。</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30.60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靖海集团</w:t>
            </w:r>
          </w:p>
          <w:p>
            <w:pPr>
              <w:widowControl/>
              <w:jc w:val="center"/>
              <w:textAlignment w:val="center"/>
              <w:rPr>
                <w:rFonts w:hint="eastAsia" w:ascii="Times New Roman" w:hAnsi="Times New Roman" w:eastAsia="仿宋_GB2312"/>
                <w:color w:val="auto"/>
                <w:szCs w:val="21"/>
                <w:lang w:eastAsia="zh-CN"/>
              </w:rPr>
            </w:pP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hint="eastAsia" w:ascii="Times New Roman" w:hAnsi="Times New Roman" w:eastAsia="仿宋_GB2312"/>
                <w:color w:val="auto"/>
                <w:kern w:val="0"/>
                <w:szCs w:val="21"/>
              </w:rPr>
              <w:t>13</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远洋渔业基地建设工程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Style w:val="43"/>
                <w:rFonts w:hint="default" w:ascii="Times New Roman" w:hAnsi="Times New Roman" w:eastAsia="仿宋_GB2312" w:cs="Times New Roman"/>
                <w:color w:val="auto"/>
                <w:sz w:val="21"/>
                <w:szCs w:val="21"/>
              </w:rPr>
              <w:t>根据荣成市远洋渔业布局，建设沙窝岛国家级远洋渔业基地</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31.40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2019-2025</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靖海集团、俚岛远洋渔业集团公司、鑫发集团、宝马集团</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14</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寻山集团海水苗种示范园和工业化旅游项目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占地280</w:t>
            </w:r>
            <w:r>
              <w:rPr>
                <w:rStyle w:val="43"/>
                <w:rFonts w:hint="default" w:ascii="Times New Roman" w:hAnsi="Times New Roman" w:eastAsia="仿宋_GB2312" w:cs="Times New Roman"/>
                <w:color w:val="auto"/>
                <w:sz w:val="21"/>
                <w:szCs w:val="21"/>
              </w:rPr>
              <w:t>亩，建筑面积</w:t>
            </w:r>
            <w:r>
              <w:rPr>
                <w:rFonts w:ascii="Times New Roman" w:hAnsi="Times New Roman" w:eastAsia="仿宋_GB2312"/>
                <w:color w:val="auto"/>
                <w:kern w:val="0"/>
                <w:szCs w:val="21"/>
              </w:rPr>
              <w:t>7.6</w:t>
            </w:r>
            <w:r>
              <w:rPr>
                <w:rStyle w:val="43"/>
                <w:rFonts w:hint="default" w:ascii="Times New Roman" w:hAnsi="Times New Roman" w:eastAsia="仿宋_GB2312" w:cs="Times New Roman"/>
                <w:color w:val="auto"/>
                <w:sz w:val="21"/>
                <w:szCs w:val="21"/>
              </w:rPr>
              <w:t>万平米</w:t>
            </w:r>
            <w:r>
              <w:rPr>
                <w:rFonts w:hint="eastAsia" w:ascii="Times New Roman" w:hAnsi="Times New Roman" w:eastAsia="仿宋_GB2312"/>
                <w:color w:val="auto"/>
                <w:kern w:val="0"/>
                <w:szCs w:val="21"/>
                <w:lang w:eastAsia="zh-CN"/>
              </w:rPr>
              <w:t>，</w:t>
            </w:r>
            <w:r>
              <w:rPr>
                <w:rStyle w:val="43"/>
                <w:rFonts w:hint="default" w:ascii="Times New Roman" w:hAnsi="Times New Roman" w:eastAsia="仿宋_GB2312" w:cs="Times New Roman"/>
                <w:color w:val="auto"/>
                <w:sz w:val="21"/>
                <w:szCs w:val="21"/>
              </w:rPr>
              <w:t>该项目主要从事海洋苗种繁育、海珍品精深加工和工业化旅游。</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2020-2023</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寻山集团</w:t>
            </w:r>
          </w:p>
          <w:p>
            <w:pPr>
              <w:widowControl/>
              <w:jc w:val="center"/>
              <w:textAlignment w:val="center"/>
              <w:rPr>
                <w:rFonts w:hint="eastAsia" w:ascii="Times New Roman" w:hAnsi="Times New Roman" w:eastAsia="仿宋_GB2312"/>
                <w:color w:val="auto"/>
                <w:szCs w:val="21"/>
                <w:lang w:eastAsia="zh-CN"/>
              </w:rPr>
            </w:pP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15</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荣成市润嘉农业发展有限公司项目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项目占地</w:t>
            </w:r>
            <w:r>
              <w:rPr>
                <w:rFonts w:hint="eastAsia" w:ascii="Times New Roman" w:hAnsi="Times New Roman" w:eastAsia="仿宋_GB2312"/>
                <w:color w:val="auto"/>
                <w:kern w:val="0"/>
                <w:szCs w:val="21"/>
              </w:rPr>
              <w:t>1500</w:t>
            </w:r>
            <w:r>
              <w:rPr>
                <w:rStyle w:val="43"/>
                <w:rFonts w:hint="default" w:ascii="Times New Roman" w:hAnsi="Times New Roman" w:eastAsia="仿宋_GB2312" w:cs="Times New Roman"/>
                <w:color w:val="auto"/>
                <w:sz w:val="21"/>
                <w:szCs w:val="21"/>
              </w:rPr>
              <w:t>亩，打造“石岛渔家风情”乡村振兴样板片区</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0.60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2019-2025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石岛管理区</w:t>
            </w:r>
          </w:p>
          <w:p>
            <w:pPr>
              <w:widowControl/>
              <w:jc w:val="center"/>
              <w:textAlignment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kern w:val="0"/>
                <w:szCs w:val="21"/>
                <w:lang w:val="en-US" w:eastAsia="zh-CN"/>
              </w:rPr>
              <w:t>荣成市农业农村局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16</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威海德信红农业园项目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规划总投资3000</w:t>
            </w:r>
            <w:r>
              <w:rPr>
                <w:rStyle w:val="43"/>
                <w:rFonts w:hint="default" w:ascii="Times New Roman" w:hAnsi="Times New Roman" w:eastAsia="仿宋_GB2312" w:cs="Times New Roman"/>
                <w:color w:val="auto"/>
                <w:sz w:val="21"/>
                <w:szCs w:val="21"/>
              </w:rPr>
              <w:t>万元，其中，</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月完成德信红农业园</w:t>
            </w:r>
            <w:r>
              <w:rPr>
                <w:rFonts w:ascii="Times New Roman" w:hAnsi="Times New Roman" w:eastAsia="仿宋_GB2312"/>
                <w:color w:val="auto"/>
                <w:kern w:val="0"/>
                <w:szCs w:val="21"/>
              </w:rPr>
              <w:t>1500</w:t>
            </w:r>
            <w:r>
              <w:rPr>
                <w:rStyle w:val="43"/>
                <w:rFonts w:hint="default" w:ascii="Times New Roman" w:hAnsi="Times New Roman" w:eastAsia="仿宋_GB2312" w:cs="Times New Roman"/>
                <w:color w:val="auto"/>
                <w:sz w:val="21"/>
                <w:szCs w:val="21"/>
              </w:rPr>
              <w:t>亩总体规划；</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月整理</w:t>
            </w:r>
            <w:r>
              <w:rPr>
                <w:rFonts w:ascii="Times New Roman" w:hAnsi="Times New Roman" w:eastAsia="仿宋_GB2312"/>
                <w:color w:val="auto"/>
                <w:kern w:val="0"/>
                <w:szCs w:val="21"/>
              </w:rPr>
              <w:t>B</w:t>
            </w:r>
            <w:r>
              <w:rPr>
                <w:rStyle w:val="43"/>
                <w:rFonts w:hint="default" w:ascii="Times New Roman" w:hAnsi="Times New Roman" w:eastAsia="仿宋_GB2312" w:cs="Times New Roman"/>
                <w:color w:val="auto"/>
                <w:sz w:val="21"/>
                <w:szCs w:val="21"/>
              </w:rPr>
              <w:t>区、</w:t>
            </w:r>
            <w:r>
              <w:rPr>
                <w:rFonts w:ascii="Times New Roman" w:hAnsi="Times New Roman" w:eastAsia="仿宋_GB2312"/>
                <w:color w:val="auto"/>
                <w:kern w:val="0"/>
                <w:szCs w:val="21"/>
              </w:rPr>
              <w:t>D</w:t>
            </w:r>
            <w:r>
              <w:rPr>
                <w:rStyle w:val="43"/>
                <w:rFonts w:hint="default" w:ascii="Times New Roman" w:hAnsi="Times New Roman" w:eastAsia="仿宋_GB2312" w:cs="Times New Roman"/>
                <w:color w:val="auto"/>
                <w:sz w:val="21"/>
                <w:szCs w:val="21"/>
              </w:rPr>
              <w:t>区土地</w:t>
            </w:r>
            <w:r>
              <w:rPr>
                <w:rFonts w:ascii="Times New Roman" w:hAnsi="Times New Roman" w:eastAsia="仿宋_GB2312"/>
                <w:color w:val="auto"/>
                <w:kern w:val="0"/>
                <w:szCs w:val="21"/>
              </w:rPr>
              <w:t>780</w:t>
            </w:r>
            <w:r>
              <w:rPr>
                <w:rStyle w:val="43"/>
                <w:rFonts w:hint="default" w:ascii="Times New Roman" w:hAnsi="Times New Roman" w:eastAsia="仿宋_GB2312" w:cs="Times New Roman"/>
                <w:color w:val="auto"/>
                <w:sz w:val="21"/>
                <w:szCs w:val="21"/>
              </w:rPr>
              <w:t>亩，种植多品种苹果等</w:t>
            </w:r>
            <w:r>
              <w:rPr>
                <w:rFonts w:ascii="Times New Roman" w:hAnsi="Times New Roman" w:eastAsia="仿宋_GB2312"/>
                <w:color w:val="auto"/>
                <w:kern w:val="0"/>
                <w:szCs w:val="21"/>
              </w:rPr>
              <w:t>320</w:t>
            </w:r>
            <w:r>
              <w:rPr>
                <w:rStyle w:val="43"/>
                <w:rFonts w:hint="default" w:ascii="Times New Roman" w:hAnsi="Times New Roman" w:eastAsia="仿宋_GB2312" w:cs="Times New Roman"/>
                <w:color w:val="auto"/>
                <w:sz w:val="21"/>
                <w:szCs w:val="21"/>
              </w:rPr>
              <w:t>亩</w:t>
            </w:r>
            <w:r>
              <w:rPr>
                <w:rFonts w:ascii="Times New Roman" w:hAnsi="Times New Roman" w:eastAsia="仿宋_GB2312"/>
                <w:color w:val="auto"/>
                <w:kern w:val="0"/>
                <w:szCs w:val="21"/>
              </w:rPr>
              <w:t>30000</w:t>
            </w:r>
            <w:r>
              <w:rPr>
                <w:rStyle w:val="43"/>
                <w:rFonts w:hint="default" w:ascii="Times New Roman" w:hAnsi="Times New Roman" w:eastAsia="仿宋_GB2312" w:cs="Times New Roman"/>
                <w:color w:val="auto"/>
                <w:sz w:val="21"/>
                <w:szCs w:val="21"/>
              </w:rPr>
              <w:t>株；栽植玫瑰等</w:t>
            </w:r>
            <w:r>
              <w:rPr>
                <w:rFonts w:ascii="Times New Roman" w:hAnsi="Times New Roman" w:eastAsia="仿宋_GB2312"/>
                <w:color w:val="auto"/>
                <w:kern w:val="0"/>
                <w:szCs w:val="21"/>
              </w:rPr>
              <w:t>460</w:t>
            </w:r>
            <w:r>
              <w:rPr>
                <w:rStyle w:val="43"/>
                <w:rFonts w:hint="default" w:ascii="Times New Roman" w:hAnsi="Times New Roman" w:eastAsia="仿宋_GB2312" w:cs="Times New Roman"/>
                <w:color w:val="auto"/>
                <w:sz w:val="21"/>
                <w:szCs w:val="21"/>
              </w:rPr>
              <w:t>亩</w:t>
            </w:r>
            <w:r>
              <w:rPr>
                <w:rFonts w:ascii="Times New Roman" w:hAnsi="Times New Roman" w:eastAsia="仿宋_GB2312"/>
                <w:color w:val="auto"/>
                <w:kern w:val="0"/>
                <w:szCs w:val="21"/>
              </w:rPr>
              <w:t>50000</w:t>
            </w:r>
            <w:r>
              <w:rPr>
                <w:rStyle w:val="43"/>
                <w:rFonts w:hint="default" w:ascii="Times New Roman" w:hAnsi="Times New Roman" w:eastAsia="仿宋_GB2312" w:cs="Times New Roman"/>
                <w:color w:val="auto"/>
                <w:sz w:val="21"/>
                <w:szCs w:val="21"/>
              </w:rPr>
              <w:t>株。清淤塘坝</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座。</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月整理好</w:t>
            </w:r>
            <w:r>
              <w:rPr>
                <w:rFonts w:ascii="Times New Roman" w:hAnsi="Times New Roman" w:eastAsia="仿宋_GB2312"/>
                <w:color w:val="auto"/>
                <w:kern w:val="0"/>
                <w:szCs w:val="21"/>
              </w:rPr>
              <w:t>A</w:t>
            </w:r>
            <w:r>
              <w:rPr>
                <w:rStyle w:val="43"/>
                <w:rFonts w:hint="default" w:ascii="Times New Roman" w:hAnsi="Times New Roman" w:eastAsia="仿宋_GB2312" w:cs="Times New Roman"/>
                <w:color w:val="auto"/>
                <w:sz w:val="21"/>
                <w:szCs w:val="21"/>
              </w:rPr>
              <w:t>区、</w:t>
            </w:r>
            <w:r>
              <w:rPr>
                <w:rFonts w:ascii="Times New Roman" w:hAnsi="Times New Roman" w:eastAsia="仿宋_GB2312"/>
                <w:color w:val="auto"/>
                <w:kern w:val="0"/>
                <w:szCs w:val="21"/>
              </w:rPr>
              <w:t>C</w:t>
            </w:r>
            <w:r>
              <w:rPr>
                <w:rStyle w:val="43"/>
                <w:rFonts w:hint="default" w:ascii="Times New Roman" w:hAnsi="Times New Roman" w:eastAsia="仿宋_GB2312" w:cs="Times New Roman"/>
                <w:color w:val="auto"/>
                <w:sz w:val="21"/>
                <w:szCs w:val="21"/>
              </w:rPr>
              <w:t>区土地</w:t>
            </w:r>
            <w:r>
              <w:rPr>
                <w:rFonts w:ascii="Times New Roman" w:hAnsi="Times New Roman" w:eastAsia="仿宋_GB2312"/>
                <w:color w:val="auto"/>
                <w:kern w:val="0"/>
                <w:szCs w:val="21"/>
              </w:rPr>
              <w:t>720</w:t>
            </w:r>
            <w:r>
              <w:rPr>
                <w:rStyle w:val="43"/>
                <w:rFonts w:hint="default" w:ascii="Times New Roman" w:hAnsi="Times New Roman" w:eastAsia="仿宋_GB2312" w:cs="Times New Roman"/>
                <w:color w:val="auto"/>
                <w:sz w:val="21"/>
                <w:szCs w:val="21"/>
              </w:rPr>
              <w:t>亩，栽植维纳斯黄金苹果</w:t>
            </w:r>
            <w:r>
              <w:rPr>
                <w:rFonts w:ascii="Times New Roman" w:hAnsi="Times New Roman" w:eastAsia="仿宋_GB2312"/>
                <w:color w:val="auto"/>
                <w:kern w:val="0"/>
                <w:szCs w:val="21"/>
              </w:rPr>
              <w:t>720</w:t>
            </w:r>
            <w:r>
              <w:rPr>
                <w:rStyle w:val="43"/>
                <w:rFonts w:hint="default" w:ascii="Times New Roman" w:hAnsi="Times New Roman" w:eastAsia="仿宋_GB2312" w:cs="Times New Roman"/>
                <w:color w:val="auto"/>
                <w:sz w:val="21"/>
                <w:szCs w:val="21"/>
              </w:rPr>
              <w:t>亩</w:t>
            </w:r>
            <w:r>
              <w:rPr>
                <w:rFonts w:ascii="Times New Roman" w:hAnsi="Times New Roman" w:eastAsia="仿宋_GB2312"/>
                <w:color w:val="auto"/>
                <w:kern w:val="0"/>
                <w:szCs w:val="21"/>
              </w:rPr>
              <w:t>40000</w:t>
            </w:r>
            <w:r>
              <w:rPr>
                <w:rStyle w:val="43"/>
                <w:rFonts w:hint="default" w:ascii="Times New Roman" w:hAnsi="Times New Roman" w:eastAsia="仿宋_GB2312" w:cs="Times New Roman"/>
                <w:color w:val="auto"/>
                <w:sz w:val="21"/>
                <w:szCs w:val="21"/>
              </w:rPr>
              <w:t>株；</w:t>
            </w:r>
            <w:r>
              <w:rPr>
                <w:rFonts w:ascii="Times New Roman" w:hAnsi="Times New Roman" w:eastAsia="仿宋_GB2312"/>
                <w:color w:val="auto"/>
                <w:kern w:val="0"/>
                <w:szCs w:val="21"/>
              </w:rPr>
              <w:t>4</w:t>
            </w:r>
            <w:r>
              <w:rPr>
                <w:rStyle w:val="43"/>
                <w:rFonts w:hint="default" w:ascii="Times New Roman" w:hAnsi="Times New Roman" w:eastAsia="仿宋_GB2312" w:cs="Times New Roman"/>
                <w:color w:val="auto"/>
                <w:sz w:val="21"/>
                <w:szCs w:val="21"/>
              </w:rPr>
              <w:t>月做好种植的收尾与美化工作；</w:t>
            </w:r>
            <w:r>
              <w:rPr>
                <w:rFonts w:ascii="Times New Roman" w:hAnsi="Times New Roman" w:eastAsia="仿宋_GB2312"/>
                <w:color w:val="auto"/>
                <w:kern w:val="0"/>
                <w:szCs w:val="21"/>
              </w:rPr>
              <w:t>5-6</w:t>
            </w:r>
            <w:r>
              <w:rPr>
                <w:rStyle w:val="43"/>
                <w:rFonts w:hint="default" w:ascii="Times New Roman" w:hAnsi="Times New Roman" w:eastAsia="仿宋_GB2312" w:cs="Times New Roman"/>
                <w:color w:val="auto"/>
                <w:sz w:val="21"/>
                <w:szCs w:val="21"/>
              </w:rPr>
              <w:t>月筹划建设果业保鲜与深加工转化区及旅游接待中心</w:t>
            </w:r>
            <w:r>
              <w:rPr>
                <w:rFonts w:ascii="Times New Roman" w:hAnsi="Times New Roman" w:eastAsia="仿宋_GB2312"/>
                <w:color w:val="auto"/>
                <w:kern w:val="0"/>
                <w:szCs w:val="21"/>
              </w:rPr>
              <w:t>6000</w:t>
            </w:r>
            <w:r>
              <w:rPr>
                <w:rStyle w:val="43"/>
                <w:rFonts w:hint="default" w:ascii="Times New Roman" w:hAnsi="Times New Roman" w:eastAsia="仿宋_GB2312" w:cs="Times New Roman"/>
                <w:color w:val="auto"/>
                <w:sz w:val="21"/>
                <w:szCs w:val="21"/>
              </w:rPr>
              <w:t>平方米。</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0.30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崖头街道办</w:t>
            </w:r>
          </w:p>
          <w:p>
            <w:pPr>
              <w:widowControl/>
              <w:jc w:val="center"/>
              <w:textAlignment w:val="center"/>
              <w:rPr>
                <w:rFonts w:hint="eastAsia" w:ascii="Times New Roman" w:hAnsi="Times New Roman" w:eastAsia="仿宋_GB2312"/>
                <w:color w:val="auto"/>
                <w:szCs w:val="21"/>
                <w:lang w:eastAsia="zh-CN"/>
              </w:rPr>
            </w:pPr>
            <w:r>
              <w:rPr>
                <w:rFonts w:hint="eastAsia" w:ascii="Times New Roman" w:hAnsi="Times New Roman" w:eastAsia="仿宋_GB2312"/>
                <w:color w:val="auto"/>
                <w:kern w:val="0"/>
                <w:szCs w:val="21"/>
                <w:lang w:val="en-US" w:eastAsia="zh-CN"/>
              </w:rPr>
              <w:t>荣成市农业农村局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17</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大山果业现代化苹果育苗项目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规划总投资3000</w:t>
            </w:r>
            <w:r>
              <w:rPr>
                <w:rStyle w:val="43"/>
                <w:rFonts w:hint="default" w:ascii="Times New Roman" w:hAnsi="Times New Roman" w:eastAsia="仿宋_GB2312" w:cs="Times New Roman"/>
                <w:color w:val="auto"/>
                <w:sz w:val="21"/>
                <w:szCs w:val="21"/>
              </w:rPr>
              <w:t>万元，建设现代化苹果产业园区，主要建设</w:t>
            </w:r>
            <w:r>
              <w:rPr>
                <w:rFonts w:ascii="Times New Roman" w:hAnsi="Times New Roman" w:eastAsia="仿宋_GB2312"/>
                <w:color w:val="auto"/>
                <w:kern w:val="0"/>
                <w:szCs w:val="21"/>
              </w:rPr>
              <w:t>500</w:t>
            </w:r>
            <w:r>
              <w:rPr>
                <w:rStyle w:val="43"/>
                <w:rFonts w:hint="default" w:ascii="Times New Roman" w:hAnsi="Times New Roman" w:eastAsia="仿宋_GB2312" w:cs="Times New Roman"/>
                <w:color w:val="auto"/>
                <w:sz w:val="21"/>
                <w:szCs w:val="21"/>
              </w:rPr>
              <w:t>平方组培室、</w:t>
            </w:r>
            <w:r>
              <w:rPr>
                <w:rFonts w:ascii="Times New Roman" w:hAnsi="Times New Roman" w:eastAsia="仿宋_GB2312"/>
                <w:color w:val="auto"/>
                <w:kern w:val="0"/>
                <w:szCs w:val="21"/>
              </w:rPr>
              <w:t>2000</w:t>
            </w:r>
            <w:r>
              <w:rPr>
                <w:rStyle w:val="43"/>
                <w:rFonts w:hint="default" w:ascii="Times New Roman" w:hAnsi="Times New Roman" w:eastAsia="仿宋_GB2312" w:cs="Times New Roman"/>
                <w:color w:val="auto"/>
                <w:sz w:val="21"/>
                <w:szCs w:val="21"/>
              </w:rPr>
              <w:t>平方智能化玻璃温室（荷兰公司设计安装）、</w:t>
            </w:r>
            <w:r>
              <w:rPr>
                <w:rFonts w:ascii="Times New Roman" w:hAnsi="Times New Roman" w:eastAsia="仿宋_GB2312"/>
                <w:color w:val="auto"/>
                <w:kern w:val="0"/>
                <w:szCs w:val="21"/>
              </w:rPr>
              <w:t>20</w:t>
            </w:r>
            <w:r>
              <w:rPr>
                <w:rStyle w:val="43"/>
                <w:rFonts w:hint="default" w:ascii="Times New Roman" w:hAnsi="Times New Roman" w:eastAsia="仿宋_GB2312" w:cs="Times New Roman"/>
                <w:color w:val="auto"/>
                <w:sz w:val="21"/>
                <w:szCs w:val="21"/>
              </w:rPr>
              <w:t>亩网室脱毒采穗圃、</w:t>
            </w:r>
            <w:r>
              <w:rPr>
                <w:rFonts w:ascii="Times New Roman" w:hAnsi="Times New Roman" w:eastAsia="仿宋_GB2312"/>
                <w:color w:val="auto"/>
                <w:kern w:val="0"/>
                <w:szCs w:val="21"/>
              </w:rPr>
              <w:t>100</w:t>
            </w:r>
            <w:r>
              <w:rPr>
                <w:rStyle w:val="43"/>
                <w:rFonts w:hint="default" w:ascii="Times New Roman" w:hAnsi="Times New Roman" w:eastAsia="仿宋_GB2312" w:cs="Times New Roman"/>
                <w:color w:val="auto"/>
                <w:sz w:val="21"/>
                <w:szCs w:val="21"/>
              </w:rPr>
              <w:t>亩以色列网室现代化果园示范园。</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0.30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夏庄镇政府</w:t>
            </w:r>
          </w:p>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lang w:val="en-US" w:eastAsia="zh-CN"/>
              </w:rPr>
              <w:t>荣成市农业农村局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1986"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18</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山东威豪白龙河田园综合体一期工程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打造以红薯为主题的多功能、复合型、创新性产业综合体，将农业和产业结合，文化与旅游结合，文旅与科技结合。同时以文化塑造品牌，旅游助力产业，产业发展经济为理念，以新媒体增值服务平台作为新兴载体，结合生态农业与文旅体验为一体的综合发展模式，聚焦发展文化+</w:t>
            </w:r>
            <w:r>
              <w:rPr>
                <w:rStyle w:val="43"/>
                <w:rFonts w:hint="default" w:ascii="Times New Roman" w:hAnsi="Times New Roman" w:eastAsia="仿宋_GB2312" w:cs="Times New Roman"/>
                <w:color w:val="auto"/>
                <w:sz w:val="21"/>
                <w:szCs w:val="21"/>
              </w:rPr>
              <w:t>旅游</w:t>
            </w:r>
            <w:r>
              <w:rPr>
                <w:rFonts w:ascii="Times New Roman" w:hAnsi="Times New Roman" w:eastAsia="仿宋_GB2312"/>
                <w:color w:val="auto"/>
                <w:kern w:val="0"/>
                <w:szCs w:val="21"/>
              </w:rPr>
              <w:t>+</w:t>
            </w:r>
            <w:r>
              <w:rPr>
                <w:rStyle w:val="43"/>
                <w:rFonts w:hint="default" w:ascii="Times New Roman" w:hAnsi="Times New Roman" w:eastAsia="仿宋_GB2312" w:cs="Times New Roman"/>
                <w:color w:val="auto"/>
                <w:sz w:val="21"/>
                <w:szCs w:val="21"/>
              </w:rPr>
              <w:t>产业的新兴之路，打造集农产品生产交易、乡村休旅度假等复合功能于一体的齐鲁样板示范基地。</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5.00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2021-2023</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山东威豪田园综合体发展有限公司</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1196"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19</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服务外包产业园</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占地800</w:t>
            </w:r>
            <w:r>
              <w:rPr>
                <w:rStyle w:val="43"/>
                <w:rFonts w:hint="default" w:ascii="Times New Roman" w:hAnsi="Times New Roman" w:eastAsia="仿宋_GB2312" w:cs="Times New Roman"/>
                <w:color w:val="auto"/>
                <w:sz w:val="21"/>
                <w:szCs w:val="21"/>
              </w:rPr>
              <w:t>亩、总建筑面积</w:t>
            </w:r>
            <w:r>
              <w:rPr>
                <w:rFonts w:ascii="Times New Roman" w:hAnsi="Times New Roman" w:eastAsia="仿宋_GB2312"/>
                <w:color w:val="auto"/>
                <w:kern w:val="0"/>
                <w:szCs w:val="21"/>
              </w:rPr>
              <w:t>80</w:t>
            </w:r>
            <w:r>
              <w:rPr>
                <w:rStyle w:val="43"/>
                <w:rFonts w:hint="default" w:ascii="Times New Roman" w:hAnsi="Times New Roman" w:eastAsia="仿宋_GB2312" w:cs="Times New Roman"/>
                <w:color w:val="auto"/>
                <w:sz w:val="21"/>
                <w:szCs w:val="21"/>
              </w:rPr>
              <w:t>万平方米、入驻服务外包企业</w:t>
            </w:r>
            <w:r>
              <w:rPr>
                <w:rFonts w:ascii="Times New Roman" w:hAnsi="Times New Roman" w:eastAsia="仿宋_GB2312"/>
                <w:color w:val="auto"/>
                <w:kern w:val="0"/>
                <w:szCs w:val="21"/>
              </w:rPr>
              <w:t>50</w:t>
            </w:r>
            <w:r>
              <w:rPr>
                <w:rStyle w:val="43"/>
                <w:rFonts w:hint="default" w:ascii="Times New Roman" w:hAnsi="Times New Roman" w:eastAsia="仿宋_GB2312" w:cs="Times New Roman"/>
                <w:color w:val="auto"/>
                <w:sz w:val="21"/>
                <w:szCs w:val="21"/>
              </w:rPr>
              <w:t>家以上、集聚人才</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万人的专业园区。以对日韩离岸服务外包为重点，突出软件研发、数据处理、信息系统运维服务和呼叫中心四大业务，推进云计算、物联网、区块链等新兴产业。</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0.31</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2018-2020</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荣成市商务局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1154"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20</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荣成市冷链物流基地</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总建筑面积约74</w:t>
            </w:r>
            <w:r>
              <w:rPr>
                <w:rStyle w:val="43"/>
                <w:rFonts w:hint="default" w:ascii="Times New Roman" w:hAnsi="Times New Roman" w:eastAsia="仿宋_GB2312" w:cs="Times New Roman"/>
                <w:color w:val="auto"/>
                <w:sz w:val="21"/>
                <w:szCs w:val="21"/>
              </w:rPr>
              <w:t>万平方米，规划建设</w:t>
            </w:r>
            <w:r>
              <w:rPr>
                <w:rFonts w:ascii="Times New Roman" w:hAnsi="Times New Roman" w:eastAsia="仿宋_GB2312"/>
                <w:color w:val="auto"/>
                <w:kern w:val="0"/>
                <w:szCs w:val="21"/>
              </w:rPr>
              <w:t>45</w:t>
            </w:r>
            <w:r>
              <w:rPr>
                <w:rStyle w:val="43"/>
                <w:rFonts w:hint="default" w:ascii="Times New Roman" w:hAnsi="Times New Roman" w:eastAsia="仿宋_GB2312" w:cs="Times New Roman"/>
                <w:color w:val="auto"/>
                <w:sz w:val="21"/>
                <w:szCs w:val="21"/>
              </w:rPr>
              <w:t>座总冷藏能力约</w:t>
            </w:r>
            <w:r>
              <w:rPr>
                <w:rFonts w:ascii="Times New Roman" w:hAnsi="Times New Roman" w:eastAsia="仿宋_GB2312"/>
                <w:color w:val="auto"/>
                <w:kern w:val="0"/>
                <w:szCs w:val="21"/>
              </w:rPr>
              <w:t>150</w:t>
            </w:r>
            <w:r>
              <w:rPr>
                <w:rStyle w:val="43"/>
                <w:rFonts w:hint="default" w:ascii="Times New Roman" w:hAnsi="Times New Roman" w:eastAsia="仿宋_GB2312" w:cs="Times New Roman"/>
                <w:color w:val="auto"/>
                <w:sz w:val="21"/>
                <w:szCs w:val="21"/>
              </w:rPr>
              <w:t>万吨的冷链物流库，电子商务平台企业展厅及配套附属设施，购置冷冻设备、标准化货架及信息化设备等，打造集仓储、物流、交易于一体的区域性综合冷链物流基地。</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74.75</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2019-2025</w:t>
            </w:r>
          </w:p>
        </w:tc>
        <w:tc>
          <w:tcPr>
            <w:tcW w:w="219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海都海洋食品、靖海集团、蓝润蔚蓝谷海洋科技、鑫润水产、亿海冷链等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609" w:hRule="atLeast"/>
          <w:jc w:val="center"/>
        </w:trPr>
        <w:tc>
          <w:tcPr>
            <w:tcW w:w="518" w:type="dxa"/>
            <w:tcBorders>
              <w:tl2br w:val="nil"/>
              <w:tr2bl w:val="nil"/>
            </w:tcBorders>
            <w:shd w:val="clear" w:color="auto" w:fill="auto"/>
            <w:vAlign w:val="center"/>
          </w:tcPr>
          <w:p>
            <w:pPr>
              <w:widowControl/>
              <w:jc w:val="center"/>
              <w:textAlignment w:val="center"/>
              <w:rPr>
                <w:rFonts w:hint="eastAsia"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21</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2"/>
                <w:sz w:val="21"/>
                <w:szCs w:val="21"/>
                <w:lang w:val="en-US" w:eastAsia="zh-CN" w:bidi="ar-SA"/>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2"/>
                <w:sz w:val="21"/>
                <w:szCs w:val="21"/>
                <w:lang w:val="en-US" w:eastAsia="zh-CN" w:bidi="ar-SA"/>
              </w:rPr>
            </w:pPr>
            <w:r>
              <w:rPr>
                <w:rFonts w:ascii="Times New Roman" w:hAnsi="Times New Roman" w:eastAsia="仿宋_GB2312"/>
                <w:color w:val="auto"/>
                <w:kern w:val="0"/>
                <w:szCs w:val="21"/>
              </w:rPr>
              <w:t>佩森环保科技船舶环保设备研发及产业化项目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s="Times New Roman"/>
                <w:color w:val="auto"/>
                <w:kern w:val="2"/>
                <w:sz w:val="21"/>
                <w:szCs w:val="21"/>
                <w:lang w:val="en-US" w:eastAsia="zh-CN" w:bidi="ar-SA"/>
              </w:rPr>
            </w:pPr>
            <w:r>
              <w:rPr>
                <w:rFonts w:ascii="Times New Roman" w:hAnsi="Times New Roman" w:eastAsia="仿宋_GB2312"/>
                <w:color w:val="auto"/>
                <w:kern w:val="0"/>
                <w:szCs w:val="21"/>
              </w:rPr>
              <w:t>主要升级改造4</w:t>
            </w:r>
            <w:r>
              <w:rPr>
                <w:rStyle w:val="43"/>
                <w:rFonts w:hint="default" w:ascii="Times New Roman" w:hAnsi="Times New Roman" w:eastAsia="仿宋_GB2312" w:cs="Times New Roman"/>
                <w:color w:val="auto"/>
                <w:sz w:val="21"/>
                <w:szCs w:val="21"/>
              </w:rPr>
              <w:t>万平方米的生产、总装车间，新建实验室，新增部分新设备，项目建成后年产大型船用环保设备</w:t>
            </w:r>
            <w:r>
              <w:rPr>
                <w:rFonts w:ascii="Times New Roman" w:hAnsi="Times New Roman" w:eastAsia="仿宋_GB2312"/>
                <w:color w:val="auto"/>
                <w:kern w:val="0"/>
                <w:szCs w:val="21"/>
              </w:rPr>
              <w:t>100</w:t>
            </w:r>
            <w:r>
              <w:rPr>
                <w:rStyle w:val="43"/>
                <w:rFonts w:hint="default" w:ascii="Times New Roman" w:hAnsi="Times New Roman" w:eastAsia="仿宋_GB2312" w:cs="Times New Roman"/>
                <w:color w:val="auto"/>
                <w:sz w:val="21"/>
                <w:szCs w:val="21"/>
              </w:rPr>
              <w:t>台套。</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2"/>
                <w:sz w:val="21"/>
                <w:szCs w:val="21"/>
                <w:lang w:val="en-US" w:eastAsia="zh-CN" w:bidi="ar-SA"/>
              </w:rPr>
            </w:pPr>
            <w:r>
              <w:rPr>
                <w:rFonts w:ascii="Times New Roman" w:hAnsi="Times New Roman" w:eastAsia="仿宋_GB2312"/>
                <w:color w:val="auto"/>
                <w:kern w:val="0"/>
                <w:szCs w:val="21"/>
              </w:rPr>
              <w:t>2.20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2"/>
                <w:sz w:val="21"/>
                <w:szCs w:val="21"/>
                <w:lang w:val="en-US" w:eastAsia="zh-CN" w:bidi="ar-SA"/>
              </w:rPr>
            </w:pPr>
            <w:r>
              <w:rPr>
                <w:rFonts w:ascii="Times New Roman" w:hAnsi="Times New Roman" w:eastAsia="仿宋_GB2312"/>
                <w:color w:val="auto"/>
                <w:kern w:val="0"/>
                <w:szCs w:val="21"/>
              </w:rPr>
              <w:t>2018-2021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山东佩森环保科技有限公司</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827" w:hRule="atLeast"/>
          <w:jc w:val="center"/>
        </w:trPr>
        <w:tc>
          <w:tcPr>
            <w:tcW w:w="518" w:type="dxa"/>
            <w:tcBorders>
              <w:tl2br w:val="nil"/>
              <w:tr2bl w:val="nil"/>
            </w:tcBorders>
            <w:shd w:val="clear" w:color="auto" w:fill="auto"/>
            <w:vAlign w:val="center"/>
          </w:tcPr>
          <w:p>
            <w:pPr>
              <w:widowControl/>
              <w:jc w:val="center"/>
              <w:textAlignment w:val="center"/>
              <w:rPr>
                <w:rFonts w:hint="eastAsia"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22</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香港万兴隆集团万达智慧供应链</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建筑面积2</w:t>
            </w:r>
            <w:r>
              <w:rPr>
                <w:rStyle w:val="43"/>
                <w:rFonts w:hint="default" w:ascii="Times New Roman" w:hAnsi="Times New Roman" w:eastAsia="仿宋_GB2312" w:cs="Times New Roman"/>
                <w:color w:val="auto"/>
                <w:sz w:val="21"/>
                <w:szCs w:val="21"/>
              </w:rPr>
              <w:t>万平方米，引进国际一流全自动化仓储物流设施，建设</w:t>
            </w:r>
            <w:r>
              <w:rPr>
                <w:rFonts w:ascii="Times New Roman" w:hAnsi="Times New Roman" w:eastAsia="仿宋_GB2312"/>
                <w:color w:val="auto"/>
                <w:kern w:val="0"/>
                <w:szCs w:val="21"/>
              </w:rPr>
              <w:t>7</w:t>
            </w:r>
            <w:r>
              <w:rPr>
                <w:rStyle w:val="43"/>
                <w:rFonts w:hint="default" w:ascii="Times New Roman" w:hAnsi="Times New Roman" w:eastAsia="仿宋_GB2312" w:cs="Times New Roman"/>
                <w:color w:val="auto"/>
                <w:sz w:val="21"/>
                <w:szCs w:val="21"/>
              </w:rPr>
              <w:t>万吨智慧仓储物流库、海洋食品研发中心及附属设施，主要从事经济鱼类的冷冻仓储、物流中转、货物配送等。</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2021-2022</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香港万兴隆集团</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644"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23</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bookmarkStart w:id="265" w:name="_Hlk44227827"/>
            <w:r>
              <w:rPr>
                <w:rFonts w:ascii="Times New Roman" w:hAnsi="Times New Roman" w:eastAsia="仿宋_GB2312"/>
                <w:color w:val="auto"/>
                <w:kern w:val="0"/>
                <w:szCs w:val="21"/>
              </w:rPr>
              <w:t>旱作节水农业技术推广项目</w:t>
            </w:r>
            <w:bookmarkEnd w:id="265"/>
          </w:p>
        </w:tc>
        <w:tc>
          <w:tcPr>
            <w:tcW w:w="5700" w:type="dxa"/>
            <w:tcBorders>
              <w:tl2br w:val="nil"/>
              <w:tr2bl w:val="nil"/>
            </w:tcBorders>
            <w:shd w:val="clear" w:color="auto" w:fill="auto"/>
            <w:vAlign w:val="center"/>
          </w:tcPr>
          <w:p>
            <w:pPr>
              <w:widowControl/>
              <w:jc w:val="left"/>
              <w:textAlignment w:val="center"/>
              <w:rPr>
                <w:rStyle w:val="43"/>
                <w:rFonts w:hint="default" w:ascii="Times New Roman" w:hAnsi="Times New Roman" w:eastAsia="仿宋_GB2312" w:cs="Times New Roman"/>
                <w:color w:val="auto"/>
                <w:sz w:val="21"/>
                <w:szCs w:val="21"/>
              </w:rPr>
            </w:pPr>
            <w:r>
              <w:rPr>
                <w:rStyle w:val="43"/>
                <w:rFonts w:hint="default" w:ascii="Times New Roman" w:hAnsi="Times New Roman" w:eastAsia="仿宋_GB2312" w:cs="Times New Roman"/>
                <w:color w:val="auto"/>
                <w:sz w:val="21"/>
                <w:szCs w:val="21"/>
              </w:rPr>
              <w:t>建设旱作节水示范区20000余亩，示范推广水肥一体化、测墒节灌、集雨补灌等旱作节水农业技术。</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0.0</w:t>
            </w:r>
            <w:r>
              <w:rPr>
                <w:rFonts w:hint="eastAsia" w:ascii="Times New Roman" w:hAnsi="Times New Roman" w:eastAsia="仿宋_GB2312"/>
                <w:color w:val="auto"/>
                <w:kern w:val="0"/>
                <w:szCs w:val="21"/>
              </w:rPr>
              <w:t>363</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w:t>
            </w:r>
            <w:r>
              <w:rPr>
                <w:rFonts w:hint="eastAsia" w:ascii="Times New Roman" w:hAnsi="Times New Roman" w:eastAsia="仿宋_GB2312"/>
                <w:color w:val="auto"/>
                <w:kern w:val="0"/>
                <w:szCs w:val="21"/>
              </w:rPr>
              <w:t>0</w:t>
            </w:r>
            <w:r>
              <w:rPr>
                <w:rFonts w:ascii="Times New Roman" w:hAnsi="Times New Roman" w:eastAsia="仿宋_GB2312"/>
                <w:color w:val="auto"/>
                <w:kern w:val="0"/>
                <w:szCs w:val="21"/>
              </w:rPr>
              <w:t>-202</w:t>
            </w:r>
            <w:r>
              <w:rPr>
                <w:rFonts w:hint="eastAsia" w:ascii="Times New Roman" w:hAnsi="Times New Roman" w:eastAsia="仿宋_GB2312"/>
                <w:color w:val="auto"/>
                <w:kern w:val="0"/>
                <w:szCs w:val="21"/>
              </w:rPr>
              <w:t>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荣成市农业农村局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584"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24</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生态经济</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高标准农田建设项目</w:t>
            </w:r>
          </w:p>
        </w:tc>
        <w:tc>
          <w:tcPr>
            <w:tcW w:w="5700" w:type="dxa"/>
            <w:tcBorders>
              <w:tl2br w:val="nil"/>
              <w:tr2bl w:val="nil"/>
            </w:tcBorders>
            <w:shd w:val="clear" w:color="auto" w:fill="auto"/>
            <w:vAlign w:val="center"/>
          </w:tcPr>
          <w:p>
            <w:pPr>
              <w:widowControl/>
              <w:jc w:val="left"/>
              <w:textAlignment w:val="center"/>
              <w:rPr>
                <w:rStyle w:val="43"/>
                <w:rFonts w:hint="default" w:ascii="Times New Roman" w:hAnsi="Times New Roman" w:eastAsia="仿宋_GB2312" w:cs="Times New Roman"/>
                <w:color w:val="auto"/>
                <w:sz w:val="21"/>
                <w:szCs w:val="21"/>
              </w:rPr>
            </w:pPr>
            <w:r>
              <w:rPr>
                <w:rStyle w:val="43"/>
                <w:rFonts w:hint="default" w:ascii="Times New Roman" w:hAnsi="Times New Roman" w:eastAsia="仿宋_GB2312" w:cs="Times New Roman"/>
                <w:color w:val="auto"/>
                <w:sz w:val="21"/>
                <w:szCs w:val="21"/>
              </w:rPr>
              <w:t>建设面积5万亩，涉及大疃、人和、滕家、崖西、上庄、斥山、崖头、王连、宁津和东山10个镇街，</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0.75</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2021-2022</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荣成市农业农村局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387"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25</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生态生活</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农村饮水安全工程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实施荣成市城区管网延伸工程。</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0.45</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荣成市住建局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26</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生态生活</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荣成市住房和城乡建设局云光路道路改造工程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全长3.45</w:t>
            </w:r>
            <w:r>
              <w:rPr>
                <w:rStyle w:val="43"/>
                <w:rFonts w:hint="default" w:ascii="Times New Roman" w:hAnsi="Times New Roman" w:eastAsia="仿宋_GB2312" w:cs="Times New Roman"/>
                <w:color w:val="auto"/>
                <w:sz w:val="21"/>
                <w:szCs w:val="21"/>
              </w:rPr>
              <w:t>千米，对现有道路、绿化及配套设施进行改造提升。</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荣成市住建局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372"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27</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生态生活</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绿色公交建设工程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新增新能源公交车80辆左右，基本实现新能源公交车全覆盖。</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0.52</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荣成市交通局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28</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生态生活</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荣成邱家水产有限公司水务分公司管网改造建设项目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邪口水库-热电厂2580米管道安装。</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0.003</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荣成市水利局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29</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生态生活</w:t>
            </w:r>
          </w:p>
        </w:tc>
        <w:tc>
          <w:tcPr>
            <w:tcW w:w="2280" w:type="dxa"/>
            <w:tcBorders>
              <w:tl2br w:val="nil"/>
              <w:tr2bl w:val="nil"/>
            </w:tcBorders>
            <w:shd w:val="clear" w:color="auto" w:fill="auto"/>
            <w:vAlign w:val="center"/>
          </w:tcPr>
          <w:p>
            <w:pPr>
              <w:widowControl/>
              <w:jc w:val="center"/>
              <w:textAlignment w:val="center"/>
              <w:rPr>
                <w:rFonts w:hint="eastAsia" w:ascii="Times New Roman" w:hAnsi="Times New Roman" w:eastAsia="仿宋_GB2312"/>
                <w:color w:val="auto"/>
                <w:kern w:val="0"/>
                <w:szCs w:val="21"/>
                <w:lang w:val="en-US" w:eastAsia="zh-CN"/>
              </w:rPr>
            </w:pPr>
            <w:r>
              <w:rPr>
                <w:rFonts w:ascii="Times New Roman" w:hAnsi="Times New Roman" w:eastAsia="仿宋_GB2312"/>
                <w:color w:val="auto"/>
                <w:kern w:val="0"/>
                <w:szCs w:val="21"/>
              </w:rPr>
              <w:t>超声波远传水表安装建设</w:t>
            </w:r>
            <w:r>
              <w:rPr>
                <w:rFonts w:hint="eastAsia" w:ascii="Times New Roman" w:hAnsi="Times New Roman" w:eastAsia="仿宋_GB2312"/>
                <w:color w:val="auto"/>
                <w:kern w:val="0"/>
                <w:szCs w:val="21"/>
                <w:lang w:val="en-US" w:eastAsia="zh-CN"/>
              </w:rPr>
              <w:t>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采用远程抄表方式，将</w:t>
            </w:r>
            <w:r>
              <w:rPr>
                <w:rFonts w:hint="eastAsia" w:ascii="Times New Roman" w:hAnsi="Times New Roman" w:eastAsia="仿宋_GB2312"/>
                <w:color w:val="auto"/>
                <w:kern w:val="0"/>
                <w:szCs w:val="21"/>
              </w:rPr>
              <w:t>部分重点用水户</w:t>
            </w:r>
            <w:r>
              <w:rPr>
                <w:rFonts w:ascii="Times New Roman" w:hAnsi="Times New Roman" w:eastAsia="仿宋_GB2312"/>
                <w:color w:val="auto"/>
                <w:kern w:val="0"/>
                <w:szCs w:val="21"/>
              </w:rPr>
              <w:t>机械式水表改为超声波远程抄表，建立抄表管理平台，提高水资源信息化管理水平</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0.001</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2021-2021</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荣成市水利局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1139"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30</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小流域水土保持项目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兰家河治理面积701公顷，内容包括水保林、经果林、疏林补植、封禁治理，修复平塘1座，新建拦沙坎2座；齐山河治理面积402公顷，内容包括水保林、经果林、疏林补植、封禁治理，修复拦沙坎1座。</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0.05</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荣成市水利局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897" w:hRule="atLeast"/>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ascii="Times New Roman" w:hAnsi="Times New Roman" w:eastAsia="仿宋_GB2312"/>
                <w:color w:val="auto"/>
                <w:kern w:val="0"/>
                <w:szCs w:val="21"/>
              </w:rPr>
              <w:t>3</w:t>
            </w:r>
            <w:r>
              <w:rPr>
                <w:rFonts w:hint="eastAsia" w:ascii="Times New Roman" w:hAnsi="Times New Roman" w:eastAsia="仿宋_GB2312"/>
                <w:color w:val="auto"/>
                <w:kern w:val="0"/>
                <w:szCs w:val="21"/>
              </w:rPr>
              <w:t>1</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村庄绿化</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szCs w:val="21"/>
              </w:rPr>
              <w:t>以美丽乡村示范村、公路沿线村为重点，实施村庄绿化提升20-30个，栽植苗木10万株以上，以美丽乡村示范村、公路沿线村为重点。</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0.10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荣成市自然资源局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ascii="Times New Roman" w:hAnsi="Times New Roman" w:eastAsia="仿宋_GB2312" w:cs="Times New Roman"/>
                <w:color w:val="auto"/>
                <w:kern w:val="0"/>
                <w:sz w:val="21"/>
                <w:szCs w:val="21"/>
                <w:lang w:val="en-US" w:eastAsia="zh-CN" w:bidi="ar-SA"/>
              </w:rPr>
            </w:pPr>
            <w:r>
              <w:rPr>
                <w:rFonts w:hint="eastAsia" w:ascii="Times New Roman" w:hAnsi="Times New Roman" w:eastAsia="仿宋_GB2312"/>
                <w:color w:val="auto"/>
                <w:kern w:val="0"/>
                <w:szCs w:val="21"/>
              </w:rPr>
              <w:t>32</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泓运渔港升级改造项</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改造建设升级标准化渔业港区建设改造内容：1</w:t>
            </w:r>
            <w:r>
              <w:rPr>
                <w:rStyle w:val="43"/>
                <w:rFonts w:hint="default" w:ascii="Times New Roman" w:hAnsi="Times New Roman" w:eastAsia="仿宋_GB2312" w:cs="Times New Roman"/>
                <w:color w:val="auto"/>
                <w:sz w:val="21"/>
                <w:szCs w:val="21"/>
              </w:rPr>
              <w:t>、港区东侧</w:t>
            </w:r>
            <w:r>
              <w:rPr>
                <w:rFonts w:ascii="Times New Roman" w:hAnsi="Times New Roman" w:eastAsia="仿宋_GB2312"/>
                <w:color w:val="auto"/>
                <w:kern w:val="0"/>
                <w:szCs w:val="21"/>
              </w:rPr>
              <w:t>460m×15m</w:t>
            </w:r>
            <w:r>
              <w:rPr>
                <w:rStyle w:val="43"/>
                <w:rFonts w:hint="default" w:ascii="Times New Roman" w:hAnsi="Times New Roman" w:eastAsia="仿宋_GB2312" w:cs="Times New Roman"/>
                <w:color w:val="auto"/>
                <w:sz w:val="21"/>
                <w:szCs w:val="21"/>
              </w:rPr>
              <w:t>斜坡式护岸在不改变用海面积及用途的情况下改造为直立式护岸；码头</w:t>
            </w:r>
            <w:r>
              <w:rPr>
                <w:rFonts w:ascii="Times New Roman" w:hAnsi="Times New Roman" w:eastAsia="仿宋_GB2312"/>
                <w:color w:val="auto"/>
                <w:kern w:val="0"/>
                <w:szCs w:val="21"/>
              </w:rPr>
              <w:t>120m</w:t>
            </w:r>
            <w:r>
              <w:rPr>
                <w:rStyle w:val="43"/>
                <w:rFonts w:hint="default" w:ascii="Times New Roman" w:hAnsi="Times New Roman" w:eastAsia="仿宋_GB2312" w:cs="Times New Roman"/>
                <w:color w:val="auto"/>
                <w:sz w:val="21"/>
                <w:szCs w:val="21"/>
              </w:rPr>
              <w:t>长胸墙加固维修。</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、港区道路、入港道路、渔船配套修理区、渔需堆放区、修船坞道约</w:t>
            </w:r>
            <w:r>
              <w:rPr>
                <w:rFonts w:ascii="Times New Roman" w:hAnsi="Times New Roman" w:eastAsia="仿宋_GB2312"/>
                <w:color w:val="auto"/>
                <w:kern w:val="0"/>
                <w:szCs w:val="21"/>
              </w:rPr>
              <w:t>16300</w:t>
            </w:r>
            <w:r>
              <w:rPr>
                <w:rStyle w:val="43"/>
                <w:rFonts w:hint="default" w:ascii="Times New Roman" w:hAnsi="Times New Roman" w:eastAsia="仿宋_GB2312" w:cs="Times New Roman"/>
                <w:color w:val="auto"/>
                <w:sz w:val="21"/>
                <w:szCs w:val="21"/>
              </w:rPr>
              <w:t>m</w:t>
            </w:r>
            <w:r>
              <w:rPr>
                <w:rStyle w:val="43"/>
                <w:rFonts w:hint="default" w:ascii="Times New Roman" w:hAnsi="Times New Roman" w:eastAsia="仿宋_GB2312" w:cs="Times New Roman"/>
                <w:color w:val="auto"/>
                <w:sz w:val="21"/>
                <w:szCs w:val="21"/>
                <w:vertAlign w:val="superscript"/>
              </w:rPr>
              <w:t>2</w:t>
            </w:r>
            <w:r>
              <w:rPr>
                <w:rStyle w:val="43"/>
                <w:rFonts w:hint="default" w:ascii="Times New Roman" w:hAnsi="Times New Roman" w:eastAsia="仿宋_GB2312" w:cs="Times New Roman"/>
                <w:color w:val="auto"/>
                <w:sz w:val="21"/>
                <w:szCs w:val="21"/>
              </w:rPr>
              <w:t>硬化。</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、码头增加</w:t>
            </w:r>
            <w:r>
              <w:rPr>
                <w:rFonts w:ascii="Times New Roman" w:hAnsi="Times New Roman" w:eastAsia="仿宋_GB2312"/>
                <w:color w:val="auto"/>
                <w:kern w:val="0"/>
                <w:szCs w:val="21"/>
              </w:rPr>
              <w:t>200m</w:t>
            </w:r>
            <w:r>
              <w:rPr>
                <w:rStyle w:val="43"/>
                <w:rFonts w:hint="default" w:ascii="Times New Roman" w:hAnsi="Times New Roman" w:eastAsia="仿宋_GB2312" w:cs="Times New Roman"/>
                <w:color w:val="auto"/>
                <w:sz w:val="21"/>
                <w:szCs w:val="21"/>
              </w:rPr>
              <w:t>长消防设施，增加升级监控设备，配套建设船污水、生活污水及垃圾的收集处理设施。</w:t>
            </w:r>
            <w:r>
              <w:rPr>
                <w:rFonts w:ascii="Times New Roman" w:hAnsi="Times New Roman" w:eastAsia="仿宋_GB2312"/>
                <w:color w:val="auto"/>
                <w:kern w:val="0"/>
                <w:szCs w:val="21"/>
              </w:rPr>
              <w:t>4</w:t>
            </w:r>
            <w:r>
              <w:rPr>
                <w:rStyle w:val="43"/>
                <w:rFonts w:hint="default" w:ascii="Times New Roman" w:hAnsi="Times New Roman" w:eastAsia="仿宋_GB2312" w:cs="Times New Roman"/>
                <w:color w:val="auto"/>
                <w:sz w:val="21"/>
                <w:szCs w:val="21"/>
              </w:rPr>
              <w:t>、建设综合管理中心约</w:t>
            </w:r>
            <w:r>
              <w:rPr>
                <w:rFonts w:ascii="Times New Roman" w:hAnsi="Times New Roman" w:eastAsia="仿宋_GB2312"/>
                <w:color w:val="auto"/>
                <w:kern w:val="0"/>
                <w:szCs w:val="21"/>
              </w:rPr>
              <w:t>400m</w:t>
            </w:r>
            <w:r>
              <w:rPr>
                <w:rFonts w:ascii="Times New Roman" w:hAnsi="Times New Roman" w:eastAsia="仿宋_GB2312"/>
                <w:color w:val="auto"/>
                <w:kern w:val="0"/>
                <w:szCs w:val="21"/>
                <w:vertAlign w:val="superscript"/>
              </w:rPr>
              <w:t>2</w:t>
            </w:r>
            <w:r>
              <w:rPr>
                <w:rStyle w:val="43"/>
                <w:rFonts w:hint="default" w:ascii="Times New Roman" w:hAnsi="Times New Roman" w:eastAsia="仿宋_GB2312" w:cs="Times New Roman"/>
                <w:color w:val="auto"/>
                <w:sz w:val="21"/>
                <w:szCs w:val="21"/>
              </w:rPr>
              <w:t>。</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0.23</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2020-2021</w:t>
            </w:r>
          </w:p>
        </w:tc>
        <w:tc>
          <w:tcPr>
            <w:tcW w:w="2190" w:type="dxa"/>
            <w:tcBorders>
              <w:tl2br w:val="nil"/>
              <w:tr2bl w:val="nil"/>
            </w:tcBorders>
            <w:shd w:val="clear" w:color="auto" w:fill="auto"/>
            <w:vAlign w:val="center"/>
          </w:tcPr>
          <w:p>
            <w:pPr>
              <w:widowControl/>
              <w:jc w:val="center"/>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荣成市泓运船业有限公司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33</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鑫弘渔港升级改造项目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码头工程：码头调直：修复调直码头</w:t>
            </w:r>
            <w:r>
              <w:rPr>
                <w:rFonts w:ascii="Times New Roman" w:hAnsi="Times New Roman" w:eastAsia="仿宋_GB2312"/>
                <w:color w:val="auto"/>
                <w:kern w:val="0"/>
                <w:szCs w:val="21"/>
              </w:rPr>
              <w:t>210</w:t>
            </w:r>
            <w:r>
              <w:rPr>
                <w:rStyle w:val="43"/>
                <w:rFonts w:hint="default" w:ascii="Times New Roman" w:hAnsi="Times New Roman" w:eastAsia="仿宋_GB2312" w:cs="Times New Roman"/>
                <w:color w:val="auto"/>
                <w:sz w:val="21"/>
                <w:szCs w:val="21"/>
              </w:rPr>
              <w:t>米、码头面整治：</w:t>
            </w:r>
            <w:r>
              <w:rPr>
                <w:rFonts w:ascii="Times New Roman" w:hAnsi="Times New Roman" w:eastAsia="仿宋_GB2312"/>
                <w:color w:val="auto"/>
                <w:kern w:val="0"/>
                <w:szCs w:val="21"/>
              </w:rPr>
              <w:t>10000m</w:t>
            </w:r>
            <w:r>
              <w:rPr>
                <w:rFonts w:ascii="Times New Roman" w:hAnsi="Times New Roman" w:eastAsia="仿宋_GB2312"/>
                <w:color w:val="auto"/>
                <w:kern w:val="0"/>
                <w:szCs w:val="21"/>
                <w:vertAlign w:val="superscript"/>
              </w:rPr>
              <w:t>2</w:t>
            </w:r>
            <w:r>
              <w:rPr>
                <w:rStyle w:val="43"/>
                <w:rFonts w:hint="default" w:ascii="Times New Roman" w:hAnsi="Times New Roman" w:eastAsia="仿宋_GB2312" w:cs="Times New Roman"/>
                <w:color w:val="auto"/>
                <w:sz w:val="21"/>
                <w:szCs w:val="21"/>
              </w:rPr>
              <w:t>、靠船设施维护：更换码头橡胶护舷</w:t>
            </w:r>
            <w:r>
              <w:rPr>
                <w:rFonts w:ascii="Times New Roman" w:hAnsi="Times New Roman" w:eastAsia="仿宋_GB2312"/>
                <w:color w:val="auto"/>
                <w:kern w:val="0"/>
                <w:szCs w:val="21"/>
              </w:rPr>
              <w:t>100</w:t>
            </w:r>
            <w:r>
              <w:rPr>
                <w:rStyle w:val="43"/>
                <w:rFonts w:hint="default" w:ascii="Times New Roman" w:hAnsi="Times New Roman" w:eastAsia="仿宋_GB2312" w:cs="Times New Roman"/>
                <w:color w:val="auto"/>
                <w:sz w:val="21"/>
                <w:szCs w:val="21"/>
              </w:rPr>
              <w:t>套；</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污水处理工程：码头布置污水收集管网，建设污水处理池</w:t>
            </w:r>
            <w:r>
              <w:rPr>
                <w:rFonts w:ascii="Times New Roman" w:hAnsi="Times New Roman" w:eastAsia="仿宋_GB2312"/>
                <w:color w:val="auto"/>
                <w:kern w:val="0"/>
                <w:szCs w:val="21"/>
              </w:rPr>
              <w:t>60m</w:t>
            </w:r>
            <w:r>
              <w:rPr>
                <w:rFonts w:ascii="Times New Roman" w:hAnsi="Times New Roman" w:eastAsia="仿宋_GB2312"/>
                <w:color w:val="auto"/>
                <w:kern w:val="0"/>
                <w:szCs w:val="21"/>
                <w:vertAlign w:val="superscript"/>
              </w:rPr>
              <w:t>3</w:t>
            </w:r>
            <w:r>
              <w:rPr>
                <w:rStyle w:val="43"/>
                <w:rFonts w:hint="default" w:ascii="Times New Roman" w:hAnsi="Times New Roman" w:eastAsia="仿宋_GB2312" w:cs="Times New Roman"/>
                <w:color w:val="auto"/>
                <w:sz w:val="21"/>
                <w:szCs w:val="21"/>
              </w:rPr>
              <w:t>；排水工程：排水管线布设，完善污水处理设施。</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环境卫生工程：完善码头垃圾收集及处理设备、设施。</w:t>
            </w:r>
            <w:r>
              <w:rPr>
                <w:rFonts w:ascii="Times New Roman" w:hAnsi="Times New Roman" w:eastAsia="仿宋_GB2312"/>
                <w:color w:val="auto"/>
                <w:kern w:val="0"/>
                <w:szCs w:val="21"/>
              </w:rPr>
              <w:t>4.</w:t>
            </w:r>
            <w:r>
              <w:rPr>
                <w:rStyle w:val="43"/>
                <w:rFonts w:hint="default" w:ascii="Times New Roman" w:hAnsi="Times New Roman" w:eastAsia="仿宋_GB2312" w:cs="Times New Roman"/>
                <w:color w:val="auto"/>
                <w:sz w:val="21"/>
                <w:szCs w:val="21"/>
              </w:rPr>
              <w:t>港区供电与照明：码头布设电力电缆、码头布置高杆灯照明、完善电气设备、监控系统：安装摄像机等监控设备，完善动态监控系统。</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0.2335</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批复下达之日起一年内完成</w:t>
            </w:r>
          </w:p>
        </w:tc>
        <w:tc>
          <w:tcPr>
            <w:tcW w:w="2190" w:type="dxa"/>
            <w:tcBorders>
              <w:tl2br w:val="nil"/>
              <w:tr2bl w:val="nil"/>
            </w:tcBorders>
            <w:shd w:val="clear" w:color="auto" w:fill="auto"/>
            <w:vAlign w:val="center"/>
          </w:tcPr>
          <w:p>
            <w:pPr>
              <w:widowControl/>
              <w:jc w:val="center"/>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山东鑫弘集团有限公司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34</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院夼渔港升级改造项目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整修加固防波堤</w:t>
            </w:r>
            <w:r>
              <w:rPr>
                <w:rFonts w:ascii="Times New Roman" w:hAnsi="Times New Roman" w:eastAsia="仿宋_GB2312"/>
                <w:color w:val="auto"/>
                <w:kern w:val="0"/>
                <w:szCs w:val="21"/>
              </w:rPr>
              <w:t>700</w:t>
            </w:r>
            <w:r>
              <w:rPr>
                <w:rStyle w:val="43"/>
                <w:rFonts w:hint="default" w:ascii="Times New Roman" w:hAnsi="Times New Roman" w:eastAsia="仿宋_GB2312" w:cs="Times New Roman"/>
                <w:color w:val="auto"/>
                <w:sz w:val="21"/>
                <w:szCs w:val="21"/>
              </w:rPr>
              <w:t>米；</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老旧码头维修加固：码头面层修复约</w:t>
            </w:r>
            <w:r>
              <w:rPr>
                <w:rFonts w:ascii="Times New Roman" w:hAnsi="Times New Roman" w:eastAsia="仿宋_GB2312"/>
                <w:color w:val="auto"/>
                <w:kern w:val="0"/>
                <w:szCs w:val="21"/>
              </w:rPr>
              <w:t>2000m</w:t>
            </w:r>
            <w:r>
              <w:rPr>
                <w:rFonts w:ascii="Times New Roman" w:hAnsi="Times New Roman" w:eastAsia="仿宋_GB2312"/>
                <w:color w:val="auto"/>
                <w:kern w:val="0"/>
                <w:szCs w:val="21"/>
                <w:vertAlign w:val="superscript"/>
              </w:rPr>
              <w:t>2</w:t>
            </w:r>
            <w:r>
              <w:rPr>
                <w:rStyle w:val="43"/>
                <w:rFonts w:hint="default" w:ascii="Times New Roman" w:hAnsi="Times New Roman" w:eastAsia="仿宋_GB2312" w:cs="Times New Roman"/>
                <w:color w:val="auto"/>
                <w:sz w:val="21"/>
                <w:szCs w:val="21"/>
              </w:rPr>
              <w:t>；船厂东侧附属码头及东港区南端转角码头码头面加高</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米，总面积约</w:t>
            </w:r>
            <w:r>
              <w:rPr>
                <w:rFonts w:ascii="Times New Roman" w:hAnsi="Times New Roman" w:eastAsia="仿宋_GB2312"/>
                <w:color w:val="auto"/>
                <w:kern w:val="0"/>
                <w:szCs w:val="21"/>
              </w:rPr>
              <w:t>7500m</w:t>
            </w:r>
            <w:r>
              <w:rPr>
                <w:rFonts w:ascii="Times New Roman" w:hAnsi="Times New Roman" w:eastAsia="仿宋_GB2312"/>
                <w:color w:val="auto"/>
                <w:kern w:val="0"/>
                <w:szCs w:val="21"/>
                <w:vertAlign w:val="superscript"/>
              </w:rPr>
              <w:t>2</w:t>
            </w:r>
            <w:r>
              <w:rPr>
                <w:rStyle w:val="43"/>
                <w:rFonts w:hint="default" w:ascii="Times New Roman" w:hAnsi="Times New Roman" w:eastAsia="仿宋_GB2312" w:cs="Times New Roman"/>
                <w:color w:val="auto"/>
                <w:sz w:val="21"/>
                <w:szCs w:val="21"/>
              </w:rPr>
              <w:t>；更换码头护舷</w:t>
            </w:r>
            <w:r>
              <w:rPr>
                <w:rFonts w:ascii="Times New Roman" w:hAnsi="Times New Roman" w:eastAsia="仿宋_GB2312"/>
                <w:color w:val="auto"/>
                <w:kern w:val="0"/>
                <w:szCs w:val="21"/>
              </w:rPr>
              <w:t>100</w:t>
            </w:r>
            <w:r>
              <w:rPr>
                <w:rStyle w:val="43"/>
                <w:rFonts w:hint="default" w:ascii="Times New Roman" w:hAnsi="Times New Roman" w:eastAsia="仿宋_GB2312" w:cs="Times New Roman"/>
                <w:color w:val="auto"/>
                <w:sz w:val="21"/>
                <w:szCs w:val="21"/>
              </w:rPr>
              <w:t>套；</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消防设施改造：新建环港消防管网，增设地下消防栓；新建增压泵房</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处；新建渔港应急器材储备库</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处；购置灭火器、吸油机、围油栏等应急消防设施；</w:t>
            </w:r>
            <w:r>
              <w:rPr>
                <w:rFonts w:ascii="Times New Roman" w:hAnsi="Times New Roman" w:eastAsia="仿宋_GB2312"/>
                <w:color w:val="auto"/>
                <w:kern w:val="0"/>
                <w:szCs w:val="21"/>
              </w:rPr>
              <w:t>4.</w:t>
            </w:r>
            <w:r>
              <w:rPr>
                <w:rStyle w:val="43"/>
                <w:rFonts w:hint="default" w:ascii="Times New Roman" w:hAnsi="Times New Roman" w:eastAsia="仿宋_GB2312" w:cs="Times New Roman"/>
                <w:color w:val="auto"/>
                <w:sz w:val="21"/>
                <w:szCs w:val="21"/>
              </w:rPr>
              <w:t>污染防治改造：港内划定专用垃圾污水回收区，购置污水回收运输设备</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台，增设防溢油设施一宗；新建</w:t>
            </w:r>
            <w:r>
              <w:rPr>
                <w:rFonts w:ascii="Times New Roman" w:hAnsi="Times New Roman" w:eastAsia="仿宋_GB2312"/>
                <w:color w:val="auto"/>
                <w:kern w:val="0"/>
                <w:szCs w:val="21"/>
              </w:rPr>
              <w:t>2</w:t>
            </w:r>
            <w:r>
              <w:rPr>
                <w:rStyle w:val="43"/>
                <w:rFonts w:hint="default" w:ascii="Times New Roman" w:hAnsi="Times New Roman" w:eastAsia="仿宋_GB2312" w:cs="Times New Roman"/>
                <w:color w:val="auto"/>
                <w:sz w:val="21"/>
                <w:szCs w:val="21"/>
              </w:rPr>
              <w:t>处达标冲水厕所；</w:t>
            </w:r>
            <w:r>
              <w:rPr>
                <w:rFonts w:ascii="Times New Roman" w:hAnsi="Times New Roman" w:eastAsia="仿宋_GB2312"/>
                <w:color w:val="auto"/>
                <w:kern w:val="0"/>
                <w:szCs w:val="21"/>
              </w:rPr>
              <w:t>5.</w:t>
            </w:r>
            <w:r>
              <w:rPr>
                <w:rStyle w:val="43"/>
                <w:rFonts w:hint="default" w:ascii="Times New Roman" w:hAnsi="Times New Roman" w:eastAsia="仿宋_GB2312" w:cs="Times New Roman"/>
                <w:color w:val="auto"/>
                <w:sz w:val="21"/>
                <w:szCs w:val="21"/>
              </w:rPr>
              <w:t>增设海上浮标</w:t>
            </w:r>
            <w:r>
              <w:rPr>
                <w:rFonts w:ascii="Times New Roman" w:hAnsi="Times New Roman" w:eastAsia="仿宋_GB2312"/>
                <w:color w:val="auto"/>
                <w:kern w:val="0"/>
                <w:szCs w:val="21"/>
              </w:rPr>
              <w:t>8</w:t>
            </w:r>
            <w:r>
              <w:rPr>
                <w:rStyle w:val="43"/>
                <w:rFonts w:hint="default" w:ascii="Times New Roman" w:hAnsi="Times New Roman" w:eastAsia="仿宋_GB2312" w:cs="Times New Roman"/>
                <w:color w:val="auto"/>
                <w:sz w:val="21"/>
                <w:szCs w:val="21"/>
              </w:rPr>
              <w:t>个；</w:t>
            </w:r>
            <w:r>
              <w:rPr>
                <w:rFonts w:ascii="Times New Roman" w:hAnsi="Times New Roman" w:eastAsia="仿宋_GB2312"/>
                <w:color w:val="auto"/>
                <w:kern w:val="0"/>
                <w:szCs w:val="21"/>
              </w:rPr>
              <w:t>6.</w:t>
            </w:r>
            <w:r>
              <w:rPr>
                <w:rStyle w:val="43"/>
                <w:rFonts w:hint="default" w:ascii="Times New Roman" w:hAnsi="Times New Roman" w:eastAsia="仿宋_GB2312" w:cs="Times New Roman"/>
                <w:color w:val="auto"/>
                <w:sz w:val="21"/>
                <w:szCs w:val="21"/>
              </w:rPr>
              <w:t>改扩建渔船渔民综合服务中心。</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0.25</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2021-2022</w:t>
            </w:r>
          </w:p>
        </w:tc>
        <w:tc>
          <w:tcPr>
            <w:tcW w:w="2190" w:type="dxa"/>
            <w:tcBorders>
              <w:tl2br w:val="nil"/>
              <w:tr2bl w:val="nil"/>
            </w:tcBorders>
            <w:shd w:val="clear" w:color="auto" w:fill="auto"/>
            <w:vAlign w:val="center"/>
          </w:tcPr>
          <w:p>
            <w:pPr>
              <w:widowControl/>
              <w:jc w:val="center"/>
              <w:textAlignment w:val="center"/>
              <w:rPr>
                <w:rFonts w:hint="eastAsia" w:ascii="Times New Roman" w:hAnsi="Times New Roman" w:eastAsia="仿宋_GB2312"/>
                <w:color w:val="auto"/>
                <w:szCs w:val="21"/>
                <w:lang w:eastAsia="zh-CN"/>
              </w:rPr>
            </w:pPr>
            <w:r>
              <w:rPr>
                <w:rFonts w:ascii="Times New Roman" w:hAnsi="Times New Roman" w:eastAsia="仿宋_GB2312"/>
                <w:color w:val="auto"/>
                <w:kern w:val="0"/>
                <w:szCs w:val="21"/>
              </w:rPr>
              <w:t>山东院夼实业集团有限公司</w:t>
            </w:r>
            <w:r>
              <w:rPr>
                <w:rFonts w:hint="eastAsia" w:ascii="Times New Roman" w:hAnsi="Times New Roman" w:eastAsia="仿宋_GB2312"/>
                <w:color w:val="auto"/>
                <w:kern w:val="0"/>
                <w:szCs w:val="21"/>
                <w:lang w:eastAsia="zh-CN"/>
              </w:rPr>
              <w:t>、</w:t>
            </w: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35</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沽河、小落河综合治理</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开展河域综合治理，治理内容包括清淤筑堤、险工护砌、新建穿堤建筑物等。</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0.80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2021-2026</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荣成市水利局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564" w:hRule="atLeast"/>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36</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工业集聚区污水集中处理设施建设与改造工程</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建设500方污水处理设施及管网改造。</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0.3</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2021-2023</w:t>
            </w:r>
          </w:p>
        </w:tc>
        <w:tc>
          <w:tcPr>
            <w:tcW w:w="2190" w:type="dxa"/>
            <w:tcBorders>
              <w:tl2br w:val="nil"/>
              <w:tr2bl w:val="nil"/>
            </w:tcBorders>
            <w:shd w:val="clear" w:color="auto" w:fill="auto"/>
            <w:vAlign w:val="center"/>
          </w:tcPr>
          <w:p>
            <w:pPr>
              <w:widowControl/>
              <w:jc w:val="left"/>
              <w:textAlignment w:val="center"/>
              <w:rPr>
                <w:rFonts w:hint="eastAsia" w:ascii="Times New Roman" w:hAnsi="Times New Roman" w:eastAsia="仿宋_GB2312"/>
                <w:color w:val="auto"/>
                <w:kern w:val="0"/>
                <w:szCs w:val="21"/>
                <w:lang w:eastAsia="zh-CN"/>
              </w:rPr>
            </w:pPr>
            <w:r>
              <w:rPr>
                <w:rFonts w:ascii="Times New Roman" w:hAnsi="Times New Roman" w:eastAsia="仿宋_GB2312"/>
                <w:color w:val="auto"/>
                <w:kern w:val="0"/>
                <w:szCs w:val="21"/>
              </w:rPr>
              <w:t>山东鑫弘集团有限公司</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564" w:hRule="atLeast"/>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37</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伯家岛区域生态修复整治项目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伯家岛区域位于人和镇西南部，南侧紧邻黄海，因常年开采造成了严重的生态环境破坏及视觉污染，破损总面积约4000</w:t>
            </w:r>
            <w:r>
              <w:rPr>
                <w:rStyle w:val="43"/>
                <w:rFonts w:hint="default" w:ascii="Times New Roman" w:hAnsi="Times New Roman" w:eastAsia="仿宋_GB2312" w:cs="Times New Roman"/>
                <w:color w:val="auto"/>
                <w:sz w:val="21"/>
                <w:szCs w:val="21"/>
              </w:rPr>
              <w:t>余亩。利用</w:t>
            </w:r>
            <w:r>
              <w:rPr>
                <w:rFonts w:ascii="Times New Roman" w:hAnsi="Times New Roman" w:eastAsia="仿宋_GB2312"/>
                <w:color w:val="auto"/>
                <w:kern w:val="0"/>
                <w:szCs w:val="21"/>
              </w:rPr>
              <w:t>3-5</w:t>
            </w:r>
            <w:r>
              <w:rPr>
                <w:rStyle w:val="43"/>
                <w:rFonts w:hint="default" w:ascii="Times New Roman" w:hAnsi="Times New Roman" w:eastAsia="仿宋_GB2312" w:cs="Times New Roman"/>
                <w:color w:val="auto"/>
                <w:sz w:val="21"/>
                <w:szCs w:val="21"/>
              </w:rPr>
              <w:t>年时间开展伯家岛区域废弃矿山生态修复，治理废弃采坑</w:t>
            </w:r>
            <w:r>
              <w:rPr>
                <w:rFonts w:ascii="Times New Roman" w:hAnsi="Times New Roman" w:eastAsia="仿宋_GB2312"/>
                <w:color w:val="auto"/>
                <w:kern w:val="0"/>
                <w:szCs w:val="21"/>
              </w:rPr>
              <w:t>23</w:t>
            </w:r>
            <w:r>
              <w:rPr>
                <w:rStyle w:val="43"/>
                <w:rFonts w:hint="default" w:ascii="Times New Roman" w:hAnsi="Times New Roman" w:eastAsia="仿宋_GB2312" w:cs="Times New Roman"/>
                <w:color w:val="auto"/>
                <w:sz w:val="21"/>
                <w:szCs w:val="21"/>
              </w:rPr>
              <w:t>处，打造废弃矿山治理亮点工程，引入社会资本治理示范工程。</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4.98</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荣成市自然资源局</w:t>
            </w:r>
          </w:p>
          <w:p>
            <w:pPr>
              <w:widowControl/>
              <w:jc w:val="center"/>
              <w:textAlignment w:val="center"/>
              <w:rPr>
                <w:rFonts w:ascii="Times New Roman" w:hAnsi="Times New Roman" w:eastAsia="仿宋_GB2312"/>
                <w:color w:val="auto"/>
                <w:szCs w:val="21"/>
              </w:rPr>
            </w:pPr>
            <w:r>
              <w:rPr>
                <w:rStyle w:val="43"/>
                <w:rFonts w:hint="default" w:ascii="Times New Roman" w:hAnsi="Times New Roman" w:eastAsia="仿宋_GB2312" w:cs="Times New Roman"/>
                <w:color w:val="auto"/>
                <w:sz w:val="21"/>
                <w:szCs w:val="21"/>
              </w:rPr>
              <w:t>保利集团</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564" w:hRule="atLeast"/>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38</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生态安全</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崖西镇全域土地综合整治项目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项目区建设规模3</w:t>
            </w:r>
            <w:r>
              <w:rPr>
                <w:rStyle w:val="43"/>
                <w:rFonts w:hint="default" w:ascii="Times New Roman" w:hAnsi="Times New Roman" w:eastAsia="仿宋_GB2312" w:cs="Times New Roman"/>
                <w:color w:val="auto"/>
                <w:sz w:val="21"/>
                <w:szCs w:val="21"/>
              </w:rPr>
              <w:t>万亩，主要内容是土地平整，石砌地堰、修建方塘、塘坝、大口井等灌溉与排水设施、硬化混凝土道路等。</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2021-2022</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w:t>
            </w:r>
            <w:r>
              <w:rPr>
                <w:rFonts w:ascii="Times New Roman" w:hAnsi="Times New Roman" w:eastAsia="仿宋_GB2312"/>
                <w:color w:val="auto"/>
                <w:szCs w:val="21"/>
              </w:rPr>
              <w:t>市自然资源局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39</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生态空间</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好运角海洋岸线生态</w:t>
            </w:r>
          </w:p>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修复</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沿滨海休闲旅游带对112</w:t>
            </w:r>
            <w:r>
              <w:rPr>
                <w:rStyle w:val="43"/>
                <w:rFonts w:hint="default" w:ascii="Times New Roman" w:hAnsi="Times New Roman" w:eastAsia="仿宋_GB2312" w:cs="Times New Roman"/>
                <w:color w:val="auto"/>
                <w:sz w:val="21"/>
                <w:szCs w:val="21"/>
              </w:rPr>
              <w:t>公里海岸线进行综合整治，建立湾长制，对养殖区域进行整治、回收，拆除违章建筑，修复破损岸堤包括天鹅湖区域、虎头角岸线、朝阳港湿地修复、龙须岸线、马栏湾岸线、马家疃岸线，对龙须渔港进行整合。</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8.60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2018-2022</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好运角旅游度假区</w:t>
            </w:r>
          </w:p>
          <w:p>
            <w:pPr>
              <w:widowControl/>
              <w:jc w:val="center"/>
              <w:textAlignment w:val="center"/>
              <w:rPr>
                <w:rFonts w:ascii="Times New Roman" w:hAnsi="Times New Roman" w:eastAsia="仿宋_GB2312"/>
                <w:color w:val="auto"/>
                <w:szCs w:val="21"/>
              </w:rPr>
            </w:pPr>
            <w:r>
              <w:rPr>
                <w:rStyle w:val="43"/>
                <w:rFonts w:hint="eastAsia" w:ascii="Times New Roman" w:hAnsi="Times New Roman" w:eastAsia="仿宋_GB2312" w:cs="Times New Roman"/>
                <w:color w:val="auto"/>
                <w:sz w:val="21"/>
                <w:szCs w:val="21"/>
                <w:lang w:val="en-US" w:eastAsia="zh-CN"/>
              </w:rPr>
              <w:t>荣成市海洋局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40</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kern w:val="0"/>
                <w:szCs w:val="21"/>
              </w:rPr>
            </w:pPr>
            <w:r>
              <w:rPr>
                <w:rFonts w:ascii="Times New Roman" w:hAnsi="Times New Roman" w:eastAsia="仿宋_GB2312"/>
                <w:color w:val="auto"/>
                <w:kern w:val="0"/>
                <w:szCs w:val="21"/>
              </w:rPr>
              <w:t>生态空间</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大天鹅国家级自然保护区生态保护设施修复项目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修复护岸堤坝</w:t>
            </w:r>
            <w:r>
              <w:rPr>
                <w:rFonts w:hint="eastAsia" w:ascii="Times New Roman" w:hAnsi="Times New Roman" w:eastAsia="仿宋_GB2312"/>
                <w:color w:val="auto"/>
                <w:kern w:val="0"/>
                <w:szCs w:val="21"/>
              </w:rPr>
              <w:t>1080</w:t>
            </w:r>
            <w:r>
              <w:rPr>
                <w:rStyle w:val="43"/>
                <w:rFonts w:hint="default" w:ascii="Times New Roman" w:hAnsi="Times New Roman" w:eastAsia="仿宋_GB2312" w:cs="Times New Roman"/>
                <w:color w:val="auto"/>
                <w:sz w:val="21"/>
                <w:szCs w:val="21"/>
              </w:rPr>
              <w:t>米，修复损毁路面85米，新建防护围栏</w:t>
            </w:r>
            <w:r>
              <w:rPr>
                <w:rFonts w:hint="eastAsia" w:ascii="Times New Roman" w:hAnsi="Times New Roman" w:eastAsia="仿宋_GB2312"/>
                <w:color w:val="auto"/>
                <w:kern w:val="0"/>
                <w:szCs w:val="21"/>
              </w:rPr>
              <w:t>1080</w:t>
            </w:r>
            <w:r>
              <w:rPr>
                <w:rStyle w:val="43"/>
                <w:rFonts w:hint="default" w:ascii="Times New Roman" w:hAnsi="Times New Roman" w:eastAsia="仿宋_GB2312" w:cs="Times New Roman"/>
                <w:color w:val="auto"/>
                <w:sz w:val="21"/>
                <w:szCs w:val="21"/>
              </w:rPr>
              <w:t>米，沙坝尾端生态修复。</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0.17</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2021-2022</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荣成大天鹅国家级自然保护区管理处</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41</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生态空间</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关停矿山综合治理项目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Style w:val="43"/>
                <w:rFonts w:hint="default" w:ascii="Times New Roman" w:hAnsi="Times New Roman" w:eastAsia="仿宋_GB2312" w:cs="Times New Roman"/>
                <w:color w:val="auto"/>
                <w:sz w:val="21"/>
                <w:szCs w:val="21"/>
              </w:rPr>
              <w:t>对</w:t>
            </w:r>
            <w:r>
              <w:rPr>
                <w:rFonts w:ascii="Times New Roman" w:hAnsi="Times New Roman" w:eastAsia="仿宋_GB2312"/>
                <w:color w:val="auto"/>
                <w:kern w:val="0"/>
                <w:szCs w:val="21"/>
              </w:rPr>
              <w:t>2013</w:t>
            </w:r>
            <w:r>
              <w:rPr>
                <w:rStyle w:val="43"/>
                <w:rFonts w:hint="default" w:ascii="Times New Roman" w:hAnsi="Times New Roman" w:eastAsia="仿宋_GB2312" w:cs="Times New Roman"/>
                <w:color w:val="auto"/>
                <w:sz w:val="21"/>
                <w:szCs w:val="21"/>
              </w:rPr>
              <w:t>年以来关停的</w:t>
            </w:r>
            <w:r>
              <w:rPr>
                <w:rFonts w:ascii="Times New Roman" w:hAnsi="Times New Roman" w:eastAsia="仿宋_GB2312"/>
                <w:color w:val="auto"/>
                <w:kern w:val="0"/>
                <w:szCs w:val="21"/>
              </w:rPr>
              <w:t>53</w:t>
            </w:r>
            <w:r>
              <w:rPr>
                <w:rStyle w:val="43"/>
                <w:rFonts w:hint="default" w:ascii="Times New Roman" w:hAnsi="Times New Roman" w:eastAsia="仿宋_GB2312" w:cs="Times New Roman"/>
                <w:color w:val="auto"/>
                <w:sz w:val="21"/>
                <w:szCs w:val="21"/>
              </w:rPr>
              <w:t>处废弃矿山实施治理，截至目前已完成治理</w:t>
            </w:r>
            <w:r>
              <w:rPr>
                <w:rFonts w:ascii="Times New Roman" w:hAnsi="Times New Roman" w:eastAsia="仿宋_GB2312"/>
                <w:color w:val="auto"/>
                <w:kern w:val="0"/>
                <w:szCs w:val="21"/>
              </w:rPr>
              <w:t>33</w:t>
            </w:r>
            <w:r>
              <w:rPr>
                <w:rStyle w:val="43"/>
                <w:rFonts w:hint="default" w:ascii="Times New Roman" w:hAnsi="Times New Roman" w:eastAsia="仿宋_GB2312" w:cs="Times New Roman"/>
                <w:color w:val="auto"/>
                <w:sz w:val="21"/>
                <w:szCs w:val="21"/>
              </w:rPr>
              <w:t>处，剩余</w:t>
            </w:r>
            <w:r>
              <w:rPr>
                <w:rFonts w:ascii="Times New Roman" w:hAnsi="Times New Roman" w:eastAsia="仿宋_GB2312"/>
                <w:color w:val="auto"/>
                <w:kern w:val="0"/>
                <w:szCs w:val="21"/>
              </w:rPr>
              <w:t>20</w:t>
            </w:r>
            <w:r>
              <w:rPr>
                <w:rStyle w:val="43"/>
                <w:rFonts w:hint="default" w:ascii="Times New Roman" w:hAnsi="Times New Roman" w:eastAsia="仿宋_GB2312" w:cs="Times New Roman"/>
                <w:color w:val="auto"/>
                <w:sz w:val="21"/>
                <w:szCs w:val="21"/>
              </w:rPr>
              <w:t>处于“十四五”期间完成。</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0.50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2021-2025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市自然资源局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2258" w:hRule="atLeast"/>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42</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生态空间</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山南岸线整治</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计划用三年分三期、由东向西施行。整治完成后，共需拆除各类建筑物546</w:t>
            </w:r>
            <w:r>
              <w:rPr>
                <w:rStyle w:val="43"/>
                <w:rFonts w:hint="default" w:ascii="Times New Roman" w:hAnsi="Times New Roman" w:eastAsia="仿宋_GB2312" w:cs="Times New Roman"/>
                <w:color w:val="auto"/>
                <w:sz w:val="21"/>
                <w:szCs w:val="21"/>
              </w:rPr>
              <w:t>处、</w:t>
            </w:r>
            <w:r>
              <w:rPr>
                <w:rFonts w:ascii="Times New Roman" w:hAnsi="Times New Roman" w:eastAsia="仿宋_GB2312"/>
                <w:color w:val="auto"/>
                <w:kern w:val="0"/>
                <w:szCs w:val="21"/>
              </w:rPr>
              <w:t>42.3</w:t>
            </w:r>
            <w:r>
              <w:rPr>
                <w:rStyle w:val="43"/>
                <w:rFonts w:hint="default" w:ascii="Times New Roman" w:hAnsi="Times New Roman" w:eastAsia="仿宋_GB2312" w:cs="Times New Roman"/>
                <w:color w:val="auto"/>
                <w:sz w:val="21"/>
                <w:szCs w:val="21"/>
              </w:rPr>
              <w:t>万平方米，可腾出建设用地</w:t>
            </w:r>
            <w:r>
              <w:rPr>
                <w:rFonts w:ascii="Times New Roman" w:hAnsi="Times New Roman" w:eastAsia="仿宋_GB2312"/>
                <w:color w:val="auto"/>
                <w:kern w:val="0"/>
                <w:szCs w:val="21"/>
              </w:rPr>
              <w:t>495</w:t>
            </w:r>
            <w:r>
              <w:rPr>
                <w:rStyle w:val="43"/>
                <w:rFonts w:hint="default" w:ascii="Times New Roman" w:hAnsi="Times New Roman" w:eastAsia="仿宋_GB2312" w:cs="Times New Roman"/>
                <w:color w:val="auto"/>
                <w:sz w:val="21"/>
                <w:szCs w:val="21"/>
              </w:rPr>
              <w:t>亩。拆除完成后，计划沿山南</w:t>
            </w:r>
            <w:r>
              <w:rPr>
                <w:rFonts w:ascii="Times New Roman" w:hAnsi="Times New Roman" w:eastAsia="仿宋_GB2312"/>
                <w:color w:val="auto"/>
                <w:kern w:val="0"/>
                <w:szCs w:val="21"/>
              </w:rPr>
              <w:t>10</w:t>
            </w:r>
            <w:r>
              <w:rPr>
                <w:rStyle w:val="43"/>
                <w:rFonts w:hint="default" w:ascii="Times New Roman" w:hAnsi="Times New Roman" w:eastAsia="仿宋_GB2312" w:cs="Times New Roman"/>
                <w:color w:val="auto"/>
                <w:sz w:val="21"/>
                <w:szCs w:val="21"/>
              </w:rPr>
              <w:t>公里海岸线打造一级旅游驿站</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处、房车宿营公园</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处、红色教育基地</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处、高校研学写生基地</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处、海上牧场</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处、海洋牧场体验馆</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处、野外拓展训练中心</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处、智慧型康养中心</w:t>
            </w:r>
            <w:r>
              <w:rPr>
                <w:rFonts w:ascii="Times New Roman" w:hAnsi="Times New Roman" w:eastAsia="仿宋_GB2312"/>
                <w:color w:val="auto"/>
                <w:kern w:val="0"/>
                <w:szCs w:val="21"/>
              </w:rPr>
              <w:t>1</w:t>
            </w:r>
            <w:r>
              <w:rPr>
                <w:rStyle w:val="43"/>
                <w:rFonts w:hint="default" w:ascii="Times New Roman" w:hAnsi="Times New Roman" w:eastAsia="仿宋_GB2312" w:cs="Times New Roman"/>
                <w:color w:val="auto"/>
                <w:sz w:val="21"/>
                <w:szCs w:val="21"/>
              </w:rPr>
              <w:t>处、旅游打卡地</w:t>
            </w:r>
            <w:r>
              <w:rPr>
                <w:rFonts w:ascii="Times New Roman" w:hAnsi="Times New Roman" w:eastAsia="仿宋_GB2312"/>
                <w:color w:val="auto"/>
                <w:kern w:val="0"/>
                <w:szCs w:val="21"/>
              </w:rPr>
              <w:t>3</w:t>
            </w:r>
            <w:r>
              <w:rPr>
                <w:rStyle w:val="43"/>
                <w:rFonts w:hint="default" w:ascii="Times New Roman" w:hAnsi="Times New Roman" w:eastAsia="仿宋_GB2312" w:cs="Times New Roman"/>
                <w:color w:val="auto"/>
                <w:sz w:val="21"/>
                <w:szCs w:val="21"/>
              </w:rPr>
              <w:t>处、房车微营地</w:t>
            </w:r>
            <w:r>
              <w:rPr>
                <w:rFonts w:ascii="Times New Roman" w:hAnsi="Times New Roman" w:eastAsia="仿宋_GB2312"/>
                <w:color w:val="auto"/>
                <w:kern w:val="0"/>
                <w:szCs w:val="21"/>
              </w:rPr>
              <w:t>5</w:t>
            </w:r>
            <w:r>
              <w:rPr>
                <w:rStyle w:val="43"/>
                <w:rFonts w:hint="default" w:ascii="Times New Roman" w:hAnsi="Times New Roman" w:eastAsia="仿宋_GB2312" w:cs="Times New Roman"/>
                <w:color w:val="auto"/>
                <w:sz w:val="21"/>
                <w:szCs w:val="21"/>
              </w:rPr>
              <w:t>处，建成滨海风情民宿</w:t>
            </w:r>
            <w:r>
              <w:rPr>
                <w:rFonts w:ascii="Times New Roman" w:hAnsi="Times New Roman" w:eastAsia="仿宋_GB2312"/>
                <w:color w:val="auto"/>
                <w:kern w:val="0"/>
                <w:szCs w:val="21"/>
              </w:rPr>
              <w:t>100</w:t>
            </w:r>
            <w:r>
              <w:rPr>
                <w:rStyle w:val="43"/>
                <w:rFonts w:hint="default" w:ascii="Times New Roman" w:hAnsi="Times New Roman" w:eastAsia="仿宋_GB2312" w:cs="Times New Roman"/>
                <w:color w:val="auto"/>
                <w:sz w:val="21"/>
                <w:szCs w:val="21"/>
              </w:rPr>
              <w:t>家，同步依托鑫弘重工展开工业旅游探索。</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5.20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2020-2022</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人和镇政府</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837" w:hRule="atLeast"/>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43</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生态文化</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虎头角海洋艺术小镇</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该项目以海洋艺术产业为核心，以休闲度假产业为引擎，以康美颐养产业、特色教育产业、生态旅居产业为支撑的复合型产业体系，建设高端养身休闲区。</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kern w:val="0"/>
                <w:szCs w:val="21"/>
              </w:rPr>
              <w:t>1</w:t>
            </w:r>
            <w:r>
              <w:rPr>
                <w:rFonts w:ascii="Times New Roman" w:hAnsi="Times New Roman" w:eastAsia="仿宋_GB2312"/>
                <w:color w:val="auto"/>
                <w:kern w:val="0"/>
                <w:szCs w:val="21"/>
              </w:rPr>
              <w:t>00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2018-2025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hint="eastAsia" w:ascii="Times New Roman" w:hAnsi="Times New Roman" w:eastAsia="仿宋_GB2312"/>
                <w:color w:val="auto"/>
                <w:szCs w:val="21"/>
              </w:rPr>
              <w:t>山东省土发集团、长春国信集团</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trHeight w:val="1699" w:hRule="atLeast"/>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44</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生态文化</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天鹅小镇</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天鹅小镇位于荣成市好运角旅游度假区天鹅湖及周边区域，规划面积为9.2</w:t>
            </w:r>
            <w:r>
              <w:rPr>
                <w:rStyle w:val="43"/>
                <w:rFonts w:hint="default" w:ascii="Times New Roman" w:hAnsi="Times New Roman" w:eastAsia="仿宋_GB2312" w:cs="Times New Roman"/>
                <w:color w:val="auto"/>
                <w:sz w:val="21"/>
                <w:szCs w:val="21"/>
              </w:rPr>
              <w:t>平方公里，陆地面积约</w:t>
            </w:r>
            <w:r>
              <w:rPr>
                <w:rFonts w:ascii="Times New Roman" w:hAnsi="Times New Roman" w:eastAsia="仿宋_GB2312"/>
                <w:color w:val="auto"/>
                <w:kern w:val="0"/>
                <w:szCs w:val="21"/>
              </w:rPr>
              <w:t>4.4</w:t>
            </w:r>
            <w:r>
              <w:rPr>
                <w:rStyle w:val="43"/>
                <w:rFonts w:hint="default" w:ascii="Times New Roman" w:hAnsi="Times New Roman" w:eastAsia="仿宋_GB2312" w:cs="Times New Roman"/>
                <w:color w:val="auto"/>
                <w:sz w:val="21"/>
                <w:szCs w:val="21"/>
              </w:rPr>
              <w:t>平方公里。建设天鹅湖湿地公园、天鹅湖客栈，大天鹅科普馆、观鸟平台等旅游设施，建设春风海岸康养基地，打造服务业特色小镇，占地</w:t>
            </w:r>
            <w:r>
              <w:rPr>
                <w:rFonts w:ascii="Times New Roman" w:hAnsi="Times New Roman" w:eastAsia="仿宋_GB2312"/>
                <w:color w:val="auto"/>
                <w:kern w:val="0"/>
                <w:szCs w:val="21"/>
              </w:rPr>
              <w:t>450</w:t>
            </w:r>
            <w:r>
              <w:rPr>
                <w:rStyle w:val="43"/>
                <w:rFonts w:hint="default" w:ascii="Times New Roman" w:hAnsi="Times New Roman" w:eastAsia="仿宋_GB2312" w:cs="Times New Roman"/>
                <w:color w:val="auto"/>
                <w:sz w:val="21"/>
                <w:szCs w:val="21"/>
              </w:rPr>
              <w:t>亩，建设面积</w:t>
            </w:r>
            <w:r>
              <w:rPr>
                <w:rFonts w:ascii="Times New Roman" w:hAnsi="Times New Roman" w:eastAsia="仿宋_GB2312"/>
                <w:color w:val="auto"/>
                <w:kern w:val="0"/>
                <w:szCs w:val="21"/>
              </w:rPr>
              <w:t>40</w:t>
            </w:r>
            <w:r>
              <w:rPr>
                <w:rStyle w:val="43"/>
                <w:rFonts w:hint="default" w:ascii="Times New Roman" w:hAnsi="Times New Roman" w:eastAsia="仿宋_GB2312" w:cs="Times New Roman"/>
                <w:color w:val="auto"/>
                <w:sz w:val="21"/>
                <w:szCs w:val="21"/>
              </w:rPr>
              <w:t>万平方米，建设养老地产及医疗养生机构等配套设施。</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36</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2018-2023</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济南城市建设集团、荣成好运角实业有限公司、济南西城集团</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45</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生态文化</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国家旅游度假区创建</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Style w:val="43"/>
                <w:rFonts w:hint="default" w:ascii="Times New Roman" w:hAnsi="Times New Roman" w:eastAsia="仿宋_GB2312" w:cs="Times New Roman"/>
                <w:color w:val="auto"/>
                <w:sz w:val="21"/>
                <w:szCs w:val="21"/>
              </w:rPr>
              <w:t>对照国家级旅游度假区创建标准，从旅游风景道、旅游公交系统、环境整治、绿道系统、旅游标识及信息化六个方面进行整改提升，加快国家级旅游度假区建设。</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10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2019-2023</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好运角旅游度假区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46</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生态文化</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那香海滨海文旅小镇建设项目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项目占地约2000</w:t>
            </w:r>
            <w:r>
              <w:rPr>
                <w:rStyle w:val="43"/>
                <w:rFonts w:hint="default" w:ascii="Times New Roman" w:hAnsi="Times New Roman" w:eastAsia="仿宋_GB2312" w:cs="Times New Roman"/>
                <w:color w:val="auto"/>
                <w:sz w:val="21"/>
                <w:szCs w:val="21"/>
              </w:rPr>
              <w:t>亩，以“</w:t>
            </w:r>
            <w:r>
              <w:rPr>
                <w:rFonts w:ascii="Times New Roman" w:hAnsi="Times New Roman" w:eastAsia="仿宋_GB2312"/>
                <w:color w:val="auto"/>
                <w:kern w:val="0"/>
                <w:szCs w:val="21"/>
              </w:rPr>
              <w:t>旅游+</w:t>
            </w:r>
            <w:r>
              <w:rPr>
                <w:rStyle w:val="43"/>
                <w:rFonts w:hint="default" w:ascii="Times New Roman" w:hAnsi="Times New Roman" w:eastAsia="仿宋_GB2312" w:cs="Times New Roman"/>
                <w:color w:val="auto"/>
                <w:sz w:val="21"/>
                <w:szCs w:val="21"/>
              </w:rPr>
              <w:t>文化</w:t>
            </w:r>
            <w:r>
              <w:rPr>
                <w:rFonts w:ascii="Times New Roman" w:hAnsi="Times New Roman" w:eastAsia="仿宋_GB2312"/>
                <w:color w:val="auto"/>
                <w:kern w:val="0"/>
                <w:szCs w:val="21"/>
              </w:rPr>
              <w:t>+</w:t>
            </w:r>
            <w:r>
              <w:rPr>
                <w:rStyle w:val="43"/>
                <w:rFonts w:hint="default" w:ascii="Times New Roman" w:hAnsi="Times New Roman" w:eastAsia="仿宋_GB2312" w:cs="Times New Roman"/>
                <w:color w:val="auto"/>
                <w:sz w:val="21"/>
                <w:szCs w:val="21"/>
              </w:rPr>
              <w:t>产业</w:t>
            </w:r>
            <w:r>
              <w:rPr>
                <w:rFonts w:ascii="Times New Roman" w:hAnsi="Times New Roman" w:eastAsia="仿宋_GB2312"/>
                <w:color w:val="auto"/>
                <w:kern w:val="0"/>
                <w:szCs w:val="21"/>
              </w:rPr>
              <w:t>+</w:t>
            </w:r>
            <w:r>
              <w:rPr>
                <w:rStyle w:val="43"/>
                <w:rFonts w:hint="default" w:ascii="Times New Roman" w:hAnsi="Times New Roman" w:eastAsia="仿宋_GB2312" w:cs="Times New Roman"/>
                <w:color w:val="auto"/>
                <w:sz w:val="21"/>
                <w:szCs w:val="21"/>
              </w:rPr>
              <w:t>运营”</w:t>
            </w:r>
            <w:r>
              <w:rPr>
                <w:rFonts w:ascii="Times New Roman" w:hAnsi="Times New Roman" w:eastAsia="仿宋_GB2312"/>
                <w:color w:val="auto"/>
                <w:kern w:val="0"/>
                <w:szCs w:val="21"/>
              </w:rPr>
              <w:t>为理念，规划打造温泉度假、冰雪运动、科技教育、马术休闲、海岛游艇、天鹅湖六大功能板块，全面争创国家5A</w:t>
            </w:r>
            <w:r>
              <w:rPr>
                <w:rStyle w:val="43"/>
                <w:rFonts w:hint="default" w:ascii="Times New Roman" w:hAnsi="Times New Roman" w:eastAsia="仿宋_GB2312" w:cs="Times New Roman"/>
                <w:color w:val="auto"/>
                <w:sz w:val="21"/>
                <w:szCs w:val="21"/>
              </w:rPr>
              <w:t>级景区，建设一座涵盖旅游度假、养生康养、教育研学的多主题、多产业、多内容的综合性文旅度假小镇。</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30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2018-2024</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山东万恒置业投资有限公司</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47</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生态文化</w:t>
            </w:r>
          </w:p>
        </w:tc>
        <w:tc>
          <w:tcPr>
            <w:tcW w:w="2280" w:type="dxa"/>
            <w:tcBorders>
              <w:tl2br w:val="nil"/>
              <w:tr2bl w:val="nil"/>
            </w:tcBorders>
            <w:shd w:val="clear" w:color="auto" w:fill="auto"/>
            <w:vAlign w:val="center"/>
          </w:tcPr>
          <w:p>
            <w:pPr>
              <w:widowControl/>
              <w:jc w:val="center"/>
              <w:textAlignment w:val="center"/>
              <w:rPr>
                <w:color w:val="auto"/>
              </w:rPr>
            </w:pPr>
            <w:r>
              <w:rPr>
                <w:rFonts w:ascii="仿宋_GB2312" w:hAnsi="仿宋_GB2312" w:eastAsia="仿宋_GB2312" w:cs="仿宋_GB2312"/>
                <w:color w:val="auto"/>
                <w:szCs w:val="21"/>
              </w:rPr>
              <w:t>马栏湾海洋运动小镇</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以渔村文化为核心理念，以成山头景区为自然依托，深度挖掘文化底蕴，以</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休闲聚集中心</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旅游模式，打造形成</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文、商、养、学、闲、情、奇</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旅游综合要素体系，形成集观光休闲、健康养生、文化展演等复合功能于一体，整合</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山、海、林、田、村</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的自然与人文资源，将马栏湾打造成一个优质旅游度假胜地。</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40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2018-2025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山东鲁坤海韵置业有限公司</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34" w:type="dxa"/>
            <w:bottom w:w="0" w:type="dxa"/>
            <w:right w:w="34" w:type="dxa"/>
          </w:tblCellMar>
        </w:tblPrEx>
        <w:trPr>
          <w:jc w:val="center"/>
        </w:trPr>
        <w:tc>
          <w:tcPr>
            <w:tcW w:w="518" w:type="dxa"/>
            <w:tcBorders>
              <w:tl2br w:val="nil"/>
              <w:tr2bl w:val="nil"/>
            </w:tcBorders>
            <w:shd w:val="clear" w:color="auto" w:fill="auto"/>
            <w:vAlign w:val="center"/>
          </w:tcPr>
          <w:p>
            <w:pPr>
              <w:widowControl/>
              <w:jc w:val="center"/>
              <w:textAlignment w:val="center"/>
              <w:rPr>
                <w:rFonts w:hint="default" w:ascii="Times New Roman" w:hAnsi="Times New Roman" w:eastAsia="仿宋_GB2312"/>
                <w:color w:val="auto"/>
                <w:kern w:val="0"/>
                <w:szCs w:val="21"/>
                <w:lang w:val="en-US" w:eastAsia="zh-CN"/>
              </w:rPr>
            </w:pPr>
            <w:r>
              <w:rPr>
                <w:rFonts w:hint="eastAsia" w:ascii="Times New Roman" w:hAnsi="Times New Roman" w:eastAsia="仿宋_GB2312"/>
                <w:color w:val="auto"/>
                <w:kern w:val="0"/>
                <w:szCs w:val="21"/>
                <w:lang w:val="en-US" w:eastAsia="zh-CN"/>
              </w:rPr>
              <w:t>48</w:t>
            </w:r>
          </w:p>
        </w:tc>
        <w:tc>
          <w:tcPr>
            <w:tcW w:w="115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生态文化</w:t>
            </w:r>
          </w:p>
        </w:tc>
        <w:tc>
          <w:tcPr>
            <w:tcW w:w="228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歌尔智慧小镇项目</w:t>
            </w:r>
          </w:p>
        </w:tc>
        <w:tc>
          <w:tcPr>
            <w:tcW w:w="5700" w:type="dxa"/>
            <w:tcBorders>
              <w:tl2br w:val="nil"/>
              <w:tr2bl w:val="nil"/>
            </w:tcBorders>
            <w:shd w:val="clear" w:color="auto" w:fill="auto"/>
            <w:vAlign w:val="center"/>
          </w:tcPr>
          <w:p>
            <w:pPr>
              <w:widowControl/>
              <w:jc w:val="left"/>
              <w:textAlignment w:val="center"/>
              <w:rPr>
                <w:rFonts w:ascii="Times New Roman" w:hAnsi="Times New Roman" w:eastAsia="仿宋_GB2312"/>
                <w:color w:val="auto"/>
                <w:szCs w:val="21"/>
              </w:rPr>
            </w:pPr>
            <w:r>
              <w:rPr>
                <w:rFonts w:ascii="Times New Roman" w:hAnsi="Times New Roman" w:eastAsia="仿宋_GB2312"/>
                <w:color w:val="auto"/>
                <w:kern w:val="0"/>
                <w:szCs w:val="21"/>
              </w:rPr>
              <w:t>项目规划面积约4.8</w:t>
            </w:r>
            <w:r>
              <w:rPr>
                <w:rStyle w:val="43"/>
                <w:rFonts w:hint="default" w:ascii="Times New Roman" w:hAnsi="Times New Roman" w:eastAsia="仿宋_GB2312" w:cs="Times New Roman"/>
                <w:color w:val="auto"/>
                <w:sz w:val="21"/>
                <w:szCs w:val="21"/>
              </w:rPr>
              <w:t>平方公里，以“</w:t>
            </w:r>
            <w:r>
              <w:rPr>
                <w:rFonts w:ascii="Times New Roman" w:hAnsi="Times New Roman" w:eastAsia="仿宋_GB2312"/>
                <w:color w:val="auto"/>
                <w:kern w:val="0"/>
                <w:szCs w:val="21"/>
              </w:rPr>
              <w:t>科技、智慧、生活</w:t>
            </w:r>
            <w:r>
              <w:rPr>
                <w:rStyle w:val="43"/>
                <w:rFonts w:hint="default" w:ascii="Times New Roman" w:hAnsi="Times New Roman" w:eastAsia="仿宋_GB2312" w:cs="Times New Roman"/>
                <w:color w:val="auto"/>
                <w:sz w:val="21"/>
                <w:szCs w:val="21"/>
              </w:rPr>
              <w:t>”</w:t>
            </w:r>
            <w:r>
              <w:rPr>
                <w:rFonts w:ascii="Times New Roman" w:hAnsi="Times New Roman" w:eastAsia="仿宋_GB2312"/>
                <w:color w:val="auto"/>
                <w:kern w:val="0"/>
                <w:szCs w:val="21"/>
              </w:rPr>
              <w:t>为品牌特色，依托歌尔集团在大数据、智能制造与机器人、高端装备与材料、虚拟现实、无人机、智能穿戴设备等领域的领先地位和研发优势，打造集研发中心、生态居住、医疗康复和海上观光于一体的科技与人文自然相融合的宜居小镇。</w:t>
            </w:r>
          </w:p>
        </w:tc>
        <w:tc>
          <w:tcPr>
            <w:tcW w:w="1095"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90</w:t>
            </w:r>
          </w:p>
        </w:tc>
        <w:tc>
          <w:tcPr>
            <w:tcW w:w="147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2015-2025</w:t>
            </w:r>
          </w:p>
        </w:tc>
        <w:tc>
          <w:tcPr>
            <w:tcW w:w="2190" w:type="dxa"/>
            <w:tcBorders>
              <w:tl2br w:val="nil"/>
              <w:tr2bl w:val="nil"/>
            </w:tcBorders>
            <w:shd w:val="clear" w:color="auto" w:fill="auto"/>
            <w:vAlign w:val="center"/>
          </w:tcPr>
          <w:p>
            <w:pPr>
              <w:widowControl/>
              <w:jc w:val="center"/>
              <w:textAlignment w:val="center"/>
              <w:rPr>
                <w:rFonts w:ascii="Times New Roman" w:hAnsi="Times New Roman" w:eastAsia="仿宋_GB2312"/>
                <w:color w:val="auto"/>
                <w:szCs w:val="21"/>
              </w:rPr>
            </w:pPr>
            <w:r>
              <w:rPr>
                <w:rFonts w:ascii="Times New Roman" w:hAnsi="Times New Roman" w:eastAsia="仿宋_GB2312"/>
                <w:color w:val="auto"/>
                <w:kern w:val="0"/>
                <w:szCs w:val="21"/>
              </w:rPr>
              <w:t>威海歌尔置业</w:t>
            </w:r>
          </w:p>
        </w:tc>
      </w:tr>
    </w:tbl>
    <w:p>
      <w:pPr>
        <w:pStyle w:val="25"/>
        <w:rPr>
          <w:rFonts w:ascii="Times New Roman" w:hAnsi="Times New Roman"/>
          <w:color w:val="auto"/>
        </w:rPr>
      </w:pPr>
    </w:p>
    <w:sectPr>
      <w:headerReference r:id="rId11" w:type="default"/>
      <w:pgSz w:w="16839" w:h="11907" w:orient="landscape"/>
      <w:pgMar w:top="1474" w:right="1418" w:bottom="1417" w:left="1361" w:header="720" w:footer="720" w:gutter="0"/>
      <w:pgBorders>
        <w:top w:val="none" w:sz="0" w:space="0"/>
        <w:left w:val="none" w:sz="0" w:space="0"/>
        <w:bottom w:val="none" w:sz="0" w:space="0"/>
        <w:right w:val="none" w:sz="0" w:space="0"/>
      </w:pgBorders>
      <w:pgNumType w:fmt="decimal"/>
      <w:cols w:space="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28BAAD4-064D-41F6-A835-DBAA3744BCE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E7BD78F-41CD-4B5A-8F48-91C77A5480F9}"/>
  </w:font>
  <w:font w:name="方正小标宋简体">
    <w:panose1 w:val="02000000000000000000"/>
    <w:charset w:val="86"/>
    <w:family w:val="auto"/>
    <w:pitch w:val="default"/>
    <w:sig w:usb0="00000001" w:usb1="08000000" w:usb2="00000000" w:usb3="00000000" w:csb0="00040000" w:csb1="00000000"/>
    <w:embedRegular r:id="rId3" w:fontKey="{732E646E-7A6A-4E7D-B070-51ACA569EDD6}"/>
  </w:font>
  <w:font w:name="楷体_GB2312">
    <w:panose1 w:val="02010609030101010101"/>
    <w:charset w:val="86"/>
    <w:family w:val="auto"/>
    <w:pitch w:val="default"/>
    <w:sig w:usb0="00000001" w:usb1="080E0000" w:usb2="00000000" w:usb3="00000000" w:csb0="00040000" w:csb1="00000000"/>
    <w:embedRegular r:id="rId4" w:fontKey="{DF030867-E81E-4E6A-8070-71A68FF31174}"/>
  </w:font>
  <w:font w:name="仿宋_GB2312">
    <w:panose1 w:val="02010609030101010101"/>
    <w:charset w:val="86"/>
    <w:family w:val="modern"/>
    <w:pitch w:val="default"/>
    <w:sig w:usb0="00000001" w:usb1="080E0000" w:usb2="00000000" w:usb3="00000000" w:csb0="00040000" w:csb1="00000000"/>
    <w:embedRegular r:id="rId5" w:fontKey="{DA949673-C264-4E7E-B544-7FE61C371CBA}"/>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embedRegular r:id="rId6" w:fontKey="{F72686A9-4F84-47AA-B4B3-24E7A2769F5D}"/>
  </w:font>
  <w:font w:name="TimesNewRomanPSMT">
    <w:altName w:val="Times New Roman"/>
    <w:panose1 w:val="00000000000000000000"/>
    <w:charset w:val="00"/>
    <w:family w:val="auto"/>
    <w:pitch w:val="default"/>
    <w:sig w:usb0="00000000" w:usb1="00000000" w:usb2="00000000" w:usb3="00000000" w:csb0="00000000" w:csb1="00000000"/>
    <w:embedRegular r:id="rId7" w:fontKey="{69E673AE-35C7-4E23-9C5B-F033178D64FB}"/>
  </w:font>
  <w:font w:name="楷体">
    <w:panose1 w:val="02010609060101010101"/>
    <w:charset w:val="86"/>
    <w:family w:val="auto"/>
    <w:pitch w:val="default"/>
    <w:sig w:usb0="800002BF" w:usb1="38CF7CFA" w:usb2="00000016" w:usb3="00000000" w:csb0="00040001" w:csb1="00000000"/>
    <w:embedRegular r:id="rId8" w:fontKey="{C7C81909-0CCA-4037-B5EE-FD66F6468DD3}"/>
  </w:font>
  <w:font w:name="方正仿宋_GB2312">
    <w:panose1 w:val="02000000000000000000"/>
    <w:charset w:val="86"/>
    <w:family w:val="auto"/>
    <w:pitch w:val="default"/>
    <w:sig w:usb0="A00002BF" w:usb1="184F6CFA" w:usb2="00000012" w:usb3="00000000" w:csb0="00040001" w:csb1="00000000"/>
    <w:embedRegular r:id="rId9" w:fontKey="{FBFAC048-BE54-4C31-A8BB-2FAE807A5682}"/>
  </w:font>
  <w:font w:name="微软雅黑">
    <w:panose1 w:val="020B0503020204020204"/>
    <w:charset w:val="86"/>
    <w:family w:val="swiss"/>
    <w:pitch w:val="default"/>
    <w:sig w:usb0="80000287" w:usb1="2ACF3C50" w:usb2="00000016" w:usb3="00000000" w:csb0="0004001F" w:csb1="00000000"/>
    <w:embedRegular r:id="rId10" w:fontKey="{4A91DC8E-4996-4A6E-A638-9F7AE5B8603F}"/>
  </w:font>
  <w:font w:name="___WRD_EMBED_SUB_45">
    <w:altName w:val="宋体"/>
    <w:panose1 w:val="00000000000000000000"/>
    <w:charset w:val="86"/>
    <w:family w:val="auto"/>
    <w:pitch w:val="default"/>
    <w:sig w:usb0="00000000" w:usb1="00000000" w:usb2="00000000" w:usb3="00000000" w:csb0="00040000" w:csb1="00000000"/>
    <w:embedRegular r:id="rId11" w:fontKey="{6A372F93-B0BE-4A44-B5A8-E64218EAF15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文本框 3" o:spid="_x0000_s4098" o:spt="202" type="#_x0000_t202" style="position:absolute;left:0pt;margin-top:0pt;height:144pt;width:144pt;mso-position-horizontal:outside;mso-position-horizontal-relative:margin;mso-wrap-style:none;z-index:2516643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v:path/>
          <v:fill on="f" focussize="0,0"/>
          <v:stroke on="f" weight="0.5pt" joinstyle="miter"/>
          <v:imagedata o:title=""/>
          <o:lock v:ext="edit"/>
          <v:textbox inset="0mm,0mm,0mm,0mm" style="mso-fit-shape-to-text:t;">
            <w:txbxContent>
              <w:p>
                <w:pPr>
                  <w:pStyle w:val="14"/>
                </w:pPr>
                <w:r>
                  <w:fldChar w:fldCharType="begin"/>
                </w:r>
                <w:r>
                  <w:instrText xml:space="preserve"> PAGE  \* MERGEFORMAT </w:instrText>
                </w:r>
                <w:r>
                  <w:fldChar w:fldCharType="separate"/>
                </w:r>
                <w:r>
                  <w:t>II</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文本框 1" o:spid="_x0000_s4099" o:spt="202" type="#_x0000_t202" style="position:absolute;left:0pt;margin-top:0pt;height:144pt;width:144pt;mso-position-horizontal:outside;mso-position-horizontal-relative:margin;mso-wrap-style:none;z-index:25166336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WTDYgIAABE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PvYyzU1O7Q40LAj0cuLFm24FDG9FQFLgdZh0dMV&#10;Dm0IdNMocbah8Plv9xmPWYWWsw5LVnOHV4Az89phhvM+TkKYhPUkuFt7RugB5hK5FBEGIZlJ1IHs&#10;R2z/KseASjiJSDVPk3iWhkXH6yHValVA2Dov0qW79jK7Lj33q9uEUSoTlrkZmBg5w96VGR3fiLzY&#10;v/8X1P1Ltvw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C6WWTDYgIAABEFAAAOAAAAAAAAAAAAAAAAAC4CAABkcnMvZTJvRG9jLnht&#10;bFBLAQItABQABgAIAAAAIQBxqtG51wAAAAUBAAAPAAAAAAAAAAAAAAAAALwEAABkcnMvZG93bnJl&#10;di54bWxQSwUGAAAAAAQABADzAAAAwAUAAAAA&#10;">
          <v:path/>
          <v:fill on="f" focussize="0,0"/>
          <v:stroke on="f" weight="0.5pt" joinstyle="miter"/>
          <v:imagedata o:title=""/>
          <o:lock v:ext="edit"/>
          <v:textbox inset="0mm,0mm,0mm,0mm" style="mso-fit-shape-to-text:t;">
            <w:txbxContent>
              <w:p>
                <w:pPr>
                  <w:pStyle w:val="14"/>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15</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lang w:val="en-US" w:eastAsia="zh-CN"/>
                  </w:rPr>
                  <w:t xml:space="preserve"> </w:t>
                </w:r>
                <w:r>
                  <w:rPr>
                    <w:rFonts w:hint="eastAsia" w:asciiTheme="majorEastAsia" w:hAnsiTheme="majorEastAsia" w:eastAsiaTheme="majorEastAsia" w:cstheme="majorEastAsia"/>
                    <w:sz w:val="28"/>
                    <w:szCs w:val="28"/>
                  </w:rPr>
                  <w:t>—</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right"/>
      <w:rPr>
        <w:rFonts w:hint="default" w:ascii="Times New Roman" w:hAnsi="Times New Roman" w:eastAsia="仿宋_GB2312" w:cs="Times New Roman"/>
        <w:sz w:val="21"/>
        <w:szCs w:val="21"/>
      </w:rPr>
    </w:pPr>
    <w:r>
      <w:rPr>
        <w:rFonts w:hint="default" w:ascii="Times New Roman" w:hAnsi="Times New Roman" w:eastAsia="仿宋_GB2312" w:cs="Times New Roman"/>
        <w:sz w:val="21"/>
        <w:szCs w:val="21"/>
      </w:rPr>
      <w:pict>
        <v:line id="直接连接符 1282" o:spid="_x0000_s4097" o:spt="20" style="position:absolute;left:0pt;flip:x;margin-left:-0.95pt;margin-top:11.5pt;height:0pt;width:440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">
          <v:path arrowok="t"/>
          <v:fill focussize="0,0"/>
          <v:stroke weight="0.25pt" color="#000000" joinstyle="miter"/>
          <v:imagedata o:title=""/>
          <o:lock v:ext="edit"/>
        </v:line>
      </w:pict>
    </w:r>
    <w:r>
      <w:rPr>
        <w:rFonts w:hint="default" w:ascii="Times New Roman" w:hAnsi="Times New Roman" w:eastAsia="仿宋_GB2312" w:cs="Times New Roman"/>
        <w:sz w:val="21"/>
        <w:szCs w:val="21"/>
      </w:rPr>
      <w:t>荣成市国家生态文明建设示范区规划（2021-2030年）</w:t>
    </w:r>
  </w:p>
  <w:p>
    <w:pPr>
      <w:pStyle w:val="1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right"/>
      <w:rPr>
        <w:sz w:val="20"/>
        <w:szCs w:val="21"/>
      </w:rPr>
    </w:pPr>
    <w:r>
      <w:rPr>
        <w:sz w:val="20"/>
      </w:rPr>
      <w:pict>
        <v:line id="直接连接符 1284" o:spid="_x0000_s4100" o:spt="20" style="position:absolute;left:0pt;flip:x;margin-left:-0.95pt;margin-top:11.5pt;height:0pt;width:701.05pt;z-index:251660288;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">
          <v:path arrowok="t"/>
          <v:fill focussize="0,0"/>
          <v:stroke weight="0.25pt" color="#000000" joinstyle="miter"/>
          <v:imagedata o:title=""/>
          <o:lock v:ext="edit"/>
        </v:line>
      </w:pict>
    </w:r>
    <w:r>
      <w:rPr>
        <w:rFonts w:hint="eastAsia"/>
        <w:sz w:val="20"/>
        <w:szCs w:val="21"/>
      </w:rPr>
      <w:t>荣成市国家生态文明建设示范区规划（2021-2030年）</w:t>
    </w:r>
  </w:p>
  <w:p>
    <w:pPr>
      <w:pStyle w:val="1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right"/>
      <w:rPr>
        <w:sz w:val="20"/>
        <w:szCs w:val="21"/>
      </w:rPr>
    </w:pPr>
    <w:r>
      <w:rPr>
        <w:sz w:val="20"/>
      </w:rPr>
      <w:pict>
        <v:line id="直接连接符 1285" o:spid="_x0000_s4101" o:spt="20" style="position:absolute;left:0pt;flip:x;margin-left:-0.95pt;margin-top:11.5pt;height:0pt;width:440pt;z-index:251661312;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">
          <v:path arrowok="t"/>
          <v:fill focussize="0,0"/>
          <v:stroke weight="0.25pt" color="#000000" joinstyle="miter"/>
          <v:imagedata o:title=""/>
          <o:lock v:ext="edit"/>
        </v:line>
      </w:pict>
    </w:r>
    <w:r>
      <w:rPr>
        <w:rFonts w:hint="eastAsia"/>
        <w:sz w:val="20"/>
        <w:szCs w:val="21"/>
      </w:rPr>
      <w:t>荣成市国家生态文明建设示范区规划（2021-2030年）</w:t>
    </w:r>
  </w:p>
  <w:p>
    <w:pPr>
      <w:pStyle w:val="1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right"/>
      <w:rPr>
        <w:sz w:val="20"/>
        <w:szCs w:val="21"/>
      </w:rPr>
    </w:pPr>
    <w:r>
      <w:rPr>
        <w:sz w:val="20"/>
      </w:rPr>
      <w:pict>
        <v:line id="直接连接符 1286" o:spid="_x0000_s4102" o:spt="20" style="position:absolute;left:0pt;flip:x;margin-left:-0.95pt;margin-top:11.5pt;height:0pt;width:701.05pt;z-index:251662336;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">
          <v:path arrowok="t"/>
          <v:fill focussize="0,0"/>
          <v:stroke weight="0.25pt" color="#000000" joinstyle="miter"/>
          <v:imagedata o:title=""/>
          <o:lock v:ext="edit"/>
        </v:line>
      </w:pict>
    </w:r>
    <w:r>
      <w:rPr>
        <w:rFonts w:hint="eastAsia"/>
        <w:sz w:val="20"/>
        <w:szCs w:val="21"/>
      </w:rPr>
      <w:t>荣成市国家生态文明建设示范区规划（2021-2030年）</w:t>
    </w:r>
  </w:p>
  <w:p>
    <w:pPr>
      <w:pStyle w:val="1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3AD478"/>
    <w:multiLevelType w:val="singleLevel"/>
    <w:tmpl w:val="D43AD478"/>
    <w:lvl w:ilvl="0" w:tentative="0">
      <w:start w:val="10"/>
      <w:numFmt w:val="chineseCounting"/>
      <w:suff w:val="nothing"/>
      <w:lvlText w:val="（%1）"/>
      <w:lvlJc w:val="left"/>
      <w:rPr>
        <w:rFonts w:hint="eastAsia"/>
      </w:rPr>
    </w:lvl>
  </w:abstractNum>
  <w:abstractNum w:abstractNumId="1">
    <w:nsid w:val="D78E3E1D"/>
    <w:multiLevelType w:val="singleLevel"/>
    <w:tmpl w:val="D78E3E1D"/>
    <w:lvl w:ilvl="0" w:tentative="0">
      <w:start w:val="3"/>
      <w:numFmt w:val="chineseCounting"/>
      <w:suff w:val="nothing"/>
      <w:lvlText w:val="（%1）"/>
      <w:lvlJc w:val="left"/>
      <w:rPr>
        <w:rFonts w:hint="eastAsia"/>
      </w:rPr>
    </w:lvl>
  </w:abstractNum>
  <w:abstractNum w:abstractNumId="2">
    <w:nsid w:val="DDDD6D3D"/>
    <w:multiLevelType w:val="singleLevel"/>
    <w:tmpl w:val="DDDD6D3D"/>
    <w:lvl w:ilvl="0" w:tentative="0">
      <w:start w:val="2"/>
      <w:numFmt w:val="decimal"/>
      <w:lvlText w:val="%1."/>
      <w:lvlJc w:val="left"/>
      <w:pPr>
        <w:tabs>
          <w:tab w:val="left" w:pos="312"/>
        </w:tabs>
      </w:pPr>
    </w:lvl>
  </w:abstractNum>
  <w:abstractNum w:abstractNumId="3">
    <w:nsid w:val="13842200"/>
    <w:multiLevelType w:val="singleLevel"/>
    <w:tmpl w:val="13842200"/>
    <w:lvl w:ilvl="0" w:tentative="0">
      <w:start w:val="6"/>
      <w:numFmt w:val="chineseCounting"/>
      <w:suff w:val="nothing"/>
      <w:lvlText w:val="（%1）"/>
      <w:lvlJc w:val="left"/>
      <w:rPr>
        <w:rFonts w:hint="eastAsia"/>
      </w:rPr>
    </w:lvl>
  </w:abstractNum>
  <w:abstractNum w:abstractNumId="4">
    <w:nsid w:val="54FA4D07"/>
    <w:multiLevelType w:val="multilevel"/>
    <w:tmpl w:val="54FA4D07"/>
    <w:lvl w:ilvl="0" w:tentative="0">
      <w:start w:val="1"/>
      <w:numFmt w:val="decimal"/>
      <w:lvlText w:val="%1."/>
      <w:lvlJc w:val="left"/>
      <w:pPr>
        <w:tabs>
          <w:tab w:val="left" w:pos="720"/>
        </w:tabs>
        <w:ind w:left="720" w:hanging="720"/>
      </w:pPr>
      <w:rPr>
        <w:rFonts w:cs="Times New Roman"/>
      </w:rPr>
    </w:lvl>
    <w:lvl w:ilvl="1" w:tentative="0">
      <w:start w:val="1"/>
      <w:numFmt w:val="decimal"/>
      <w:lvlText w:val="%2."/>
      <w:lvlJc w:val="left"/>
      <w:pPr>
        <w:tabs>
          <w:tab w:val="left" w:pos="1440"/>
        </w:tabs>
        <w:ind w:left="1440" w:hanging="720"/>
      </w:pPr>
      <w:rPr>
        <w:rFonts w:cs="Times New Roman"/>
      </w:rPr>
    </w:lvl>
    <w:lvl w:ilvl="2" w:tentative="0">
      <w:start w:val="1"/>
      <w:numFmt w:val="decimal"/>
      <w:lvlText w:val="%3."/>
      <w:lvlJc w:val="left"/>
      <w:pPr>
        <w:tabs>
          <w:tab w:val="left" w:pos="2160"/>
        </w:tabs>
        <w:ind w:left="2160" w:hanging="720"/>
      </w:pPr>
      <w:rPr>
        <w:rFonts w:cs="Times New Roman"/>
      </w:rPr>
    </w:lvl>
    <w:lvl w:ilvl="3" w:tentative="0">
      <w:start w:val="1"/>
      <w:numFmt w:val="decimal"/>
      <w:pStyle w:val="36"/>
      <w:lvlText w:val="%4."/>
      <w:lvlJc w:val="left"/>
      <w:pPr>
        <w:tabs>
          <w:tab w:val="left" w:pos="2880"/>
        </w:tabs>
        <w:ind w:left="2880" w:hanging="720"/>
      </w:pPr>
      <w:rPr>
        <w:rFonts w:cs="Times New Roman"/>
      </w:rPr>
    </w:lvl>
    <w:lvl w:ilvl="4" w:tentative="0">
      <w:start w:val="1"/>
      <w:numFmt w:val="decimal"/>
      <w:lvlText w:val="%5."/>
      <w:lvlJc w:val="left"/>
      <w:pPr>
        <w:tabs>
          <w:tab w:val="left" w:pos="3600"/>
        </w:tabs>
        <w:ind w:left="3600" w:hanging="720"/>
      </w:pPr>
      <w:rPr>
        <w:rFonts w:cs="Times New Roman"/>
      </w:rPr>
    </w:lvl>
    <w:lvl w:ilvl="5" w:tentative="0">
      <w:start w:val="1"/>
      <w:numFmt w:val="decimal"/>
      <w:lvlText w:val="%6."/>
      <w:lvlJc w:val="left"/>
      <w:pPr>
        <w:tabs>
          <w:tab w:val="left" w:pos="4320"/>
        </w:tabs>
        <w:ind w:left="4320" w:hanging="720"/>
      </w:pPr>
      <w:rPr>
        <w:rFonts w:cs="Times New Roman"/>
      </w:rPr>
    </w:lvl>
    <w:lvl w:ilvl="6" w:tentative="0">
      <w:start w:val="1"/>
      <w:numFmt w:val="decimal"/>
      <w:lvlText w:val="%7."/>
      <w:lvlJc w:val="left"/>
      <w:pPr>
        <w:tabs>
          <w:tab w:val="left" w:pos="5040"/>
        </w:tabs>
        <w:ind w:left="5040" w:hanging="720"/>
      </w:pPr>
      <w:rPr>
        <w:rFonts w:cs="Times New Roman"/>
      </w:rPr>
    </w:lvl>
    <w:lvl w:ilvl="7" w:tentative="0">
      <w:start w:val="1"/>
      <w:numFmt w:val="decimal"/>
      <w:lvlText w:val="%8."/>
      <w:lvlJc w:val="left"/>
      <w:pPr>
        <w:tabs>
          <w:tab w:val="left" w:pos="5760"/>
        </w:tabs>
        <w:ind w:left="5760" w:hanging="720"/>
      </w:pPr>
      <w:rPr>
        <w:rFonts w:cs="Times New Roman"/>
      </w:rPr>
    </w:lvl>
    <w:lvl w:ilvl="8" w:tentative="0">
      <w:start w:val="1"/>
      <w:numFmt w:val="decimal"/>
      <w:lvlText w:val="%9."/>
      <w:lvlJc w:val="left"/>
      <w:pPr>
        <w:tabs>
          <w:tab w:val="left" w:pos="6480"/>
        </w:tabs>
        <w:ind w:left="6480" w:hanging="720"/>
      </w:pPr>
      <w:rPr>
        <w:rFonts w:cs="Times New Roman"/>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2JjNDU3OGUxZTA3YmE4ZTMyYzBiYWJiYzVhOWM4YTgifQ=="/>
  </w:docVars>
  <w:rsids>
    <w:rsidRoot w:val="34387F0E"/>
    <w:rsid w:val="0002302B"/>
    <w:rsid w:val="000415F4"/>
    <w:rsid w:val="00055039"/>
    <w:rsid w:val="00057788"/>
    <w:rsid w:val="00095C31"/>
    <w:rsid w:val="00111CEB"/>
    <w:rsid w:val="00141C5F"/>
    <w:rsid w:val="001423EE"/>
    <w:rsid w:val="0019319E"/>
    <w:rsid w:val="001E1F50"/>
    <w:rsid w:val="002F2985"/>
    <w:rsid w:val="00307EE0"/>
    <w:rsid w:val="00311CD6"/>
    <w:rsid w:val="00392572"/>
    <w:rsid w:val="00395F31"/>
    <w:rsid w:val="0041434D"/>
    <w:rsid w:val="00416BF5"/>
    <w:rsid w:val="004D1451"/>
    <w:rsid w:val="0054422B"/>
    <w:rsid w:val="005B38CE"/>
    <w:rsid w:val="006A0909"/>
    <w:rsid w:val="00770456"/>
    <w:rsid w:val="00781D3B"/>
    <w:rsid w:val="007936B5"/>
    <w:rsid w:val="007B04B6"/>
    <w:rsid w:val="007C4CC8"/>
    <w:rsid w:val="00933241"/>
    <w:rsid w:val="00996AE3"/>
    <w:rsid w:val="00A04AFC"/>
    <w:rsid w:val="00A44E1D"/>
    <w:rsid w:val="00B56382"/>
    <w:rsid w:val="00B900E9"/>
    <w:rsid w:val="00BB1BF1"/>
    <w:rsid w:val="00BD2C05"/>
    <w:rsid w:val="00C27B57"/>
    <w:rsid w:val="00CF0D7F"/>
    <w:rsid w:val="00D61412"/>
    <w:rsid w:val="00DA44EE"/>
    <w:rsid w:val="00DB2DDD"/>
    <w:rsid w:val="00E525B4"/>
    <w:rsid w:val="00E935F7"/>
    <w:rsid w:val="00F13CF1"/>
    <w:rsid w:val="00FE2694"/>
    <w:rsid w:val="00FF06D8"/>
    <w:rsid w:val="014273C8"/>
    <w:rsid w:val="01AA67C6"/>
    <w:rsid w:val="01B20007"/>
    <w:rsid w:val="01D51F9D"/>
    <w:rsid w:val="01F8346E"/>
    <w:rsid w:val="021B5AB7"/>
    <w:rsid w:val="02D6137A"/>
    <w:rsid w:val="02E034ED"/>
    <w:rsid w:val="032477CF"/>
    <w:rsid w:val="037D141B"/>
    <w:rsid w:val="03E35E25"/>
    <w:rsid w:val="042628F3"/>
    <w:rsid w:val="04BB7690"/>
    <w:rsid w:val="04DE7F28"/>
    <w:rsid w:val="04FF70C9"/>
    <w:rsid w:val="05126613"/>
    <w:rsid w:val="05491EBF"/>
    <w:rsid w:val="058B1262"/>
    <w:rsid w:val="06866758"/>
    <w:rsid w:val="06AA11A6"/>
    <w:rsid w:val="06EE24AD"/>
    <w:rsid w:val="07197379"/>
    <w:rsid w:val="071B78DC"/>
    <w:rsid w:val="07E457F6"/>
    <w:rsid w:val="09544FF0"/>
    <w:rsid w:val="0A186402"/>
    <w:rsid w:val="0A4655D2"/>
    <w:rsid w:val="0A641C42"/>
    <w:rsid w:val="0AD26936"/>
    <w:rsid w:val="0B3762ED"/>
    <w:rsid w:val="0B567D38"/>
    <w:rsid w:val="0B9C3FD4"/>
    <w:rsid w:val="0C0B3F76"/>
    <w:rsid w:val="0C5646EA"/>
    <w:rsid w:val="0C7551E6"/>
    <w:rsid w:val="0C7A3E79"/>
    <w:rsid w:val="0CE90A8A"/>
    <w:rsid w:val="0DAE73A3"/>
    <w:rsid w:val="0DBD6D81"/>
    <w:rsid w:val="0FD94632"/>
    <w:rsid w:val="0FDF53F2"/>
    <w:rsid w:val="100771D9"/>
    <w:rsid w:val="104A007C"/>
    <w:rsid w:val="105D677A"/>
    <w:rsid w:val="10833973"/>
    <w:rsid w:val="11322079"/>
    <w:rsid w:val="132705BA"/>
    <w:rsid w:val="1341042A"/>
    <w:rsid w:val="13A93049"/>
    <w:rsid w:val="140E2789"/>
    <w:rsid w:val="149565A7"/>
    <w:rsid w:val="14D51C99"/>
    <w:rsid w:val="15E773E5"/>
    <w:rsid w:val="160814BF"/>
    <w:rsid w:val="16AE351D"/>
    <w:rsid w:val="16EE2A05"/>
    <w:rsid w:val="17076248"/>
    <w:rsid w:val="17380789"/>
    <w:rsid w:val="175B3518"/>
    <w:rsid w:val="179B5E2C"/>
    <w:rsid w:val="17D60C03"/>
    <w:rsid w:val="18346B67"/>
    <w:rsid w:val="188A725B"/>
    <w:rsid w:val="18D25A48"/>
    <w:rsid w:val="19247985"/>
    <w:rsid w:val="193004A8"/>
    <w:rsid w:val="198E627E"/>
    <w:rsid w:val="19A20322"/>
    <w:rsid w:val="19C00425"/>
    <w:rsid w:val="19F71D44"/>
    <w:rsid w:val="1A5C59B4"/>
    <w:rsid w:val="1A9047AE"/>
    <w:rsid w:val="1AA324E7"/>
    <w:rsid w:val="1AD63A7C"/>
    <w:rsid w:val="1AFD2D25"/>
    <w:rsid w:val="1B5B68FE"/>
    <w:rsid w:val="1B5C137A"/>
    <w:rsid w:val="1B9277F3"/>
    <w:rsid w:val="1CD93E31"/>
    <w:rsid w:val="1CDA3BE3"/>
    <w:rsid w:val="1D0D1921"/>
    <w:rsid w:val="1D6F18CF"/>
    <w:rsid w:val="1DE37246"/>
    <w:rsid w:val="1E212615"/>
    <w:rsid w:val="1E6809F6"/>
    <w:rsid w:val="1ECC28B9"/>
    <w:rsid w:val="1F00184C"/>
    <w:rsid w:val="1F4B1B9A"/>
    <w:rsid w:val="1F934CC9"/>
    <w:rsid w:val="20BC0FB0"/>
    <w:rsid w:val="213F586F"/>
    <w:rsid w:val="21534CE0"/>
    <w:rsid w:val="21C23638"/>
    <w:rsid w:val="22006B90"/>
    <w:rsid w:val="225B628E"/>
    <w:rsid w:val="22751C28"/>
    <w:rsid w:val="22AB26B7"/>
    <w:rsid w:val="22B6457B"/>
    <w:rsid w:val="22CD3091"/>
    <w:rsid w:val="231B1EF2"/>
    <w:rsid w:val="23824239"/>
    <w:rsid w:val="23887040"/>
    <w:rsid w:val="23A44C99"/>
    <w:rsid w:val="23A94B79"/>
    <w:rsid w:val="24D23FDC"/>
    <w:rsid w:val="25572123"/>
    <w:rsid w:val="256169A6"/>
    <w:rsid w:val="25814C29"/>
    <w:rsid w:val="25B605AF"/>
    <w:rsid w:val="263C1384"/>
    <w:rsid w:val="264010C0"/>
    <w:rsid w:val="26515C9C"/>
    <w:rsid w:val="26790F9C"/>
    <w:rsid w:val="26C9781B"/>
    <w:rsid w:val="271E123D"/>
    <w:rsid w:val="279474C8"/>
    <w:rsid w:val="289D3BC1"/>
    <w:rsid w:val="291629BB"/>
    <w:rsid w:val="29656E56"/>
    <w:rsid w:val="29CE3074"/>
    <w:rsid w:val="2A627194"/>
    <w:rsid w:val="2A800CFC"/>
    <w:rsid w:val="2AA47E0E"/>
    <w:rsid w:val="2B003DB6"/>
    <w:rsid w:val="2BD23247"/>
    <w:rsid w:val="2BFD72F4"/>
    <w:rsid w:val="2C7418C0"/>
    <w:rsid w:val="2CF37D18"/>
    <w:rsid w:val="2D5B2C78"/>
    <w:rsid w:val="2D65100D"/>
    <w:rsid w:val="2D877221"/>
    <w:rsid w:val="2D9E5DBF"/>
    <w:rsid w:val="2DF477B8"/>
    <w:rsid w:val="2DFB0C0C"/>
    <w:rsid w:val="2E436624"/>
    <w:rsid w:val="2E6255DD"/>
    <w:rsid w:val="2E6F4B7E"/>
    <w:rsid w:val="2E74661D"/>
    <w:rsid w:val="2EC77675"/>
    <w:rsid w:val="2ED12BFC"/>
    <w:rsid w:val="2ED25440"/>
    <w:rsid w:val="2F161F82"/>
    <w:rsid w:val="2F234B64"/>
    <w:rsid w:val="2FC61AD6"/>
    <w:rsid w:val="302D6285"/>
    <w:rsid w:val="30722147"/>
    <w:rsid w:val="309A5A7B"/>
    <w:rsid w:val="30EF5711"/>
    <w:rsid w:val="310D2151"/>
    <w:rsid w:val="323740E0"/>
    <w:rsid w:val="32F87194"/>
    <w:rsid w:val="331202F7"/>
    <w:rsid w:val="33733B2F"/>
    <w:rsid w:val="33DF393B"/>
    <w:rsid w:val="34387F0E"/>
    <w:rsid w:val="348F66DE"/>
    <w:rsid w:val="352002F3"/>
    <w:rsid w:val="35CA4E42"/>
    <w:rsid w:val="35D55490"/>
    <w:rsid w:val="35D80B4F"/>
    <w:rsid w:val="362D478C"/>
    <w:rsid w:val="366F6283"/>
    <w:rsid w:val="3686327F"/>
    <w:rsid w:val="36CE3021"/>
    <w:rsid w:val="36EF40F6"/>
    <w:rsid w:val="372C7A34"/>
    <w:rsid w:val="372D131A"/>
    <w:rsid w:val="374B0178"/>
    <w:rsid w:val="374E240B"/>
    <w:rsid w:val="37904F53"/>
    <w:rsid w:val="3845369D"/>
    <w:rsid w:val="38586C88"/>
    <w:rsid w:val="38DF44B7"/>
    <w:rsid w:val="38E27D38"/>
    <w:rsid w:val="38E54660"/>
    <w:rsid w:val="39356849"/>
    <w:rsid w:val="39F325E0"/>
    <w:rsid w:val="3A0C4B28"/>
    <w:rsid w:val="3A374325"/>
    <w:rsid w:val="3A996FDD"/>
    <w:rsid w:val="3B941380"/>
    <w:rsid w:val="3BB90ACC"/>
    <w:rsid w:val="3BE677AF"/>
    <w:rsid w:val="3C4A6CD7"/>
    <w:rsid w:val="3C686D55"/>
    <w:rsid w:val="3C6C7C6E"/>
    <w:rsid w:val="3CAE16D6"/>
    <w:rsid w:val="3E0E18DF"/>
    <w:rsid w:val="3E1C36F3"/>
    <w:rsid w:val="3ED72C04"/>
    <w:rsid w:val="3F315DFE"/>
    <w:rsid w:val="3F916607"/>
    <w:rsid w:val="3FCA48C7"/>
    <w:rsid w:val="40BF1DD4"/>
    <w:rsid w:val="422E5E02"/>
    <w:rsid w:val="4248271E"/>
    <w:rsid w:val="425B1452"/>
    <w:rsid w:val="42996E08"/>
    <w:rsid w:val="42C4238B"/>
    <w:rsid w:val="43055102"/>
    <w:rsid w:val="43E87ED1"/>
    <w:rsid w:val="43FE1469"/>
    <w:rsid w:val="440216B8"/>
    <w:rsid w:val="44C46917"/>
    <w:rsid w:val="44CF47FD"/>
    <w:rsid w:val="44DB44AB"/>
    <w:rsid w:val="44ED3894"/>
    <w:rsid w:val="457E78D9"/>
    <w:rsid w:val="45DA2C2D"/>
    <w:rsid w:val="46071F4F"/>
    <w:rsid w:val="46534DD0"/>
    <w:rsid w:val="46931439"/>
    <w:rsid w:val="46C05C94"/>
    <w:rsid w:val="475C7B56"/>
    <w:rsid w:val="47B54D23"/>
    <w:rsid w:val="47EE03ED"/>
    <w:rsid w:val="483B7DC6"/>
    <w:rsid w:val="48FD37ED"/>
    <w:rsid w:val="49C41455"/>
    <w:rsid w:val="49CA58F6"/>
    <w:rsid w:val="4A235628"/>
    <w:rsid w:val="4A5B34AB"/>
    <w:rsid w:val="4A8700C8"/>
    <w:rsid w:val="4AEA491C"/>
    <w:rsid w:val="4AF40256"/>
    <w:rsid w:val="4B7D7C1D"/>
    <w:rsid w:val="4B8B26A6"/>
    <w:rsid w:val="4BE47AAD"/>
    <w:rsid w:val="4C122933"/>
    <w:rsid w:val="4C2A7D69"/>
    <w:rsid w:val="4C7968E2"/>
    <w:rsid w:val="4C797E7C"/>
    <w:rsid w:val="4CB10BB0"/>
    <w:rsid w:val="4CB24109"/>
    <w:rsid w:val="4CD277FD"/>
    <w:rsid w:val="4D4B72B6"/>
    <w:rsid w:val="4D52081C"/>
    <w:rsid w:val="4DB572B9"/>
    <w:rsid w:val="4E1B3A08"/>
    <w:rsid w:val="4E6272DC"/>
    <w:rsid w:val="4E883875"/>
    <w:rsid w:val="4EAC3CF2"/>
    <w:rsid w:val="4EFC08F8"/>
    <w:rsid w:val="4F2B3D7F"/>
    <w:rsid w:val="4F3E42D1"/>
    <w:rsid w:val="4F5E24C1"/>
    <w:rsid w:val="5092559D"/>
    <w:rsid w:val="50A849BD"/>
    <w:rsid w:val="515A279B"/>
    <w:rsid w:val="515C7B50"/>
    <w:rsid w:val="516724E8"/>
    <w:rsid w:val="518D1065"/>
    <w:rsid w:val="520C4183"/>
    <w:rsid w:val="524479BC"/>
    <w:rsid w:val="529C31F5"/>
    <w:rsid w:val="52D21512"/>
    <w:rsid w:val="53024C71"/>
    <w:rsid w:val="532D4734"/>
    <w:rsid w:val="53B7083C"/>
    <w:rsid w:val="53EE2CB5"/>
    <w:rsid w:val="543E0C73"/>
    <w:rsid w:val="544F4973"/>
    <w:rsid w:val="54910B98"/>
    <w:rsid w:val="54DC5CB5"/>
    <w:rsid w:val="550202D1"/>
    <w:rsid w:val="5546364E"/>
    <w:rsid w:val="55831E6E"/>
    <w:rsid w:val="5595528C"/>
    <w:rsid w:val="55CA0384"/>
    <w:rsid w:val="55E33ACE"/>
    <w:rsid w:val="56751791"/>
    <w:rsid w:val="56951DA9"/>
    <w:rsid w:val="569764D6"/>
    <w:rsid w:val="56EE61EA"/>
    <w:rsid w:val="57B82EA1"/>
    <w:rsid w:val="57F57FED"/>
    <w:rsid w:val="585D37FA"/>
    <w:rsid w:val="58671F89"/>
    <w:rsid w:val="58BE202C"/>
    <w:rsid w:val="59020F51"/>
    <w:rsid w:val="5948357A"/>
    <w:rsid w:val="597C443E"/>
    <w:rsid w:val="5A373D95"/>
    <w:rsid w:val="5A627C9E"/>
    <w:rsid w:val="5AA87B43"/>
    <w:rsid w:val="5B3416C0"/>
    <w:rsid w:val="5BB72175"/>
    <w:rsid w:val="5BE9084A"/>
    <w:rsid w:val="5C4B391F"/>
    <w:rsid w:val="5CAE29BC"/>
    <w:rsid w:val="5CE53857"/>
    <w:rsid w:val="5DC844E8"/>
    <w:rsid w:val="5DEF7E50"/>
    <w:rsid w:val="5E062C0C"/>
    <w:rsid w:val="5E8E4362"/>
    <w:rsid w:val="5EA52067"/>
    <w:rsid w:val="5EEB09A0"/>
    <w:rsid w:val="5F59655C"/>
    <w:rsid w:val="5F7E6CB7"/>
    <w:rsid w:val="60145741"/>
    <w:rsid w:val="6055304B"/>
    <w:rsid w:val="60A9164D"/>
    <w:rsid w:val="60EA7002"/>
    <w:rsid w:val="613863FE"/>
    <w:rsid w:val="61795CA9"/>
    <w:rsid w:val="619E046A"/>
    <w:rsid w:val="61C65297"/>
    <w:rsid w:val="61E414A4"/>
    <w:rsid w:val="62187C4C"/>
    <w:rsid w:val="624E75D4"/>
    <w:rsid w:val="62664C4D"/>
    <w:rsid w:val="62DD052C"/>
    <w:rsid w:val="631B37A0"/>
    <w:rsid w:val="63750B11"/>
    <w:rsid w:val="63B77BFA"/>
    <w:rsid w:val="63CE0056"/>
    <w:rsid w:val="641023C1"/>
    <w:rsid w:val="64245180"/>
    <w:rsid w:val="64A90147"/>
    <w:rsid w:val="65012A87"/>
    <w:rsid w:val="655D7E58"/>
    <w:rsid w:val="65757D19"/>
    <w:rsid w:val="66172CD4"/>
    <w:rsid w:val="663A3AA2"/>
    <w:rsid w:val="66814F96"/>
    <w:rsid w:val="66C63132"/>
    <w:rsid w:val="66D25A2F"/>
    <w:rsid w:val="66E842B6"/>
    <w:rsid w:val="6711557E"/>
    <w:rsid w:val="67402819"/>
    <w:rsid w:val="67527282"/>
    <w:rsid w:val="678E4B79"/>
    <w:rsid w:val="67D77FA8"/>
    <w:rsid w:val="68001410"/>
    <w:rsid w:val="68551BC1"/>
    <w:rsid w:val="691E0D6A"/>
    <w:rsid w:val="693519AC"/>
    <w:rsid w:val="698331BA"/>
    <w:rsid w:val="6A3B5839"/>
    <w:rsid w:val="6B6B1439"/>
    <w:rsid w:val="6BD524B7"/>
    <w:rsid w:val="6BFE67D9"/>
    <w:rsid w:val="6C081CD4"/>
    <w:rsid w:val="6C863C97"/>
    <w:rsid w:val="6C910539"/>
    <w:rsid w:val="6D157230"/>
    <w:rsid w:val="6D742237"/>
    <w:rsid w:val="6E077962"/>
    <w:rsid w:val="6E58136E"/>
    <w:rsid w:val="6E721F63"/>
    <w:rsid w:val="6E8831F6"/>
    <w:rsid w:val="6EE6497D"/>
    <w:rsid w:val="6FAB0796"/>
    <w:rsid w:val="6FB5688F"/>
    <w:rsid w:val="70A034D9"/>
    <w:rsid w:val="70A911EA"/>
    <w:rsid w:val="71281F32"/>
    <w:rsid w:val="71797821"/>
    <w:rsid w:val="71EB3FFF"/>
    <w:rsid w:val="721F5421"/>
    <w:rsid w:val="726C6FE4"/>
    <w:rsid w:val="73271BB9"/>
    <w:rsid w:val="732D78A7"/>
    <w:rsid w:val="74522EC9"/>
    <w:rsid w:val="74D92D96"/>
    <w:rsid w:val="74E26538"/>
    <w:rsid w:val="75853010"/>
    <w:rsid w:val="75EF2268"/>
    <w:rsid w:val="75F35628"/>
    <w:rsid w:val="767875A6"/>
    <w:rsid w:val="76AA3FF0"/>
    <w:rsid w:val="77A670B3"/>
    <w:rsid w:val="77D72293"/>
    <w:rsid w:val="78934133"/>
    <w:rsid w:val="78BC7293"/>
    <w:rsid w:val="791D0BD1"/>
    <w:rsid w:val="7C0B138C"/>
    <w:rsid w:val="7C2444D9"/>
    <w:rsid w:val="7C245428"/>
    <w:rsid w:val="7C84221C"/>
    <w:rsid w:val="7CBD3D2D"/>
    <w:rsid w:val="7D4D76F4"/>
    <w:rsid w:val="7D4F27FE"/>
    <w:rsid w:val="7D622E77"/>
    <w:rsid w:val="7D7B794B"/>
    <w:rsid w:val="7DAA593D"/>
    <w:rsid w:val="7E31470B"/>
    <w:rsid w:val="7E7F12AA"/>
    <w:rsid w:val="7E855F74"/>
    <w:rsid w:val="7EE83F7D"/>
    <w:rsid w:val="7F54436E"/>
    <w:rsid w:val="7F8B20DB"/>
    <w:rsid w:val="7FF8516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2"/>
      <w:lang w:val="en-US" w:eastAsia="zh-CN" w:bidi="ar-SA"/>
    </w:rPr>
  </w:style>
  <w:style w:type="paragraph" w:styleId="7">
    <w:name w:val="heading 1"/>
    <w:basedOn w:val="1"/>
    <w:next w:val="1"/>
    <w:autoRedefine/>
    <w:qFormat/>
    <w:uiPriority w:val="0"/>
    <w:pPr>
      <w:spacing w:beforeAutospacing="1" w:afterAutospacing="1"/>
      <w:jc w:val="center"/>
      <w:outlineLvl w:val="0"/>
    </w:pPr>
    <w:rPr>
      <w:rFonts w:hint="eastAsia" w:ascii="宋体" w:hAnsi="宋体" w:eastAsia="方正小标宋简体"/>
      <w:kern w:val="44"/>
      <w:sz w:val="44"/>
      <w:szCs w:val="48"/>
    </w:rPr>
  </w:style>
  <w:style w:type="paragraph" w:styleId="8">
    <w:name w:val="heading 2"/>
    <w:basedOn w:val="1"/>
    <w:next w:val="1"/>
    <w:link w:val="34"/>
    <w:semiHidden/>
    <w:unhideWhenUsed/>
    <w:qFormat/>
    <w:uiPriority w:val="0"/>
    <w:pPr>
      <w:keepNext/>
      <w:keepLines/>
      <w:spacing w:before="260" w:after="260" w:line="413" w:lineRule="auto"/>
      <w:jc w:val="left"/>
      <w:outlineLvl w:val="1"/>
    </w:pPr>
    <w:rPr>
      <w:rFonts w:ascii="Times New Roman" w:hAnsi="Times New Roman" w:eastAsia="楷体_GB2312"/>
      <w:b/>
      <w:sz w:val="32"/>
    </w:rPr>
  </w:style>
  <w:style w:type="paragraph" w:styleId="9">
    <w:name w:val="heading 3"/>
    <w:basedOn w:val="1"/>
    <w:next w:val="1"/>
    <w:autoRedefine/>
    <w:semiHidden/>
    <w:unhideWhenUsed/>
    <w:qFormat/>
    <w:uiPriority w:val="0"/>
    <w:pPr>
      <w:keepNext/>
      <w:keepLines/>
      <w:spacing w:before="260" w:after="260" w:line="413" w:lineRule="auto"/>
      <w:jc w:val="left"/>
      <w:outlineLvl w:val="2"/>
    </w:pPr>
    <w:rPr>
      <w:rFonts w:ascii="Times New Roman" w:hAnsi="Times New Roman" w:eastAsia="仿宋_GB2312"/>
      <w:b/>
      <w:sz w:val="30"/>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autoRedefine/>
    <w:qFormat/>
    <w:uiPriority w:val="0"/>
    <w:pPr>
      <w:ind w:firstLine="420" w:firstLineChars="200"/>
    </w:pPr>
  </w:style>
  <w:style w:type="paragraph" w:styleId="3">
    <w:name w:val="Body Text Indent"/>
    <w:basedOn w:val="1"/>
    <w:next w:val="4"/>
    <w:autoRedefine/>
    <w:qFormat/>
    <w:uiPriority w:val="0"/>
    <w:pPr>
      <w:ind w:firstLine="620"/>
    </w:pPr>
    <w:rPr>
      <w:szCs w:val="24"/>
    </w:rPr>
  </w:style>
  <w:style w:type="paragraph" w:styleId="4">
    <w:name w:val="Body Text First Indent"/>
    <w:basedOn w:val="5"/>
    <w:next w:val="1"/>
    <w:autoRedefine/>
    <w:qFormat/>
    <w:uiPriority w:val="0"/>
    <w:pPr>
      <w:ind w:firstLine="420" w:firstLineChars="100"/>
    </w:pPr>
    <w:rPr>
      <w:szCs w:val="21"/>
    </w:rPr>
  </w:style>
  <w:style w:type="paragraph" w:styleId="5">
    <w:name w:val="Body Text"/>
    <w:basedOn w:val="1"/>
    <w:next w:val="6"/>
    <w:autoRedefine/>
    <w:qFormat/>
    <w:uiPriority w:val="1"/>
    <w:pPr>
      <w:ind w:left="117"/>
    </w:pPr>
    <w:rPr>
      <w:rFonts w:ascii="仿宋_GB2312" w:hAnsi="仿宋_GB2312" w:eastAsia="仿宋_GB2312" w:cs="仿宋_GB2312"/>
      <w:sz w:val="28"/>
      <w:szCs w:val="28"/>
      <w:lang w:val="zh-CN" w:bidi="zh-CN"/>
    </w:rPr>
  </w:style>
  <w:style w:type="paragraph" w:styleId="6">
    <w:name w:val="Date"/>
    <w:basedOn w:val="1"/>
    <w:next w:val="1"/>
    <w:autoRedefine/>
    <w:semiHidden/>
    <w:qFormat/>
    <w:uiPriority w:val="99"/>
    <w:pPr>
      <w:ind w:left="100" w:leftChars="2500"/>
    </w:pPr>
  </w:style>
  <w:style w:type="paragraph" w:styleId="10">
    <w:name w:val="Document Map"/>
    <w:basedOn w:val="1"/>
    <w:link w:val="45"/>
    <w:autoRedefine/>
    <w:qFormat/>
    <w:uiPriority w:val="0"/>
    <w:rPr>
      <w:rFonts w:ascii="宋体"/>
      <w:sz w:val="18"/>
      <w:szCs w:val="18"/>
    </w:rPr>
  </w:style>
  <w:style w:type="paragraph" w:styleId="11">
    <w:name w:val="toc 3"/>
    <w:basedOn w:val="1"/>
    <w:next w:val="1"/>
    <w:qFormat/>
    <w:uiPriority w:val="0"/>
    <w:pPr>
      <w:ind w:left="840" w:leftChars="400"/>
    </w:pPr>
  </w:style>
  <w:style w:type="paragraph" w:styleId="12">
    <w:name w:val="Plain Text"/>
    <w:basedOn w:val="1"/>
    <w:autoRedefine/>
    <w:qFormat/>
    <w:uiPriority w:val="0"/>
    <w:rPr>
      <w:rFonts w:ascii="宋体" w:hAnsi="Courier New"/>
    </w:rPr>
  </w:style>
  <w:style w:type="paragraph" w:styleId="13">
    <w:name w:val="Balloon Text"/>
    <w:basedOn w:val="1"/>
    <w:link w:val="44"/>
    <w:autoRedefine/>
    <w:qFormat/>
    <w:uiPriority w:val="0"/>
    <w:rPr>
      <w:sz w:val="18"/>
      <w:szCs w:val="18"/>
    </w:rPr>
  </w:style>
  <w:style w:type="paragraph" w:styleId="14">
    <w:name w:val="footer"/>
    <w:basedOn w:val="1"/>
    <w:autoRedefine/>
    <w:unhideWhenUsed/>
    <w:qFormat/>
    <w:uiPriority w:val="99"/>
    <w:pPr>
      <w:tabs>
        <w:tab w:val="center" w:pos="4153"/>
        <w:tab w:val="right" w:pos="8306"/>
      </w:tabs>
      <w:snapToGrid w:val="0"/>
      <w:jc w:val="left"/>
    </w:pPr>
    <w:rPr>
      <w:sz w:val="18"/>
      <w:szCs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autoRedefine/>
    <w:unhideWhenUsed/>
    <w:qFormat/>
    <w:uiPriority w:val="39"/>
  </w:style>
  <w:style w:type="paragraph" w:styleId="17">
    <w:name w:val="toc 2"/>
    <w:basedOn w:val="1"/>
    <w:next w:val="1"/>
    <w:unhideWhenUsed/>
    <w:qFormat/>
    <w:uiPriority w:val="39"/>
    <w:pPr>
      <w:ind w:left="420" w:leftChars="200"/>
    </w:pPr>
  </w:style>
  <w:style w:type="paragraph" w:styleId="18">
    <w:name w:val="Normal (Web)"/>
    <w:basedOn w:val="1"/>
    <w:qFormat/>
    <w:uiPriority w:val="0"/>
    <w:pPr>
      <w:spacing w:beforeAutospacing="1" w:afterAutospacing="1"/>
      <w:jc w:val="left"/>
    </w:pPr>
    <w:rPr>
      <w:kern w:val="0"/>
      <w:sz w:val="24"/>
    </w:rPr>
  </w:style>
  <w:style w:type="table" w:styleId="20">
    <w:name w:val="Table Grid"/>
    <w:basedOn w:val="19"/>
    <w:autoRedefine/>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22">
    <w:name w:val="Strong"/>
    <w:basedOn w:val="21"/>
    <w:qFormat/>
    <w:uiPriority w:val="0"/>
    <w:rPr>
      <w:b/>
    </w:rPr>
  </w:style>
  <w:style w:type="character" w:styleId="23">
    <w:name w:val="Emphasis"/>
    <w:basedOn w:val="21"/>
    <w:autoRedefine/>
    <w:qFormat/>
    <w:uiPriority w:val="0"/>
    <w:rPr>
      <w:i/>
    </w:rPr>
  </w:style>
  <w:style w:type="character" w:styleId="24">
    <w:name w:val="Hyperlink"/>
    <w:autoRedefine/>
    <w:unhideWhenUsed/>
    <w:qFormat/>
    <w:uiPriority w:val="99"/>
    <w:rPr>
      <w:rFonts w:cs="Times New Roman"/>
      <w:color w:val="0563C1"/>
      <w:u w:val="single"/>
    </w:rPr>
  </w:style>
  <w:style w:type="paragraph" w:styleId="25">
    <w:name w:val="No Spacing"/>
    <w:qFormat/>
    <w:uiPriority w:val="0"/>
    <w:pPr>
      <w:adjustRightInd w:val="0"/>
      <w:snapToGrid w:val="0"/>
      <w:spacing w:line="600" w:lineRule="exact"/>
    </w:pPr>
    <w:rPr>
      <w:rFonts w:ascii="Tahoma" w:hAnsi="Tahoma" w:eastAsia="仿宋" w:cs="Times New Roman"/>
      <w:sz w:val="32"/>
      <w:szCs w:val="22"/>
      <w:lang w:val="en-US" w:eastAsia="zh-CN" w:bidi="ar-SA"/>
    </w:rPr>
  </w:style>
  <w:style w:type="character" w:customStyle="1" w:styleId="26">
    <w:name w:val="font71"/>
    <w:qFormat/>
    <w:uiPriority w:val="0"/>
    <w:rPr>
      <w:rFonts w:hint="default" w:ascii="仿宋_GB2312" w:eastAsia="仿宋_GB2312" w:cs="仿宋_GB2312"/>
      <w:b/>
      <w:color w:val="000000"/>
      <w:sz w:val="21"/>
      <w:szCs w:val="21"/>
      <w:u w:val="none"/>
    </w:rPr>
  </w:style>
  <w:style w:type="character" w:customStyle="1" w:styleId="27">
    <w:name w:val="font51"/>
    <w:autoRedefine/>
    <w:qFormat/>
    <w:uiPriority w:val="0"/>
    <w:rPr>
      <w:rFonts w:hint="default" w:ascii="Times New Roman" w:hAnsi="Times New Roman" w:cs="Times New Roman"/>
      <w:color w:val="000000"/>
      <w:sz w:val="21"/>
      <w:szCs w:val="21"/>
      <w:u w:val="none"/>
      <w:vertAlign w:val="subscript"/>
    </w:rPr>
  </w:style>
  <w:style w:type="character" w:customStyle="1" w:styleId="28">
    <w:name w:val="font11"/>
    <w:qFormat/>
    <w:uiPriority w:val="0"/>
    <w:rPr>
      <w:rFonts w:hint="default" w:ascii="仿宋_GB2312" w:eastAsia="仿宋_GB2312" w:cs="仿宋_GB2312"/>
      <w:color w:val="000000"/>
      <w:sz w:val="21"/>
      <w:szCs w:val="21"/>
      <w:u w:val="none"/>
    </w:rPr>
  </w:style>
  <w:style w:type="character" w:customStyle="1" w:styleId="29">
    <w:name w:val="font21"/>
    <w:autoRedefine/>
    <w:qFormat/>
    <w:uiPriority w:val="0"/>
    <w:rPr>
      <w:rFonts w:hint="default" w:ascii="Times New Roman" w:hAnsi="Times New Roman" w:cs="Times New Roman"/>
      <w:color w:val="000000"/>
      <w:sz w:val="21"/>
      <w:szCs w:val="21"/>
      <w:u w:val="none"/>
    </w:rPr>
  </w:style>
  <w:style w:type="character" w:customStyle="1" w:styleId="30">
    <w:name w:val="font41"/>
    <w:autoRedefine/>
    <w:qFormat/>
    <w:uiPriority w:val="0"/>
    <w:rPr>
      <w:rFonts w:hint="default" w:ascii="Times New Roman" w:hAnsi="Times New Roman" w:cs="Times New Roman"/>
      <w:color w:val="000000"/>
      <w:sz w:val="21"/>
      <w:szCs w:val="21"/>
      <w:u w:val="none"/>
    </w:rPr>
  </w:style>
  <w:style w:type="character" w:customStyle="1" w:styleId="31">
    <w:name w:val="fontstyle01"/>
    <w:basedOn w:val="21"/>
    <w:autoRedefine/>
    <w:qFormat/>
    <w:uiPriority w:val="0"/>
    <w:rPr>
      <w:rFonts w:ascii="仿宋" w:hAnsi="仿宋" w:eastAsia="仿宋" w:cs="仿宋"/>
      <w:color w:val="000000"/>
      <w:sz w:val="28"/>
      <w:szCs w:val="28"/>
    </w:rPr>
  </w:style>
  <w:style w:type="character" w:customStyle="1" w:styleId="32">
    <w:name w:val="fontstyle21"/>
    <w:basedOn w:val="21"/>
    <w:qFormat/>
    <w:uiPriority w:val="0"/>
    <w:rPr>
      <w:rFonts w:ascii="TimesNewRomanPSMT" w:hAnsi="TimesNewRomanPSMT" w:eastAsia="TimesNewRomanPSMT" w:cs="TimesNewRomanPSMT"/>
      <w:color w:val="000000"/>
      <w:sz w:val="28"/>
      <w:szCs w:val="28"/>
    </w:rPr>
  </w:style>
  <w:style w:type="character" w:customStyle="1" w:styleId="33">
    <w:name w:val="fontstyle11"/>
    <w:basedOn w:val="21"/>
    <w:autoRedefine/>
    <w:qFormat/>
    <w:uiPriority w:val="0"/>
    <w:rPr>
      <w:rFonts w:ascii="TimesNewRomanPSMT" w:hAnsi="TimesNewRomanPSMT" w:eastAsia="TimesNewRomanPSMT" w:cs="TimesNewRomanPSMT"/>
      <w:color w:val="000000"/>
      <w:sz w:val="28"/>
      <w:szCs w:val="28"/>
    </w:rPr>
  </w:style>
  <w:style w:type="character" w:customStyle="1" w:styleId="34">
    <w:name w:val="标题 2 Char"/>
    <w:basedOn w:val="21"/>
    <w:link w:val="8"/>
    <w:qFormat/>
    <w:uiPriority w:val="9"/>
    <w:rPr>
      <w:rFonts w:ascii="Times New Roman" w:hAnsi="Times New Roman" w:eastAsia="楷体_GB2312"/>
      <w:b/>
      <w:sz w:val="32"/>
    </w:rPr>
  </w:style>
  <w:style w:type="paragraph" w:customStyle="1" w:styleId="35">
    <w:name w:val="ZW"/>
    <w:basedOn w:val="1"/>
    <w:qFormat/>
    <w:uiPriority w:val="0"/>
    <w:pPr>
      <w:ind w:firstLine="200" w:firstLineChars="200"/>
      <w:jc w:val="left"/>
    </w:pPr>
    <w:rPr>
      <w:rFonts w:ascii="仿宋_GB2312"/>
      <w:szCs w:val="28"/>
    </w:rPr>
  </w:style>
  <w:style w:type="paragraph" w:customStyle="1" w:styleId="36">
    <w:name w:val="4级标题"/>
    <w:next w:val="1"/>
    <w:autoRedefine/>
    <w:qFormat/>
    <w:uiPriority w:val="0"/>
    <w:pPr>
      <w:numPr>
        <w:ilvl w:val="3"/>
        <w:numId w:val="1"/>
      </w:numPr>
      <w:tabs>
        <w:tab w:val="left" w:pos="0"/>
      </w:tabs>
      <w:spacing w:line="360" w:lineRule="auto"/>
      <w:outlineLvl w:val="3"/>
    </w:pPr>
    <w:rPr>
      <w:rFonts w:ascii="Calibri" w:hAnsi="Calibri" w:eastAsia="Times New Roman" w:cs="Times New Roman"/>
      <w:b/>
      <w:kern w:val="2"/>
      <w:sz w:val="24"/>
      <w:lang w:val="en-US" w:eastAsia="zh-CN" w:bidi="ar-SA"/>
    </w:rPr>
  </w:style>
  <w:style w:type="character" w:customStyle="1" w:styleId="37">
    <w:name w:val="标题 3 Char1"/>
    <w:autoRedefine/>
    <w:qFormat/>
    <w:uiPriority w:val="0"/>
    <w:rPr>
      <w:rFonts w:ascii="Times New Roman" w:hAnsi="Times New Roman"/>
      <w:b/>
      <w:bCs/>
      <w:sz w:val="30"/>
      <w:szCs w:val="30"/>
      <w:lang w:val="zh-CN"/>
    </w:rPr>
  </w:style>
  <w:style w:type="paragraph" w:styleId="38">
    <w:name w:val="List Paragraph"/>
    <w:basedOn w:val="1"/>
    <w:qFormat/>
    <w:uiPriority w:val="99"/>
    <w:pPr>
      <w:ind w:firstLine="420" w:firstLineChars="200"/>
    </w:pPr>
  </w:style>
  <w:style w:type="paragraph" w:customStyle="1" w:styleId="39">
    <w:name w:val="Table Paragraph"/>
    <w:basedOn w:val="1"/>
    <w:autoRedefine/>
    <w:qFormat/>
    <w:uiPriority w:val="1"/>
    <w:rPr>
      <w:rFonts w:ascii="宋体" w:hAnsi="宋体" w:cs="宋体"/>
      <w:lang w:val="zh-CN" w:bidi="zh-CN"/>
    </w:rPr>
  </w:style>
  <w:style w:type="paragraph" w:customStyle="1" w:styleId="40">
    <w:name w:val="WPSOffice手动目录 1"/>
    <w:autoRedefine/>
    <w:qFormat/>
    <w:uiPriority w:val="0"/>
    <w:rPr>
      <w:rFonts w:ascii="Times New Roman" w:hAnsi="Times New Roman" w:eastAsia="宋体" w:cs="Times New Roman"/>
      <w:lang w:val="en-US" w:eastAsia="zh-CN" w:bidi="ar-SA"/>
    </w:rPr>
  </w:style>
  <w:style w:type="paragraph" w:customStyle="1" w:styleId="41">
    <w:name w:val="WPSOffice手动目录 2"/>
    <w:autoRedefine/>
    <w:qFormat/>
    <w:uiPriority w:val="0"/>
    <w:pPr>
      <w:ind w:left="200" w:leftChars="200"/>
    </w:pPr>
    <w:rPr>
      <w:rFonts w:ascii="Times New Roman" w:hAnsi="Times New Roman" w:eastAsia="宋体" w:cs="Times New Roman"/>
      <w:lang w:val="en-US" w:eastAsia="zh-CN" w:bidi="ar-SA"/>
    </w:rPr>
  </w:style>
  <w:style w:type="paragraph" w:customStyle="1" w:styleId="42">
    <w:name w:val="WPSOffice手动目录 3"/>
    <w:autoRedefine/>
    <w:qFormat/>
    <w:uiPriority w:val="0"/>
    <w:pPr>
      <w:ind w:left="400" w:leftChars="400"/>
    </w:pPr>
    <w:rPr>
      <w:rFonts w:ascii="Times New Roman" w:hAnsi="Times New Roman" w:eastAsia="宋体" w:cs="Times New Roman"/>
      <w:lang w:val="en-US" w:eastAsia="zh-CN" w:bidi="ar-SA"/>
    </w:rPr>
  </w:style>
  <w:style w:type="character" w:customStyle="1" w:styleId="43">
    <w:name w:val="font01"/>
    <w:basedOn w:val="21"/>
    <w:autoRedefine/>
    <w:qFormat/>
    <w:uiPriority w:val="0"/>
    <w:rPr>
      <w:rFonts w:hint="eastAsia" w:ascii="宋体" w:hAnsi="宋体" w:eastAsia="宋体" w:cs="宋体"/>
      <w:color w:val="000000"/>
      <w:sz w:val="20"/>
      <w:szCs w:val="20"/>
      <w:u w:val="none"/>
    </w:rPr>
  </w:style>
  <w:style w:type="character" w:customStyle="1" w:styleId="44">
    <w:name w:val="批注框文本 Char"/>
    <w:basedOn w:val="21"/>
    <w:link w:val="13"/>
    <w:qFormat/>
    <w:uiPriority w:val="0"/>
    <w:rPr>
      <w:rFonts w:ascii="Calibri" w:hAnsi="Calibri"/>
      <w:kern w:val="2"/>
      <w:sz w:val="18"/>
      <w:szCs w:val="18"/>
    </w:rPr>
  </w:style>
  <w:style w:type="character" w:customStyle="1" w:styleId="45">
    <w:name w:val="文档结构图 Char"/>
    <w:basedOn w:val="21"/>
    <w:link w:val="10"/>
    <w:autoRedefine/>
    <w:qFormat/>
    <w:uiPriority w:val="0"/>
    <w:rPr>
      <w:rFonts w:ascii="宋体" w:hAnsi="Calibr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4097"/>
    <customShpInfo spid="_x0000_s4098"/>
    <customShpInfo spid="_x0000_s4099"/>
    <customShpInfo spid="_x0000_s4100"/>
    <customShpInfo spid="_x0000_s4101"/>
    <customShpInfo spid="_x0000_s4102"/>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DDF8B52-FED3-44EC-87E7-74FD5E436416}">
  <ds:schemaRefs/>
</ds:datastoreItem>
</file>

<file path=docProps/app.xml><?xml version="1.0" encoding="utf-8"?>
<Properties xmlns="http://schemas.openxmlformats.org/officeDocument/2006/extended-properties" xmlns:vt="http://schemas.openxmlformats.org/officeDocument/2006/docPropsVTypes">
  <Template>Normal.dotm</Template>
  <Pages>84</Pages>
  <Words>48493</Words>
  <Characters>50162</Characters>
  <Lines>398</Lines>
  <Paragraphs>112</Paragraphs>
  <TotalTime>3</TotalTime>
  <ScaleCrop>false</ScaleCrop>
  <LinksUpToDate>false</LinksUpToDate>
  <CharactersWithSpaces>50562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2021-03-10T03:03:00Z</dcterms:created>
  <dc:creator>15588818880</dc:creator>
  <cp:lastModifiedBy>李宗达</cp:lastModifiedBy>
  <dcterms:modified xsi:type="dcterms:W3CDTF">2025-01-17T03:14:07Z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156579BD114243108EAFA52220C3A8B5</vt:lpwstr>
  </property>
  <property fmtid="{D5CDD505-2E9C-101B-9397-08002B2CF9AE}" pid="4" name="KSOSaveFontToCloudKey">
    <vt:lpwstr>0_btnclosed</vt:lpwstr>
  </property>
</Properties>
</file>