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36"/>
          <w:szCs w:val="36"/>
          <w:lang w:val="en-US" w:eastAsia="zh-CN"/>
        </w:rPr>
      </w:pPr>
      <w:r>
        <w:rPr>
          <w:rFonts w:hint="eastAsia" w:ascii="方正小标宋简体" w:hAnsi="方正小标宋简体" w:eastAsia="方正小标宋简体" w:cs="方正小标宋简体"/>
          <w:sz w:val="36"/>
          <w:szCs w:val="36"/>
          <w:lang w:val="en-US" w:eastAsia="zh-CN"/>
        </w:rPr>
        <w:t>荣成市文旅局随机抽查事项清单</w:t>
      </w:r>
    </w:p>
    <w:p>
      <w:pPr>
        <w:rPr>
          <w:rFonts w:hint="eastAsia"/>
        </w:rPr>
      </w:pPr>
    </w:p>
    <w:tbl>
      <w:tblPr>
        <w:tblStyle w:val="5"/>
        <w:tblW w:w="470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208"/>
        <w:gridCol w:w="1976"/>
        <w:gridCol w:w="596"/>
        <w:gridCol w:w="387"/>
        <w:gridCol w:w="433"/>
        <w:gridCol w:w="3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0" w:hRule="atLeast"/>
          <w:jc w:val="center"/>
        </w:trPr>
        <w:tc>
          <w:tcPr>
            <w:tcW w:w="2634" w:type="pct"/>
            <w:shd w:val="clear" w:color="auto" w:fill="FFFFFF"/>
            <w:tcMar>
              <w:top w:w="0" w:type="dxa"/>
              <w:left w:w="88" w:type="dxa"/>
              <w:bottom w:w="0" w:type="dxa"/>
              <w:right w:w="88" w:type="dxa"/>
            </w:tcMar>
            <w:vAlign w:val="bottom"/>
          </w:tcPr>
          <w:p>
            <w:pPr>
              <w:jc w:val="both"/>
              <w:rPr>
                <w:b/>
              </w:rPr>
            </w:pPr>
            <w:r>
              <w:rPr>
                <w:b/>
              </w:rPr>
              <w:t>抽查事项</w:t>
            </w:r>
          </w:p>
          <w:p>
            <w:pPr>
              <w:jc w:val="both"/>
              <w:rPr>
                <w:b/>
              </w:rPr>
            </w:pPr>
          </w:p>
        </w:tc>
        <w:tc>
          <w:tcPr>
            <w:tcW w:w="1237" w:type="pct"/>
            <w:shd w:val="clear" w:color="auto" w:fill="FFFFFF"/>
            <w:tcMar>
              <w:top w:w="0" w:type="dxa"/>
              <w:left w:w="88" w:type="dxa"/>
              <w:bottom w:w="0" w:type="dxa"/>
              <w:right w:w="88" w:type="dxa"/>
            </w:tcMar>
            <w:vAlign w:val="center"/>
          </w:tcPr>
          <w:p>
            <w:pPr>
              <w:jc w:val="center"/>
              <w:rPr>
                <w:b/>
              </w:rPr>
            </w:pPr>
          </w:p>
          <w:p>
            <w:pPr>
              <w:jc w:val="center"/>
              <w:rPr>
                <w:b/>
              </w:rPr>
            </w:pPr>
            <w:bookmarkStart w:id="0" w:name="_GoBack"/>
            <w:bookmarkEnd w:id="0"/>
            <w:r>
              <w:rPr>
                <w:b/>
              </w:rPr>
              <w:t>抽查依据</w:t>
            </w:r>
          </w:p>
        </w:tc>
        <w:tc>
          <w:tcPr>
            <w:tcW w:w="373" w:type="pct"/>
            <w:shd w:val="clear" w:color="auto" w:fill="FFFFFF"/>
            <w:tcMar>
              <w:top w:w="0" w:type="dxa"/>
              <w:left w:w="88" w:type="dxa"/>
              <w:bottom w:w="0" w:type="dxa"/>
              <w:right w:w="88" w:type="dxa"/>
            </w:tcMar>
            <w:vAlign w:val="center"/>
          </w:tcPr>
          <w:p>
            <w:pPr>
              <w:rPr>
                <w:b/>
              </w:rPr>
            </w:pPr>
            <w:r>
              <w:rPr>
                <w:b/>
              </w:rPr>
              <w:t>抽查对象</w:t>
            </w:r>
          </w:p>
        </w:tc>
        <w:tc>
          <w:tcPr>
            <w:tcW w:w="242" w:type="pct"/>
            <w:shd w:val="clear" w:color="auto" w:fill="FFFFFF"/>
            <w:tcMar>
              <w:top w:w="0" w:type="dxa"/>
              <w:left w:w="88" w:type="dxa"/>
              <w:bottom w:w="0" w:type="dxa"/>
              <w:right w:w="88" w:type="dxa"/>
            </w:tcMar>
            <w:vAlign w:val="center"/>
          </w:tcPr>
          <w:p>
            <w:pPr>
              <w:rPr>
                <w:b/>
              </w:rPr>
            </w:pPr>
            <w:r>
              <w:rPr>
                <w:b/>
              </w:rPr>
              <w:t>抽查方式</w:t>
            </w:r>
          </w:p>
        </w:tc>
        <w:tc>
          <w:tcPr>
            <w:tcW w:w="271" w:type="pct"/>
            <w:shd w:val="clear" w:color="auto" w:fill="FFFFFF"/>
            <w:tcMar>
              <w:top w:w="0" w:type="dxa"/>
              <w:left w:w="88" w:type="dxa"/>
              <w:bottom w:w="0" w:type="dxa"/>
              <w:right w:w="88" w:type="dxa"/>
            </w:tcMar>
            <w:vAlign w:val="center"/>
          </w:tcPr>
          <w:p>
            <w:pPr>
              <w:rPr>
                <w:b/>
              </w:rPr>
            </w:pPr>
            <w:r>
              <w:rPr>
                <w:b/>
              </w:rPr>
              <w:t>抽查比例</w:t>
            </w:r>
          </w:p>
        </w:tc>
        <w:tc>
          <w:tcPr>
            <w:tcW w:w="242" w:type="pct"/>
            <w:shd w:val="clear" w:color="auto" w:fill="FFFFFF"/>
            <w:tcMar>
              <w:top w:w="0" w:type="dxa"/>
              <w:left w:w="88" w:type="dxa"/>
              <w:bottom w:w="0" w:type="dxa"/>
              <w:right w:w="88" w:type="dxa"/>
            </w:tcMar>
            <w:vAlign w:val="center"/>
          </w:tcPr>
          <w:p>
            <w:pPr>
              <w:rPr>
                <w:b/>
              </w:rPr>
            </w:pPr>
            <w:r>
              <w:rPr>
                <w:b/>
              </w:rPr>
              <w:t>抽查频次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14" w:hRule="atLeast"/>
          <w:jc w:val="center"/>
        </w:trPr>
        <w:tc>
          <w:tcPr>
            <w:tcW w:w="2634" w:type="pct"/>
            <w:shd w:val="clear" w:color="auto" w:fill="FFFFFF"/>
            <w:tcMar>
              <w:top w:w="0" w:type="dxa"/>
              <w:left w:w="88" w:type="dxa"/>
              <w:bottom w:w="0" w:type="dxa"/>
              <w:right w:w="88" w:type="dxa"/>
            </w:tcMar>
            <w:vAlign w:val="center"/>
          </w:tcPr>
          <w:p>
            <w:pPr>
              <w:jc w:val="left"/>
            </w:pPr>
            <w:r>
              <w:t>对未经批准，擅自设立音像制品出版、制作、复制、进口、批发、零售单位，擅自从事音像制品出版、制作、复制业务或者进口、批发、零售经营活动的</w:t>
            </w:r>
          </w:p>
        </w:tc>
        <w:tc>
          <w:tcPr>
            <w:tcW w:w="1237" w:type="pct"/>
            <w:shd w:val="clear" w:color="auto" w:fill="FFFFFF"/>
            <w:tcMar>
              <w:top w:w="0" w:type="dxa"/>
              <w:left w:w="88" w:type="dxa"/>
              <w:bottom w:w="0" w:type="dxa"/>
              <w:right w:w="88" w:type="dxa"/>
            </w:tcMar>
            <w:vAlign w:val="center"/>
          </w:tcPr>
          <w:p>
            <w:r>
              <w:t>《音像制品管理条例》</w:t>
            </w:r>
          </w:p>
        </w:tc>
        <w:tc>
          <w:tcPr>
            <w:tcW w:w="373" w:type="pct"/>
            <w:shd w:val="clear" w:color="auto" w:fill="FFFFFF"/>
            <w:tcMar>
              <w:top w:w="0" w:type="dxa"/>
              <w:left w:w="88" w:type="dxa"/>
              <w:bottom w:w="0" w:type="dxa"/>
              <w:right w:w="88" w:type="dxa"/>
            </w:tcMar>
            <w:vAlign w:val="center"/>
          </w:tcPr>
          <w:p>
            <w:r>
              <w:t>企业法人、自然人</w:t>
            </w:r>
          </w:p>
        </w:tc>
        <w:tc>
          <w:tcPr>
            <w:tcW w:w="242" w:type="pct"/>
            <w:shd w:val="clear" w:color="auto" w:fill="FFFFFF"/>
            <w:tcMar>
              <w:top w:w="0" w:type="dxa"/>
              <w:left w:w="88" w:type="dxa"/>
              <w:bottom w:w="0" w:type="dxa"/>
              <w:right w:w="88" w:type="dxa"/>
            </w:tcMar>
            <w:vAlign w:val="center"/>
          </w:tcPr>
          <w:p>
            <w:r>
              <w:t>现场检查</w:t>
            </w:r>
          </w:p>
        </w:tc>
        <w:tc>
          <w:tcPr>
            <w:tcW w:w="271" w:type="pct"/>
            <w:shd w:val="clear" w:color="auto" w:fill="FFFFFF"/>
            <w:tcMar>
              <w:top w:w="0" w:type="dxa"/>
              <w:left w:w="88" w:type="dxa"/>
              <w:bottom w:w="0" w:type="dxa"/>
              <w:right w:w="88" w:type="dxa"/>
            </w:tcMar>
            <w:vAlign w:val="center"/>
          </w:tcPr>
          <w:p>
            <w:r>
              <w:t>3%</w:t>
            </w:r>
          </w:p>
        </w:tc>
        <w:tc>
          <w:tcPr>
            <w:tcW w:w="242" w:type="pct"/>
            <w:shd w:val="clear" w:color="auto" w:fill="FFFFFF"/>
            <w:tcMar>
              <w:top w:w="0" w:type="dxa"/>
              <w:left w:w="88" w:type="dxa"/>
              <w:bottom w:w="0" w:type="dxa"/>
              <w:right w:w="88" w:type="dxa"/>
            </w:tcMar>
            <w:vAlign w:val="center"/>
          </w:tcPr>
          <w:p>
            <w:r>
              <w:t>一年</w:t>
            </w:r>
            <w:r>
              <w:rPr>
                <w:rFonts w:hint="eastAsia"/>
              </w:rPr>
              <w:t>1</w:t>
            </w:r>
            <w:r>
              <w:t>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9" w:hRule="atLeast"/>
          <w:jc w:val="center"/>
        </w:trPr>
        <w:tc>
          <w:tcPr>
            <w:tcW w:w="2634" w:type="pct"/>
            <w:shd w:val="clear" w:color="auto" w:fill="FFFFFF"/>
            <w:tcMar>
              <w:top w:w="0" w:type="dxa"/>
              <w:left w:w="88" w:type="dxa"/>
              <w:bottom w:w="0" w:type="dxa"/>
              <w:right w:w="88" w:type="dxa"/>
            </w:tcMar>
            <w:vAlign w:val="center"/>
          </w:tcPr>
          <w:p>
            <w:pPr>
              <w:jc w:val="left"/>
            </w:pPr>
            <w:r>
              <w:t>对互联网上网服务营业场所经营单位涂改、出租、出借或者以其他方式转让《网络文化经营许可证》的</w:t>
            </w:r>
          </w:p>
        </w:tc>
        <w:tc>
          <w:tcPr>
            <w:tcW w:w="1237" w:type="pct"/>
            <w:shd w:val="clear" w:color="auto" w:fill="FFFFFF"/>
            <w:tcMar>
              <w:top w:w="0" w:type="dxa"/>
              <w:left w:w="88" w:type="dxa"/>
              <w:bottom w:w="0" w:type="dxa"/>
              <w:right w:w="88" w:type="dxa"/>
            </w:tcMar>
            <w:vAlign w:val="center"/>
          </w:tcPr>
          <w:p>
            <w:r>
              <w:t>《互联网上网服务营业场所管理条例》</w:t>
            </w:r>
          </w:p>
        </w:tc>
        <w:tc>
          <w:tcPr>
            <w:tcW w:w="373" w:type="pct"/>
            <w:shd w:val="clear" w:color="auto" w:fill="FFFFFF"/>
            <w:tcMar>
              <w:top w:w="0" w:type="dxa"/>
              <w:left w:w="88" w:type="dxa"/>
              <w:bottom w:w="0" w:type="dxa"/>
              <w:right w:w="88" w:type="dxa"/>
            </w:tcMar>
            <w:vAlign w:val="center"/>
          </w:tcPr>
          <w:p>
            <w:r>
              <w:t>企业法人、自然人</w:t>
            </w:r>
          </w:p>
        </w:tc>
        <w:tc>
          <w:tcPr>
            <w:tcW w:w="242" w:type="pct"/>
            <w:shd w:val="clear" w:color="auto" w:fill="FFFFFF"/>
            <w:tcMar>
              <w:top w:w="0" w:type="dxa"/>
              <w:left w:w="88" w:type="dxa"/>
              <w:bottom w:w="0" w:type="dxa"/>
              <w:right w:w="88" w:type="dxa"/>
            </w:tcMar>
            <w:vAlign w:val="center"/>
          </w:tcPr>
          <w:p>
            <w:r>
              <w:t>现场检查</w:t>
            </w:r>
          </w:p>
        </w:tc>
        <w:tc>
          <w:tcPr>
            <w:tcW w:w="271" w:type="pct"/>
            <w:shd w:val="clear" w:color="auto" w:fill="FFFFFF"/>
            <w:tcMar>
              <w:top w:w="0" w:type="dxa"/>
              <w:left w:w="88" w:type="dxa"/>
              <w:bottom w:w="0" w:type="dxa"/>
              <w:right w:w="88" w:type="dxa"/>
            </w:tcMar>
            <w:vAlign w:val="center"/>
          </w:tcPr>
          <w:p>
            <w:r>
              <w:t>3%</w:t>
            </w:r>
          </w:p>
        </w:tc>
        <w:tc>
          <w:tcPr>
            <w:tcW w:w="242" w:type="pct"/>
            <w:shd w:val="clear" w:color="auto" w:fill="FFFFFF"/>
            <w:tcMar>
              <w:top w:w="0" w:type="dxa"/>
              <w:left w:w="88" w:type="dxa"/>
              <w:bottom w:w="0" w:type="dxa"/>
              <w:right w:w="88" w:type="dxa"/>
            </w:tcMar>
            <w:vAlign w:val="center"/>
          </w:tcPr>
          <w:p>
            <w:r>
              <w:t>一年</w:t>
            </w:r>
            <w:r>
              <w:rPr>
                <w:rFonts w:hint="eastAsia"/>
              </w:rPr>
              <w:t>1</w:t>
            </w:r>
            <w:r>
              <w:t>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41" w:hRule="atLeast"/>
          <w:jc w:val="center"/>
        </w:trPr>
        <w:tc>
          <w:tcPr>
            <w:tcW w:w="2634" w:type="pct"/>
            <w:shd w:val="clear" w:color="auto" w:fill="FFFFFF"/>
            <w:tcMar>
              <w:top w:w="0" w:type="dxa"/>
              <w:left w:w="88" w:type="dxa"/>
              <w:bottom w:w="0" w:type="dxa"/>
              <w:right w:w="88" w:type="dxa"/>
            </w:tcMar>
            <w:vAlign w:val="center"/>
          </w:tcPr>
          <w:p>
            <w:pPr>
              <w:numPr>
                <w:ilvl w:val="0"/>
                <w:numId w:val="1"/>
              </w:numPr>
              <w:jc w:val="left"/>
            </w:pPr>
            <w:r>
              <w:t xml:space="preserve">对歌舞娱乐场所的歌曲点播系统与境外的曲库联接的                        </w:t>
            </w:r>
          </w:p>
          <w:p>
            <w:pPr>
              <w:numPr>
                <w:ilvl w:val="0"/>
                <w:numId w:val="1"/>
              </w:numPr>
              <w:ind w:left="0" w:leftChars="0" w:firstLine="0" w:firstLineChars="0"/>
              <w:jc w:val="left"/>
            </w:pPr>
            <w:r>
              <w:t xml:space="preserve">对歌舞娱乐场所播放的曲目、屏幕画面或者游艺娱乐场所电子游戏机内的游戏项目含有禁止内容的                          </w:t>
            </w:r>
          </w:p>
          <w:p>
            <w:pPr>
              <w:numPr>
                <w:ilvl w:val="0"/>
                <w:numId w:val="1"/>
              </w:numPr>
              <w:ind w:left="0" w:leftChars="0" w:firstLine="0" w:firstLineChars="0"/>
              <w:jc w:val="left"/>
            </w:pPr>
            <w:r>
              <w:t xml:space="preserve">对歌舞娱乐场所接纳未成年人的                  </w:t>
            </w:r>
          </w:p>
          <w:p>
            <w:pPr>
              <w:numPr>
                <w:ilvl w:val="0"/>
                <w:numId w:val="1"/>
              </w:numPr>
              <w:ind w:left="0" w:leftChars="0" w:firstLine="0" w:firstLineChars="0"/>
              <w:jc w:val="left"/>
            </w:pPr>
            <w:r>
              <w:t>对游艺娱乐场所设置的电子游戏机在国家法定节假日外向未成年人提供的                                   </w:t>
            </w:r>
          </w:p>
          <w:p>
            <w:pPr>
              <w:numPr>
                <w:numId w:val="0"/>
              </w:numPr>
              <w:ind w:leftChars="0"/>
              <w:jc w:val="left"/>
            </w:pPr>
            <w:r>
              <w:t>（5）对娱乐场所容纳的消费者超过核定人数的</w:t>
            </w:r>
          </w:p>
        </w:tc>
        <w:tc>
          <w:tcPr>
            <w:tcW w:w="1237" w:type="pct"/>
            <w:shd w:val="clear" w:color="auto" w:fill="FFFFFF"/>
            <w:tcMar>
              <w:top w:w="0" w:type="dxa"/>
              <w:left w:w="88" w:type="dxa"/>
              <w:bottom w:w="0" w:type="dxa"/>
              <w:right w:w="88" w:type="dxa"/>
            </w:tcMar>
            <w:vAlign w:val="center"/>
          </w:tcPr>
          <w:p>
            <w:r>
              <w:t>《娱乐场所管理条例》</w:t>
            </w:r>
          </w:p>
        </w:tc>
        <w:tc>
          <w:tcPr>
            <w:tcW w:w="373" w:type="pct"/>
            <w:shd w:val="clear" w:color="auto" w:fill="FFFFFF"/>
            <w:tcMar>
              <w:top w:w="0" w:type="dxa"/>
              <w:left w:w="88" w:type="dxa"/>
              <w:bottom w:w="0" w:type="dxa"/>
              <w:right w:w="88" w:type="dxa"/>
            </w:tcMar>
            <w:vAlign w:val="center"/>
          </w:tcPr>
          <w:p>
            <w:r>
              <w:t>企业法人、自然人</w:t>
            </w:r>
          </w:p>
        </w:tc>
        <w:tc>
          <w:tcPr>
            <w:tcW w:w="242" w:type="pct"/>
            <w:shd w:val="clear" w:color="auto" w:fill="FFFFFF"/>
            <w:tcMar>
              <w:top w:w="0" w:type="dxa"/>
              <w:left w:w="88" w:type="dxa"/>
              <w:bottom w:w="0" w:type="dxa"/>
              <w:right w:w="88" w:type="dxa"/>
            </w:tcMar>
            <w:vAlign w:val="center"/>
          </w:tcPr>
          <w:p>
            <w:r>
              <w:t>现场检查</w:t>
            </w:r>
          </w:p>
        </w:tc>
        <w:tc>
          <w:tcPr>
            <w:tcW w:w="271" w:type="pct"/>
            <w:shd w:val="clear" w:color="auto" w:fill="FFFFFF"/>
            <w:tcMar>
              <w:top w:w="0" w:type="dxa"/>
              <w:left w:w="88" w:type="dxa"/>
              <w:bottom w:w="0" w:type="dxa"/>
              <w:right w:w="88" w:type="dxa"/>
            </w:tcMar>
            <w:vAlign w:val="center"/>
          </w:tcPr>
          <w:p>
            <w:r>
              <w:t>3%</w:t>
            </w:r>
          </w:p>
        </w:tc>
        <w:tc>
          <w:tcPr>
            <w:tcW w:w="242" w:type="pct"/>
            <w:shd w:val="clear" w:color="auto" w:fill="FFFFFF"/>
            <w:tcMar>
              <w:top w:w="0" w:type="dxa"/>
              <w:left w:w="88" w:type="dxa"/>
              <w:bottom w:w="0" w:type="dxa"/>
              <w:right w:w="88" w:type="dxa"/>
            </w:tcMar>
            <w:vAlign w:val="center"/>
          </w:tcPr>
          <w:p>
            <w:r>
              <w:t>一年</w:t>
            </w:r>
            <w:r>
              <w:rPr>
                <w:rFonts w:hint="eastAsia"/>
              </w:rPr>
              <w:t>1</w:t>
            </w:r>
            <w:r>
              <w:t>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39" w:hRule="atLeast"/>
          <w:jc w:val="center"/>
        </w:trPr>
        <w:tc>
          <w:tcPr>
            <w:tcW w:w="2634" w:type="pct"/>
            <w:shd w:val="clear" w:color="auto" w:fill="FFFFFF"/>
            <w:tcMar>
              <w:top w:w="0" w:type="dxa"/>
              <w:left w:w="88" w:type="dxa"/>
              <w:bottom w:w="0" w:type="dxa"/>
              <w:right w:w="88" w:type="dxa"/>
            </w:tcMar>
            <w:vAlign w:val="center"/>
          </w:tcPr>
          <w:p>
            <w:pPr>
              <w:jc w:val="left"/>
            </w:pPr>
            <w:r>
              <w:t>对擅自设立文艺表演团体、演出经纪机构或者擅自从事营业性演出经营活动的、超范围从事营业性演出经营活动的、变更营业性演出经营项目未向原发证机关申请换发营业性演出许可证的。</w:t>
            </w:r>
          </w:p>
        </w:tc>
        <w:tc>
          <w:tcPr>
            <w:tcW w:w="1237" w:type="pct"/>
            <w:shd w:val="clear" w:color="auto" w:fill="FFFFFF"/>
            <w:tcMar>
              <w:top w:w="0" w:type="dxa"/>
              <w:left w:w="88" w:type="dxa"/>
              <w:bottom w:w="0" w:type="dxa"/>
              <w:right w:w="88" w:type="dxa"/>
            </w:tcMar>
            <w:vAlign w:val="center"/>
          </w:tcPr>
          <w:p>
            <w:r>
              <w:t>《营业性演出管理条例》</w:t>
            </w:r>
          </w:p>
        </w:tc>
        <w:tc>
          <w:tcPr>
            <w:tcW w:w="373" w:type="pct"/>
            <w:shd w:val="clear" w:color="auto" w:fill="FFFFFF"/>
            <w:tcMar>
              <w:top w:w="0" w:type="dxa"/>
              <w:left w:w="88" w:type="dxa"/>
              <w:bottom w:w="0" w:type="dxa"/>
              <w:right w:w="88" w:type="dxa"/>
            </w:tcMar>
            <w:vAlign w:val="center"/>
          </w:tcPr>
          <w:p>
            <w:r>
              <w:t>企业法人、自然人</w:t>
            </w:r>
          </w:p>
        </w:tc>
        <w:tc>
          <w:tcPr>
            <w:tcW w:w="242" w:type="pct"/>
            <w:shd w:val="clear" w:color="auto" w:fill="FFFFFF"/>
            <w:tcMar>
              <w:top w:w="0" w:type="dxa"/>
              <w:left w:w="88" w:type="dxa"/>
              <w:bottom w:w="0" w:type="dxa"/>
              <w:right w:w="88" w:type="dxa"/>
            </w:tcMar>
            <w:vAlign w:val="center"/>
          </w:tcPr>
          <w:p>
            <w:r>
              <w:t>现场检查</w:t>
            </w:r>
          </w:p>
        </w:tc>
        <w:tc>
          <w:tcPr>
            <w:tcW w:w="271" w:type="pct"/>
            <w:shd w:val="clear" w:color="auto" w:fill="FFFFFF"/>
            <w:tcMar>
              <w:top w:w="0" w:type="dxa"/>
              <w:left w:w="88" w:type="dxa"/>
              <w:bottom w:w="0" w:type="dxa"/>
              <w:right w:w="88" w:type="dxa"/>
            </w:tcMar>
            <w:vAlign w:val="center"/>
          </w:tcPr>
          <w:p>
            <w:r>
              <w:t>3%</w:t>
            </w:r>
          </w:p>
        </w:tc>
        <w:tc>
          <w:tcPr>
            <w:tcW w:w="242" w:type="pct"/>
            <w:shd w:val="clear" w:color="auto" w:fill="FFFFFF"/>
            <w:tcMar>
              <w:top w:w="0" w:type="dxa"/>
              <w:left w:w="88" w:type="dxa"/>
              <w:bottom w:w="0" w:type="dxa"/>
              <w:right w:w="88" w:type="dxa"/>
            </w:tcMar>
            <w:vAlign w:val="center"/>
          </w:tcPr>
          <w:p>
            <w:r>
              <w:t>一年</w:t>
            </w:r>
            <w:r>
              <w:rPr>
                <w:rFonts w:hint="eastAsia"/>
              </w:rPr>
              <w:t>1</w:t>
            </w:r>
            <w:r>
              <w:t>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41" w:hRule="atLeast"/>
          <w:jc w:val="center"/>
        </w:trPr>
        <w:tc>
          <w:tcPr>
            <w:tcW w:w="2634" w:type="pct"/>
            <w:shd w:val="clear" w:color="auto" w:fill="FFFFFF"/>
            <w:tcMar>
              <w:top w:w="0" w:type="dxa"/>
              <w:left w:w="88" w:type="dxa"/>
              <w:bottom w:w="0" w:type="dxa"/>
              <w:right w:w="88" w:type="dxa"/>
            </w:tcMar>
            <w:vAlign w:val="center"/>
          </w:tcPr>
          <w:p>
            <w:pPr>
              <w:numPr>
                <w:ilvl w:val="0"/>
                <w:numId w:val="2"/>
              </w:numPr>
              <w:jc w:val="left"/>
            </w:pPr>
            <w:r>
              <w:t>对未取得出版行政部门的许可，擅自兼营或者变更从事出版物、包装装潢印刷品或者其他印刷品印刷经营活动，或者擅自兼并其他印刷业经营者的                                  </w:t>
            </w:r>
          </w:p>
          <w:p>
            <w:pPr>
              <w:numPr>
                <w:ilvl w:val="0"/>
                <w:numId w:val="2"/>
              </w:numPr>
              <w:ind w:left="0" w:leftChars="0" w:firstLine="0" w:firstLineChars="0"/>
              <w:jc w:val="left"/>
            </w:pPr>
            <w:r>
              <w:t>对因合并、分立而设立新的印刷业经营者，未依照规定办理手续的                                            </w:t>
            </w:r>
          </w:p>
          <w:p>
            <w:pPr>
              <w:numPr>
                <w:numId w:val="0"/>
              </w:numPr>
              <w:ind w:leftChars="0"/>
              <w:jc w:val="left"/>
            </w:pPr>
            <w:r>
              <w:t>（3）对出售、出租、出借或者以其他形式转让印刷经营许可证的</w:t>
            </w:r>
          </w:p>
        </w:tc>
        <w:tc>
          <w:tcPr>
            <w:tcW w:w="1237" w:type="pct"/>
            <w:shd w:val="clear" w:color="auto" w:fill="FFFFFF"/>
            <w:tcMar>
              <w:top w:w="0" w:type="dxa"/>
              <w:left w:w="88" w:type="dxa"/>
              <w:bottom w:w="0" w:type="dxa"/>
              <w:right w:w="88" w:type="dxa"/>
            </w:tcMar>
            <w:vAlign w:val="center"/>
          </w:tcPr>
          <w:p>
            <w:r>
              <w:t>《印刷业管理条例》</w:t>
            </w:r>
          </w:p>
        </w:tc>
        <w:tc>
          <w:tcPr>
            <w:tcW w:w="373" w:type="pct"/>
            <w:shd w:val="clear" w:color="auto" w:fill="FFFFFF"/>
            <w:tcMar>
              <w:top w:w="0" w:type="dxa"/>
              <w:left w:w="88" w:type="dxa"/>
              <w:bottom w:w="0" w:type="dxa"/>
              <w:right w:w="88" w:type="dxa"/>
            </w:tcMar>
            <w:vAlign w:val="center"/>
          </w:tcPr>
          <w:p>
            <w:r>
              <w:t>企业法人、自然人</w:t>
            </w:r>
          </w:p>
        </w:tc>
        <w:tc>
          <w:tcPr>
            <w:tcW w:w="242" w:type="pct"/>
            <w:shd w:val="clear" w:color="auto" w:fill="FFFFFF"/>
            <w:tcMar>
              <w:top w:w="0" w:type="dxa"/>
              <w:left w:w="88" w:type="dxa"/>
              <w:bottom w:w="0" w:type="dxa"/>
              <w:right w:w="88" w:type="dxa"/>
            </w:tcMar>
            <w:vAlign w:val="center"/>
          </w:tcPr>
          <w:p>
            <w:r>
              <w:t>现场检查</w:t>
            </w:r>
          </w:p>
        </w:tc>
        <w:tc>
          <w:tcPr>
            <w:tcW w:w="271" w:type="pct"/>
            <w:shd w:val="clear" w:color="auto" w:fill="FFFFFF"/>
            <w:tcMar>
              <w:top w:w="0" w:type="dxa"/>
              <w:left w:w="88" w:type="dxa"/>
              <w:bottom w:w="0" w:type="dxa"/>
              <w:right w:w="88" w:type="dxa"/>
            </w:tcMar>
            <w:vAlign w:val="center"/>
          </w:tcPr>
          <w:p>
            <w:r>
              <w:t>3%</w:t>
            </w:r>
          </w:p>
        </w:tc>
        <w:tc>
          <w:tcPr>
            <w:tcW w:w="242" w:type="pct"/>
            <w:shd w:val="clear" w:color="auto" w:fill="FFFFFF"/>
            <w:tcMar>
              <w:top w:w="0" w:type="dxa"/>
              <w:left w:w="88" w:type="dxa"/>
              <w:bottom w:w="0" w:type="dxa"/>
              <w:right w:w="88" w:type="dxa"/>
            </w:tcMar>
            <w:vAlign w:val="center"/>
          </w:tcPr>
          <w:p>
            <w:r>
              <w:t>一年</w:t>
            </w:r>
            <w:r>
              <w:rPr>
                <w:rFonts w:hint="eastAsia"/>
              </w:rPr>
              <w:t>1</w:t>
            </w:r>
            <w:r>
              <w:t>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39" w:hRule="atLeast"/>
          <w:jc w:val="center"/>
        </w:trPr>
        <w:tc>
          <w:tcPr>
            <w:tcW w:w="2634" w:type="pct"/>
            <w:shd w:val="clear" w:color="auto" w:fill="FFFFFF"/>
            <w:tcMar>
              <w:top w:w="0" w:type="dxa"/>
              <w:left w:w="88" w:type="dxa"/>
              <w:bottom w:w="0" w:type="dxa"/>
              <w:right w:w="88" w:type="dxa"/>
            </w:tcMar>
            <w:vAlign w:val="center"/>
          </w:tcPr>
          <w:p>
            <w:pPr>
              <w:jc w:val="left"/>
            </w:pPr>
            <w:r>
              <w:t>对未经批准，擅自设立出版物的出版、印刷或者复制、进口、发行单位，或者擅自从事出版物的出版、印刷或者复制、进口、发行业务，假冒出版单位名称或者伪造、假冒报纸、期刊名称出版出版物的</w:t>
            </w:r>
          </w:p>
        </w:tc>
        <w:tc>
          <w:tcPr>
            <w:tcW w:w="1237" w:type="pct"/>
            <w:shd w:val="clear" w:color="auto" w:fill="FFFFFF"/>
            <w:tcMar>
              <w:top w:w="0" w:type="dxa"/>
              <w:left w:w="88" w:type="dxa"/>
              <w:bottom w:w="0" w:type="dxa"/>
              <w:right w:w="88" w:type="dxa"/>
            </w:tcMar>
            <w:vAlign w:val="center"/>
          </w:tcPr>
          <w:p>
            <w:r>
              <w:t>《出版管理条例》</w:t>
            </w:r>
          </w:p>
        </w:tc>
        <w:tc>
          <w:tcPr>
            <w:tcW w:w="373" w:type="pct"/>
            <w:shd w:val="clear" w:color="auto" w:fill="FFFFFF"/>
            <w:tcMar>
              <w:top w:w="0" w:type="dxa"/>
              <w:left w:w="88" w:type="dxa"/>
              <w:bottom w:w="0" w:type="dxa"/>
              <w:right w:w="88" w:type="dxa"/>
            </w:tcMar>
            <w:vAlign w:val="center"/>
          </w:tcPr>
          <w:p>
            <w:r>
              <w:t>企业法人、自然人</w:t>
            </w:r>
          </w:p>
        </w:tc>
        <w:tc>
          <w:tcPr>
            <w:tcW w:w="242" w:type="pct"/>
            <w:shd w:val="clear" w:color="auto" w:fill="FFFFFF"/>
            <w:tcMar>
              <w:top w:w="0" w:type="dxa"/>
              <w:left w:w="88" w:type="dxa"/>
              <w:bottom w:w="0" w:type="dxa"/>
              <w:right w:w="88" w:type="dxa"/>
            </w:tcMar>
            <w:vAlign w:val="center"/>
          </w:tcPr>
          <w:p>
            <w:r>
              <w:t>现场检查</w:t>
            </w:r>
          </w:p>
        </w:tc>
        <w:tc>
          <w:tcPr>
            <w:tcW w:w="271" w:type="pct"/>
            <w:shd w:val="clear" w:color="auto" w:fill="FFFFFF"/>
            <w:tcMar>
              <w:top w:w="0" w:type="dxa"/>
              <w:left w:w="88" w:type="dxa"/>
              <w:bottom w:w="0" w:type="dxa"/>
              <w:right w:w="88" w:type="dxa"/>
            </w:tcMar>
            <w:vAlign w:val="center"/>
          </w:tcPr>
          <w:p>
            <w:r>
              <w:t>3%</w:t>
            </w:r>
          </w:p>
        </w:tc>
        <w:tc>
          <w:tcPr>
            <w:tcW w:w="242" w:type="pct"/>
            <w:shd w:val="clear" w:color="auto" w:fill="FFFFFF"/>
            <w:tcMar>
              <w:top w:w="0" w:type="dxa"/>
              <w:left w:w="88" w:type="dxa"/>
              <w:bottom w:w="0" w:type="dxa"/>
              <w:right w:w="88" w:type="dxa"/>
            </w:tcMar>
            <w:vAlign w:val="center"/>
          </w:tcPr>
          <w:p>
            <w:r>
              <w:t>一年</w:t>
            </w:r>
            <w:r>
              <w:rPr>
                <w:rFonts w:hint="eastAsia"/>
              </w:rPr>
              <w:t>1</w:t>
            </w:r>
            <w:r>
              <w:t>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95" w:hRule="atLeast"/>
          <w:jc w:val="center"/>
        </w:trPr>
        <w:tc>
          <w:tcPr>
            <w:tcW w:w="2634" w:type="pct"/>
            <w:shd w:val="clear" w:color="auto" w:fill="FFFFFF"/>
            <w:tcMar>
              <w:top w:w="0" w:type="dxa"/>
              <w:left w:w="88" w:type="dxa"/>
              <w:bottom w:w="0" w:type="dxa"/>
              <w:right w:w="88" w:type="dxa"/>
            </w:tcMar>
            <w:vAlign w:val="center"/>
          </w:tcPr>
          <w:p>
            <w:pPr>
              <w:numPr>
                <w:ilvl w:val="0"/>
                <w:numId w:val="3"/>
              </w:numPr>
              <w:jc w:val="left"/>
            </w:pPr>
            <w:r>
              <w:t>对未经批准，擅自与境外组织或者个人合作摄制电影，或者擅自到境外从事电影摄制活动的  （2）对擅自到境外进行电影底片、样片的冲洗或者后期制作，或者未按照批准文件载明的要求执行的处  （3）对洗印加工未取得《摄制电影许可证》、《摄制电影片许可证（单片）》的单位摄制的电影底片、样片，或者洗印加工未取得《电影片公映许可证》的电影片拷贝的  （4）对未经批准，接受委托洗印加工境外电影底片、样片或者电影片拷贝，或者未将洗印加工的境外电影底片、样片或者电影片拷贝全部运输出境的 （5）对利用电影资料片从事或者变相从事经营性的发行、放映活动的    （6）对未按照规定的时间比例放映电影片，或者不执行国务院广播电影电视行政部门停止发行、放映决定的</w:t>
            </w:r>
          </w:p>
        </w:tc>
        <w:tc>
          <w:tcPr>
            <w:tcW w:w="1237" w:type="pct"/>
            <w:shd w:val="clear" w:color="auto" w:fill="FFFFFF"/>
            <w:tcMar>
              <w:top w:w="0" w:type="dxa"/>
              <w:left w:w="88" w:type="dxa"/>
              <w:bottom w:w="0" w:type="dxa"/>
              <w:right w:w="88" w:type="dxa"/>
            </w:tcMar>
            <w:vAlign w:val="center"/>
          </w:tcPr>
          <w:p>
            <w:r>
              <w:t>《电影管理条例》</w:t>
            </w:r>
          </w:p>
        </w:tc>
        <w:tc>
          <w:tcPr>
            <w:tcW w:w="373" w:type="pct"/>
            <w:shd w:val="clear" w:color="auto" w:fill="FFFFFF"/>
            <w:tcMar>
              <w:top w:w="0" w:type="dxa"/>
              <w:left w:w="88" w:type="dxa"/>
              <w:bottom w:w="0" w:type="dxa"/>
              <w:right w:w="88" w:type="dxa"/>
            </w:tcMar>
            <w:vAlign w:val="center"/>
          </w:tcPr>
          <w:p>
            <w:r>
              <w:t>企业法人、自然人</w:t>
            </w:r>
          </w:p>
        </w:tc>
        <w:tc>
          <w:tcPr>
            <w:tcW w:w="242" w:type="pct"/>
            <w:shd w:val="clear" w:color="auto" w:fill="FFFFFF"/>
            <w:tcMar>
              <w:top w:w="0" w:type="dxa"/>
              <w:left w:w="88" w:type="dxa"/>
              <w:bottom w:w="0" w:type="dxa"/>
              <w:right w:w="88" w:type="dxa"/>
            </w:tcMar>
            <w:vAlign w:val="center"/>
          </w:tcPr>
          <w:p>
            <w:r>
              <w:t>现场检查</w:t>
            </w:r>
          </w:p>
        </w:tc>
        <w:tc>
          <w:tcPr>
            <w:tcW w:w="271" w:type="pct"/>
            <w:shd w:val="clear" w:color="auto" w:fill="FFFFFF"/>
            <w:tcMar>
              <w:top w:w="0" w:type="dxa"/>
              <w:left w:w="88" w:type="dxa"/>
              <w:bottom w:w="0" w:type="dxa"/>
              <w:right w:w="88" w:type="dxa"/>
            </w:tcMar>
            <w:vAlign w:val="center"/>
          </w:tcPr>
          <w:p>
            <w:r>
              <w:t>3%</w:t>
            </w:r>
          </w:p>
        </w:tc>
        <w:tc>
          <w:tcPr>
            <w:tcW w:w="242" w:type="pct"/>
            <w:shd w:val="clear" w:color="auto" w:fill="FFFFFF"/>
            <w:tcMar>
              <w:top w:w="0" w:type="dxa"/>
              <w:left w:w="88" w:type="dxa"/>
              <w:bottom w:w="0" w:type="dxa"/>
              <w:right w:w="88" w:type="dxa"/>
            </w:tcMar>
            <w:vAlign w:val="center"/>
          </w:tcPr>
          <w:p>
            <w:r>
              <w:t>一年</w:t>
            </w:r>
            <w:r>
              <w:rPr>
                <w:rFonts w:hint="eastAsia"/>
              </w:rPr>
              <w:t>1</w:t>
            </w:r>
            <w:r>
              <w:t>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81" w:hRule="atLeast"/>
          <w:jc w:val="center"/>
        </w:trPr>
        <w:tc>
          <w:tcPr>
            <w:tcW w:w="2634" w:type="pct"/>
            <w:shd w:val="clear" w:color="auto" w:fill="FFFFFF"/>
            <w:tcMar>
              <w:top w:w="0" w:type="dxa"/>
              <w:left w:w="88" w:type="dxa"/>
              <w:bottom w:w="0" w:type="dxa"/>
              <w:right w:w="88" w:type="dxa"/>
            </w:tcMar>
            <w:vAlign w:val="center"/>
          </w:tcPr>
          <w:p>
            <w:pPr>
              <w:jc w:val="left"/>
            </w:pPr>
            <w:r>
              <w:t>（1）对未经批准，擅自变更台名、台标、节目设置范围或者节目套数的     （2）对出租、转让播出时段的 （3）对转播、播放广播电视节目违反规定的（4）对播放境外广播电视节目或者广告的时间超出规定的 （5）对播放未取得广播电视节目制作经营许可的单位制作的广播电视节目或者未取得电视剧制作许可的单位制作的电视剧的（6）对播放未经批准的境外电影、电视剧和其他广播电视节目的（7）对教育电视台播放与教学内容无关的电影、电视片的 （8）对未经批准，擅自举办广播电视节目交流、交易活动的</w:t>
            </w:r>
          </w:p>
        </w:tc>
        <w:tc>
          <w:tcPr>
            <w:tcW w:w="1237" w:type="pct"/>
            <w:shd w:val="clear" w:color="auto" w:fill="FFFFFF"/>
            <w:tcMar>
              <w:top w:w="0" w:type="dxa"/>
              <w:left w:w="88" w:type="dxa"/>
              <w:bottom w:w="0" w:type="dxa"/>
              <w:right w:w="88" w:type="dxa"/>
            </w:tcMar>
            <w:vAlign w:val="center"/>
          </w:tcPr>
          <w:p>
            <w:r>
              <w:t>《广播电视管理条例》</w:t>
            </w:r>
          </w:p>
        </w:tc>
        <w:tc>
          <w:tcPr>
            <w:tcW w:w="373" w:type="pct"/>
            <w:shd w:val="clear" w:color="auto" w:fill="FFFFFF"/>
            <w:tcMar>
              <w:top w:w="0" w:type="dxa"/>
              <w:left w:w="88" w:type="dxa"/>
              <w:bottom w:w="0" w:type="dxa"/>
              <w:right w:w="88" w:type="dxa"/>
            </w:tcMar>
            <w:vAlign w:val="center"/>
          </w:tcPr>
          <w:p>
            <w:r>
              <w:t>企业法人、自然人</w:t>
            </w:r>
          </w:p>
        </w:tc>
        <w:tc>
          <w:tcPr>
            <w:tcW w:w="242" w:type="pct"/>
            <w:shd w:val="clear" w:color="auto" w:fill="FFFFFF"/>
            <w:tcMar>
              <w:top w:w="0" w:type="dxa"/>
              <w:left w:w="88" w:type="dxa"/>
              <w:bottom w:w="0" w:type="dxa"/>
              <w:right w:w="88" w:type="dxa"/>
            </w:tcMar>
            <w:vAlign w:val="center"/>
          </w:tcPr>
          <w:p>
            <w:r>
              <w:t>现场检查</w:t>
            </w:r>
          </w:p>
        </w:tc>
        <w:tc>
          <w:tcPr>
            <w:tcW w:w="271" w:type="pct"/>
            <w:shd w:val="clear" w:color="auto" w:fill="FFFFFF"/>
            <w:tcMar>
              <w:top w:w="0" w:type="dxa"/>
              <w:left w:w="88" w:type="dxa"/>
              <w:bottom w:w="0" w:type="dxa"/>
              <w:right w:w="88" w:type="dxa"/>
            </w:tcMar>
            <w:vAlign w:val="center"/>
          </w:tcPr>
          <w:p>
            <w:r>
              <w:t>3%</w:t>
            </w:r>
          </w:p>
        </w:tc>
        <w:tc>
          <w:tcPr>
            <w:tcW w:w="242" w:type="pct"/>
            <w:shd w:val="clear" w:color="auto" w:fill="FFFFFF"/>
            <w:tcMar>
              <w:top w:w="0" w:type="dxa"/>
              <w:left w:w="88" w:type="dxa"/>
              <w:bottom w:w="0" w:type="dxa"/>
              <w:right w:w="88" w:type="dxa"/>
            </w:tcMar>
            <w:vAlign w:val="center"/>
          </w:tcPr>
          <w:p>
            <w:r>
              <w:t>一年</w:t>
            </w:r>
            <w:r>
              <w:rPr>
                <w:rFonts w:hint="eastAsia"/>
              </w:rPr>
              <w:t>1</w:t>
            </w:r>
            <w:r>
              <w:t>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81" w:hRule="atLeast"/>
          <w:jc w:val="center"/>
        </w:trPr>
        <w:tc>
          <w:tcPr>
            <w:tcW w:w="2634" w:type="pct"/>
            <w:shd w:val="clear" w:color="auto" w:fill="FFFFFF"/>
            <w:tcMar>
              <w:top w:w="0" w:type="dxa"/>
              <w:left w:w="88" w:type="dxa"/>
              <w:bottom w:w="0" w:type="dxa"/>
              <w:right w:w="88" w:type="dxa"/>
            </w:tcMar>
            <w:vAlign w:val="center"/>
          </w:tcPr>
          <w:p>
            <w:pPr>
              <w:jc w:val="left"/>
              <w:rPr>
                <w:rFonts w:asciiTheme="minorEastAsia" w:hAnsiTheme="minorEastAsia" w:cstheme="minorEastAsia"/>
                <w:b/>
                <w:bCs/>
                <w:color w:val="000000"/>
                <w:szCs w:val="21"/>
              </w:rPr>
            </w:pPr>
            <w:r>
              <w:rPr>
                <w:rFonts w:hint="eastAsia"/>
              </w:rPr>
              <w:t>A级旅游景区检查：设施和服务是否符合《旅游景区质量等级划分与评定标准》（GB/T1775-2003）；未取得质量等级的旅游企业是否使用相关质量等级的称谓和标识；法律法规规定的其他监管事项</w:t>
            </w:r>
          </w:p>
        </w:tc>
        <w:tc>
          <w:tcPr>
            <w:tcW w:w="1237" w:type="pct"/>
            <w:shd w:val="clear" w:color="auto" w:fill="FFFFFF"/>
            <w:tcMar>
              <w:top w:w="0" w:type="dxa"/>
              <w:left w:w="88" w:type="dxa"/>
              <w:bottom w:w="0" w:type="dxa"/>
              <w:right w:w="88" w:type="dxa"/>
            </w:tcMar>
            <w:vAlign w:val="center"/>
          </w:tcPr>
          <w:p>
            <w:pPr>
              <w:widowControl/>
              <w:wordWrap w:val="0"/>
              <w:jc w:val="left"/>
              <w:rPr>
                <w:rFonts w:asciiTheme="minorEastAsia" w:hAnsiTheme="minorEastAsia" w:cstheme="minorEastAsia"/>
                <w:color w:val="000000"/>
                <w:szCs w:val="21"/>
              </w:rPr>
            </w:pPr>
            <w:r>
              <w:rPr>
                <w:rFonts w:hint="eastAsia"/>
              </w:rPr>
              <w:t>《旅游景区质量等级划分与评定标准》</w:t>
            </w:r>
          </w:p>
        </w:tc>
        <w:tc>
          <w:tcPr>
            <w:tcW w:w="373" w:type="pct"/>
            <w:shd w:val="clear" w:color="auto" w:fill="FFFFFF"/>
            <w:tcMar>
              <w:top w:w="0" w:type="dxa"/>
              <w:left w:w="88" w:type="dxa"/>
              <w:bottom w:w="0" w:type="dxa"/>
              <w:right w:w="88" w:type="dxa"/>
            </w:tcMar>
            <w:vAlign w:val="center"/>
          </w:tcPr>
          <w:p>
            <w:r>
              <w:t>企业法人</w:t>
            </w:r>
          </w:p>
        </w:tc>
        <w:tc>
          <w:tcPr>
            <w:tcW w:w="242" w:type="pct"/>
            <w:shd w:val="clear" w:color="auto" w:fill="FFFFFF"/>
            <w:tcMar>
              <w:top w:w="0" w:type="dxa"/>
              <w:left w:w="88" w:type="dxa"/>
              <w:bottom w:w="0" w:type="dxa"/>
              <w:right w:w="88" w:type="dxa"/>
            </w:tcMar>
            <w:vAlign w:val="center"/>
          </w:tcPr>
          <w:p>
            <w:r>
              <w:t>现场检查</w:t>
            </w:r>
          </w:p>
        </w:tc>
        <w:tc>
          <w:tcPr>
            <w:tcW w:w="271" w:type="pct"/>
            <w:shd w:val="clear" w:color="auto" w:fill="FFFFFF"/>
            <w:tcMar>
              <w:top w:w="0" w:type="dxa"/>
              <w:left w:w="88" w:type="dxa"/>
              <w:bottom w:w="0" w:type="dxa"/>
              <w:right w:w="88" w:type="dxa"/>
            </w:tcMar>
            <w:vAlign w:val="center"/>
          </w:tcPr>
          <w:p>
            <w:r>
              <w:t>3%</w:t>
            </w:r>
          </w:p>
        </w:tc>
        <w:tc>
          <w:tcPr>
            <w:tcW w:w="242" w:type="pct"/>
            <w:shd w:val="clear" w:color="auto" w:fill="FFFFFF"/>
            <w:tcMar>
              <w:top w:w="0" w:type="dxa"/>
              <w:left w:w="88" w:type="dxa"/>
              <w:bottom w:w="0" w:type="dxa"/>
              <w:right w:w="88" w:type="dxa"/>
            </w:tcMar>
            <w:vAlign w:val="center"/>
          </w:tcPr>
          <w:p>
            <w:r>
              <w:t>一年</w:t>
            </w:r>
            <w:r>
              <w:rPr>
                <w:rFonts w:hint="eastAsia"/>
              </w:rPr>
              <w:t>1</w:t>
            </w:r>
            <w:r>
              <w:t>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81" w:hRule="atLeast"/>
          <w:jc w:val="center"/>
        </w:trPr>
        <w:tc>
          <w:tcPr>
            <w:tcW w:w="2634" w:type="pct"/>
            <w:shd w:val="clear" w:color="auto" w:fill="FFFFFF"/>
            <w:tcMar>
              <w:top w:w="0" w:type="dxa"/>
              <w:left w:w="88" w:type="dxa"/>
              <w:bottom w:w="0" w:type="dxa"/>
              <w:right w:w="88" w:type="dxa"/>
            </w:tcMar>
            <w:vAlign w:val="center"/>
          </w:tcPr>
          <w:p>
            <w:pPr>
              <w:widowControl/>
              <w:wordWrap w:val="0"/>
              <w:jc w:val="left"/>
              <w:rPr>
                <w:rFonts w:asciiTheme="minorEastAsia" w:hAnsiTheme="minorEastAsia" w:cstheme="minorEastAsia"/>
                <w:b/>
                <w:bCs/>
                <w:color w:val="000000"/>
                <w:szCs w:val="21"/>
              </w:rPr>
            </w:pPr>
            <w:r>
              <w:rPr>
                <w:rFonts w:hint="eastAsia" w:asciiTheme="minorEastAsia" w:hAnsiTheme="minorEastAsia" w:cstheme="minorEastAsia"/>
                <w:color w:val="000000"/>
                <w:kern w:val="0"/>
                <w:szCs w:val="21"/>
              </w:rPr>
              <w:t>旅行社检查：经营场所、营业设施、注册资本等基础性经营条件是否符合法律规定；经营旅行社业务是否取得经营许可；分支机构的名称、标牌、经营范围等是否符合法律规定；是否依法经营，有无虚假宣传、组织不合理低价游等损害消费者合法权益的行为；是否与旅游者签订旅游合同、提供与合同内容相符的旅游服务；法律法规规定的其他监管事项</w:t>
            </w:r>
          </w:p>
        </w:tc>
        <w:tc>
          <w:tcPr>
            <w:tcW w:w="1237" w:type="pct"/>
            <w:shd w:val="clear" w:color="auto" w:fill="FFFFFF"/>
            <w:tcMar>
              <w:top w:w="0" w:type="dxa"/>
              <w:left w:w="88" w:type="dxa"/>
              <w:bottom w:w="0" w:type="dxa"/>
              <w:right w:w="88" w:type="dxa"/>
            </w:tcMar>
            <w:vAlign w:val="center"/>
          </w:tcPr>
          <w:p>
            <w:pPr>
              <w:widowControl/>
              <w:wordWrap w:val="0"/>
              <w:jc w:val="left"/>
              <w:rPr>
                <w:rFonts w:asciiTheme="minorEastAsia" w:hAnsiTheme="minorEastAsia" w:cstheme="minorEastAsia"/>
                <w:color w:val="000000"/>
                <w:szCs w:val="21"/>
              </w:rPr>
            </w:pPr>
            <w:r>
              <w:rPr>
                <w:rFonts w:hint="eastAsia" w:asciiTheme="minorEastAsia" w:hAnsiTheme="minorEastAsia" w:cstheme="minorEastAsia"/>
                <w:color w:val="000000"/>
                <w:szCs w:val="21"/>
              </w:rPr>
              <w:t>《旅行社条例》</w:t>
            </w:r>
          </w:p>
        </w:tc>
        <w:tc>
          <w:tcPr>
            <w:tcW w:w="373" w:type="pct"/>
            <w:shd w:val="clear" w:color="auto" w:fill="FFFFFF"/>
            <w:tcMar>
              <w:top w:w="0" w:type="dxa"/>
              <w:left w:w="88" w:type="dxa"/>
              <w:bottom w:w="0" w:type="dxa"/>
              <w:right w:w="88" w:type="dxa"/>
            </w:tcMar>
            <w:vAlign w:val="center"/>
          </w:tcPr>
          <w:p>
            <w:r>
              <w:t>企业法人</w:t>
            </w:r>
          </w:p>
        </w:tc>
        <w:tc>
          <w:tcPr>
            <w:tcW w:w="242" w:type="pct"/>
            <w:shd w:val="clear" w:color="auto" w:fill="FFFFFF"/>
            <w:tcMar>
              <w:top w:w="0" w:type="dxa"/>
              <w:left w:w="88" w:type="dxa"/>
              <w:bottom w:w="0" w:type="dxa"/>
              <w:right w:w="88" w:type="dxa"/>
            </w:tcMar>
            <w:vAlign w:val="center"/>
          </w:tcPr>
          <w:p>
            <w:r>
              <w:t>现场检查</w:t>
            </w:r>
          </w:p>
        </w:tc>
        <w:tc>
          <w:tcPr>
            <w:tcW w:w="271" w:type="pct"/>
            <w:shd w:val="clear" w:color="auto" w:fill="FFFFFF"/>
            <w:tcMar>
              <w:top w:w="0" w:type="dxa"/>
              <w:left w:w="88" w:type="dxa"/>
              <w:bottom w:w="0" w:type="dxa"/>
              <w:right w:w="88" w:type="dxa"/>
            </w:tcMar>
            <w:vAlign w:val="center"/>
          </w:tcPr>
          <w:p>
            <w:r>
              <w:t>3%</w:t>
            </w:r>
          </w:p>
        </w:tc>
        <w:tc>
          <w:tcPr>
            <w:tcW w:w="242" w:type="pct"/>
            <w:shd w:val="clear" w:color="auto" w:fill="FFFFFF"/>
            <w:tcMar>
              <w:top w:w="0" w:type="dxa"/>
              <w:left w:w="88" w:type="dxa"/>
              <w:bottom w:w="0" w:type="dxa"/>
              <w:right w:w="88" w:type="dxa"/>
            </w:tcMar>
            <w:vAlign w:val="center"/>
          </w:tcPr>
          <w:p>
            <w:r>
              <w:t>一年</w:t>
            </w:r>
            <w:r>
              <w:rPr>
                <w:rFonts w:hint="eastAsia"/>
              </w:rPr>
              <w:t>1</w:t>
            </w:r>
            <w:r>
              <w:t>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81" w:hRule="atLeast"/>
          <w:jc w:val="center"/>
        </w:trPr>
        <w:tc>
          <w:tcPr>
            <w:tcW w:w="2634" w:type="pct"/>
            <w:shd w:val="clear" w:color="auto" w:fill="FFFFFF"/>
            <w:tcMar>
              <w:top w:w="0" w:type="dxa"/>
              <w:left w:w="88" w:type="dxa"/>
              <w:bottom w:w="0" w:type="dxa"/>
              <w:right w:w="88" w:type="dxa"/>
            </w:tcMar>
            <w:vAlign w:val="center"/>
          </w:tcPr>
          <w:p>
            <w:pPr>
              <w:widowControl/>
              <w:wordWrap w:val="0"/>
              <w:jc w:val="left"/>
              <w:rPr>
                <w:rFonts w:asciiTheme="minorEastAsia" w:hAnsiTheme="minorEastAsia" w:cstheme="minorEastAsia"/>
                <w:b/>
                <w:bCs/>
                <w:color w:val="000000"/>
                <w:szCs w:val="21"/>
              </w:rPr>
            </w:pPr>
            <w:r>
              <w:rPr>
                <w:rFonts w:hint="eastAsia" w:asciiTheme="minorEastAsia" w:hAnsiTheme="minorEastAsia" w:cstheme="minorEastAsia"/>
                <w:color w:val="000000"/>
                <w:kern w:val="0"/>
                <w:szCs w:val="21"/>
              </w:rPr>
              <w:t>文物拍卖、文物购销检查：文物拍卖企业、文物商店是否依法依规经相应的文物主管部门批准设立；文物拍卖标的是否依法依规经相应的文物主管部门审核；是否违法从事文物拍卖或文物购销经营活动；拍卖文物、购销文物是否依法依规作出记录并备案等</w:t>
            </w:r>
          </w:p>
        </w:tc>
        <w:tc>
          <w:tcPr>
            <w:tcW w:w="1237" w:type="pct"/>
            <w:shd w:val="clear" w:color="auto" w:fill="FFFFFF"/>
            <w:tcMar>
              <w:top w:w="0" w:type="dxa"/>
              <w:left w:w="88" w:type="dxa"/>
              <w:bottom w:w="0" w:type="dxa"/>
              <w:right w:w="88" w:type="dxa"/>
            </w:tcMar>
            <w:vAlign w:val="center"/>
          </w:tcPr>
          <w:p>
            <w:pPr>
              <w:widowControl/>
              <w:wordWrap w:val="0"/>
              <w:jc w:val="left"/>
              <w:rPr>
                <w:rFonts w:asciiTheme="minorEastAsia" w:hAnsiTheme="minorEastAsia" w:cstheme="minorEastAsia"/>
                <w:color w:val="000000"/>
                <w:szCs w:val="21"/>
              </w:rPr>
            </w:pPr>
            <w:r>
              <w:rPr>
                <w:rFonts w:hint="eastAsia" w:asciiTheme="minorEastAsia" w:hAnsiTheme="minorEastAsia" w:cstheme="minorEastAsia"/>
                <w:color w:val="000000"/>
                <w:szCs w:val="21"/>
              </w:rPr>
              <w:t>《文物保护法》</w:t>
            </w:r>
          </w:p>
        </w:tc>
        <w:tc>
          <w:tcPr>
            <w:tcW w:w="373" w:type="pct"/>
            <w:shd w:val="clear" w:color="auto" w:fill="FFFFFF"/>
            <w:tcMar>
              <w:top w:w="0" w:type="dxa"/>
              <w:left w:w="88" w:type="dxa"/>
              <w:bottom w:w="0" w:type="dxa"/>
              <w:right w:w="88" w:type="dxa"/>
            </w:tcMar>
            <w:vAlign w:val="center"/>
          </w:tcPr>
          <w:p>
            <w:r>
              <w:t>企业法人</w:t>
            </w:r>
          </w:p>
        </w:tc>
        <w:tc>
          <w:tcPr>
            <w:tcW w:w="242" w:type="pct"/>
            <w:shd w:val="clear" w:color="auto" w:fill="FFFFFF"/>
            <w:tcMar>
              <w:top w:w="0" w:type="dxa"/>
              <w:left w:w="88" w:type="dxa"/>
              <w:bottom w:w="0" w:type="dxa"/>
              <w:right w:w="88" w:type="dxa"/>
            </w:tcMar>
            <w:vAlign w:val="center"/>
          </w:tcPr>
          <w:p>
            <w:r>
              <w:t>现场检查</w:t>
            </w:r>
          </w:p>
        </w:tc>
        <w:tc>
          <w:tcPr>
            <w:tcW w:w="271" w:type="pct"/>
            <w:shd w:val="clear" w:color="auto" w:fill="FFFFFF"/>
            <w:tcMar>
              <w:top w:w="0" w:type="dxa"/>
              <w:left w:w="88" w:type="dxa"/>
              <w:bottom w:w="0" w:type="dxa"/>
              <w:right w:w="88" w:type="dxa"/>
            </w:tcMar>
            <w:vAlign w:val="center"/>
          </w:tcPr>
          <w:p>
            <w:r>
              <w:t>3%</w:t>
            </w:r>
          </w:p>
        </w:tc>
        <w:tc>
          <w:tcPr>
            <w:tcW w:w="242" w:type="pct"/>
            <w:shd w:val="clear" w:color="auto" w:fill="FFFFFF"/>
            <w:tcMar>
              <w:top w:w="0" w:type="dxa"/>
              <w:left w:w="88" w:type="dxa"/>
              <w:bottom w:w="0" w:type="dxa"/>
              <w:right w:w="88" w:type="dxa"/>
            </w:tcMar>
            <w:vAlign w:val="center"/>
          </w:tcPr>
          <w:p>
            <w:r>
              <w:t>一年</w:t>
            </w:r>
            <w:r>
              <w:rPr>
                <w:rFonts w:hint="eastAsia"/>
              </w:rPr>
              <w:t>1</w:t>
            </w:r>
            <w:r>
              <w:t>次</w:t>
            </w:r>
          </w:p>
        </w:tc>
      </w:tr>
    </w:tbl>
    <w:p>
      <w:r>
        <w:rPr>
          <w:rFonts w:hint="eastAsia"/>
        </w:rPr>
        <w:t>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8E0184"/>
    <w:multiLevelType w:val="singleLevel"/>
    <w:tmpl w:val="868E0184"/>
    <w:lvl w:ilvl="0" w:tentative="0">
      <w:start w:val="1"/>
      <w:numFmt w:val="decimal"/>
      <w:suff w:val="nothing"/>
      <w:lvlText w:val="（%1）"/>
      <w:lvlJc w:val="left"/>
    </w:lvl>
  </w:abstractNum>
  <w:abstractNum w:abstractNumId="1">
    <w:nsid w:val="BA86EE6C"/>
    <w:multiLevelType w:val="singleLevel"/>
    <w:tmpl w:val="BA86EE6C"/>
    <w:lvl w:ilvl="0" w:tentative="0">
      <w:start w:val="1"/>
      <w:numFmt w:val="decimal"/>
      <w:suff w:val="nothing"/>
      <w:lvlText w:val="（%1）"/>
      <w:lvlJc w:val="left"/>
    </w:lvl>
  </w:abstractNum>
  <w:abstractNum w:abstractNumId="2">
    <w:nsid w:val="411747B9"/>
    <w:multiLevelType w:val="singleLevel"/>
    <w:tmpl w:val="411747B9"/>
    <w:lvl w:ilvl="0" w:tentative="0">
      <w:start w:val="1"/>
      <w:numFmt w:val="decimal"/>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E45064"/>
    <w:rsid w:val="00766D46"/>
    <w:rsid w:val="00B8191A"/>
    <w:rsid w:val="00E45064"/>
    <w:rsid w:val="1D9E4C6C"/>
    <w:rsid w:val="41BB17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snapToGrid w:val="0"/>
      <w:jc w:val="left"/>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7">
    <w:name w:val="页眉 Char"/>
    <w:basedOn w:val="6"/>
    <w:link w:val="3"/>
    <w:semiHidden/>
    <w:qFormat/>
    <w:uiPriority w:val="99"/>
    <w:rPr>
      <w:sz w:val="18"/>
      <w:szCs w:val="18"/>
    </w:rPr>
  </w:style>
  <w:style w:type="character" w:customStyle="1" w:styleId="8">
    <w:name w:val="页脚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Pages>
  <Words>309</Words>
  <Characters>1762</Characters>
  <Lines>14</Lines>
  <Paragraphs>4</Paragraphs>
  <TotalTime>1</TotalTime>
  <ScaleCrop>false</ScaleCrop>
  <LinksUpToDate>false</LinksUpToDate>
  <CharactersWithSpaces>2067</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2021-08-24T03:20:00Z</dcterms:created>
  <dc:creator>微软用户</dc:creator>
  <cp:lastModifiedBy>Administrator</cp:lastModifiedBy>
  <dcterms:modified xsi:type="dcterms:W3CDTF">2021-08-25T02:49:32Z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D646C46E15FA45148AA80EA87CF80B35</vt:lpwstr>
  </property>
</Properties>
</file>