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RCDR-2021-0030008</w:t>
      </w:r>
    </w:p>
    <w:p>
      <w:pPr>
        <w:spacing w:line="560" w:lineRule="exact"/>
        <w:jc w:val="center"/>
        <w:rPr>
          <w:rFonts w:ascii="仿宋_GB2312" w:hAnsi="Times New Roman" w:eastAsia="仿宋_GB2312"/>
          <w:sz w:val="32"/>
          <w:szCs w:val="32"/>
        </w:rPr>
      </w:pPr>
    </w:p>
    <w:p>
      <w:pPr>
        <w:spacing w:line="600" w:lineRule="exact"/>
        <w:jc w:val="center"/>
        <w:rPr>
          <w:rFonts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</w:rPr>
        <w:t>荣成市发改局 住建局 财政局</w:t>
      </w:r>
    </w:p>
    <w:p>
      <w:pPr>
        <w:spacing w:line="600" w:lineRule="exact"/>
        <w:jc w:val="center"/>
        <w:rPr>
          <w:rFonts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</w:rPr>
        <w:t>关于调整冬季非居民供热价格有关事项</w:t>
      </w:r>
    </w:p>
    <w:p>
      <w:pPr>
        <w:spacing w:line="600" w:lineRule="exact"/>
        <w:jc w:val="center"/>
        <w:rPr>
          <w:rFonts w:hint="eastAsia"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</w:rPr>
        <w:t>的通知</w:t>
      </w:r>
    </w:p>
    <w:p>
      <w:pPr>
        <w:spacing w:line="600" w:lineRule="exact"/>
        <w:jc w:val="center"/>
        <w:rPr>
          <w:rFonts w:ascii="楷体_GB2312" w:hAnsi="DFKai-SB" w:eastAsia="楷体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荣发改价格</w:t>
      </w:r>
      <w:r>
        <w:rPr>
          <w:rFonts w:hint="eastAsia" w:ascii="仿宋_GB2312" w:hAnsi="DFKai-SB" w:eastAsia="仿宋_GB2312"/>
          <w:sz w:val="32"/>
          <w:szCs w:val="32"/>
        </w:rPr>
        <w:t>〔2021〕27号</w:t>
      </w:r>
    </w:p>
    <w:p>
      <w:pPr>
        <w:spacing w:line="560" w:lineRule="exact"/>
        <w:rPr>
          <w:rFonts w:ascii="仿宋_GB2312" w:hAnsi="Times New Roman" w:eastAsia="仿宋_GB2312"/>
          <w:sz w:val="32"/>
          <w:szCs w:val="32"/>
        </w:rPr>
      </w:pPr>
      <w:r>
        <w:rPr>
          <w:rFonts w:hint="eastAsia" w:ascii="仿宋_GB2312" w:eastAsia="仿宋_GB2312"/>
          <w:spacing w:val="-6"/>
          <w:sz w:val="32"/>
          <w:szCs w:val="32"/>
        </w:rPr>
        <w:t>各供热企业</w:t>
      </w:r>
      <w:r>
        <w:rPr>
          <w:rFonts w:hint="eastAsia" w:ascii="仿宋_GB2312" w:hAnsi="Times New Roman" w:eastAsia="仿宋_GB2312"/>
          <w:sz w:val="32"/>
          <w:szCs w:val="32"/>
        </w:rPr>
        <w:t>：</w:t>
      </w:r>
    </w:p>
    <w:p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Times New Roman" w:eastAsia="仿宋_GB2312"/>
          <w:spacing w:val="-2"/>
          <w:sz w:val="32"/>
          <w:szCs w:val="32"/>
        </w:rPr>
        <w:t xml:space="preserve">    为缓解供热企业因煤炭上涨带来的生产经营压力，确保广大群众冬季有序采暖、稳定用热，</w:t>
      </w:r>
      <w:r>
        <w:rPr>
          <w:rFonts w:hint="eastAsia" w:ascii="仿宋_GB2312" w:eastAsia="仿宋_GB2312"/>
          <w:sz w:val="32"/>
          <w:szCs w:val="32"/>
        </w:rPr>
        <w:t>根据《山东省人民政府办公厅关于印发2021迎峰度冬能源保障工作方案的通知》（鲁政办发明电</w:t>
      </w:r>
      <w:r>
        <w:rPr>
          <w:rFonts w:hint="eastAsia" w:ascii="仿宋_GB2312" w:hAnsi="宋体"/>
          <w:sz w:val="32"/>
          <w:szCs w:val="32"/>
        </w:rPr>
        <w:t>﹝</w:t>
      </w:r>
      <w:r>
        <w:rPr>
          <w:rFonts w:hint="eastAsia" w:ascii="仿宋_GB2312" w:hAnsi="宋体" w:eastAsia="仿宋_GB2312"/>
          <w:sz w:val="32"/>
          <w:szCs w:val="32"/>
        </w:rPr>
        <w:t>2021</w:t>
      </w:r>
      <w:r>
        <w:rPr>
          <w:rFonts w:hint="eastAsia" w:ascii="仿宋_GB2312" w:hAnsi="宋体"/>
          <w:sz w:val="32"/>
          <w:szCs w:val="32"/>
        </w:rPr>
        <w:t>﹞</w:t>
      </w:r>
      <w:r>
        <w:rPr>
          <w:rFonts w:hint="eastAsia" w:ascii="仿宋_GB2312" w:hAnsi="宋体" w:eastAsia="仿宋_GB2312"/>
          <w:sz w:val="32"/>
          <w:szCs w:val="32"/>
        </w:rPr>
        <w:t>14号</w:t>
      </w:r>
      <w:r>
        <w:rPr>
          <w:rFonts w:hint="eastAsia" w:ascii="仿宋_GB2312" w:eastAsia="仿宋_GB2312"/>
          <w:sz w:val="32"/>
          <w:szCs w:val="32"/>
        </w:rPr>
        <w:t>）和省发改委《关于2021-2022年供热季供热价格有关事项的通知》（鲁发改价格</w:t>
      </w:r>
      <w:r>
        <w:rPr>
          <w:rFonts w:hint="eastAsia" w:ascii="仿宋_GB2312" w:hAnsi="宋体"/>
          <w:sz w:val="32"/>
          <w:szCs w:val="32"/>
        </w:rPr>
        <w:t>﹝</w:t>
      </w:r>
      <w:r>
        <w:rPr>
          <w:rFonts w:hint="eastAsia" w:ascii="仿宋_GB2312" w:hAnsi="宋体" w:eastAsia="仿宋_GB2312"/>
          <w:sz w:val="32"/>
          <w:szCs w:val="32"/>
        </w:rPr>
        <w:t>2021</w:t>
      </w:r>
      <w:r>
        <w:rPr>
          <w:rFonts w:hint="eastAsia" w:ascii="仿宋_GB2312" w:hAnsi="宋体"/>
          <w:sz w:val="32"/>
          <w:szCs w:val="32"/>
        </w:rPr>
        <w:t>﹞</w:t>
      </w:r>
      <w:r>
        <w:rPr>
          <w:rFonts w:hint="eastAsia" w:ascii="仿宋_GB2312" w:hAnsi="宋体" w:eastAsia="仿宋_GB2312"/>
          <w:sz w:val="32"/>
          <w:szCs w:val="32"/>
        </w:rPr>
        <w:t>878号</w:t>
      </w:r>
      <w:r>
        <w:rPr>
          <w:rFonts w:hint="eastAsia" w:ascii="仿宋_GB2312" w:eastAsia="仿宋_GB2312"/>
          <w:sz w:val="32"/>
          <w:szCs w:val="32"/>
        </w:rPr>
        <w:t xml:space="preserve">）要求，经市政府同意，决定调整冬季非居民供热价格政策，现将有关事项通知如下： </w:t>
      </w:r>
    </w:p>
    <w:p>
      <w:pPr>
        <w:widowControl/>
        <w:shd w:val="clear" w:color="auto" w:fill="FFFFFF"/>
        <w:spacing w:line="560" w:lineRule="exact"/>
        <w:ind w:firstLine="640" w:firstLineChars="200"/>
        <w:jc w:val="left"/>
        <w:rPr>
          <w:rFonts w:ascii="黑体" w:hAnsi="黑体" w:eastAsia="黑体" w:cs="宋体"/>
          <w:color w:val="292929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292929"/>
          <w:kern w:val="0"/>
          <w:sz w:val="32"/>
          <w:szCs w:val="32"/>
        </w:rPr>
        <w:t>一、按面积计费价格</w:t>
      </w:r>
    </w:p>
    <w:p>
      <w:pPr>
        <w:widowControl/>
        <w:shd w:val="clear" w:color="auto" w:fill="FFFFFF"/>
        <w:spacing w:line="560" w:lineRule="exact"/>
        <w:ind w:firstLine="640" w:firstLineChars="200"/>
        <w:jc w:val="left"/>
        <w:rPr>
          <w:rFonts w:ascii="仿宋_GB2312" w:hAnsi="微软雅黑" w:eastAsia="仿宋_GB2312" w:cs="宋体"/>
          <w:color w:val="292929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292929"/>
          <w:kern w:val="0"/>
          <w:sz w:val="32"/>
          <w:szCs w:val="32"/>
        </w:rPr>
        <w:t>非居民供热按建筑面积计费，供热价格调整为33.90元/平方米。建筑层高3米以上的按建筑面积和层高系数计收供热费，即供热费=供热价格×建筑面积×（实际层高÷3）。</w:t>
      </w:r>
    </w:p>
    <w:p>
      <w:pPr>
        <w:widowControl/>
        <w:shd w:val="clear" w:color="auto" w:fill="FFFFFF"/>
        <w:spacing w:line="560" w:lineRule="exact"/>
        <w:jc w:val="left"/>
        <w:rPr>
          <w:rFonts w:ascii="黑体" w:hAnsi="黑体" w:eastAsia="黑体" w:cs="宋体"/>
          <w:color w:val="292929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292929"/>
          <w:kern w:val="0"/>
          <w:sz w:val="32"/>
          <w:szCs w:val="32"/>
        </w:rPr>
        <w:t>　　</w:t>
      </w:r>
      <w:r>
        <w:rPr>
          <w:rFonts w:hint="eastAsia" w:ascii="黑体" w:hAnsi="黑体" w:eastAsia="黑体" w:cs="宋体"/>
          <w:color w:val="292929"/>
          <w:kern w:val="0"/>
          <w:sz w:val="32"/>
          <w:szCs w:val="32"/>
        </w:rPr>
        <w:t>二、按热量计费价格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微软雅黑" w:eastAsia="仿宋_GB2312" w:cs="宋体"/>
          <w:color w:val="292929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292929"/>
          <w:kern w:val="0"/>
          <w:sz w:val="32"/>
          <w:szCs w:val="32"/>
        </w:rPr>
        <w:t>　　</w:t>
      </w:r>
      <w:r>
        <w:rPr>
          <w:rFonts w:hint="eastAsia" w:ascii="仿宋_GB2312" w:hAnsi="微软雅黑" w:eastAsia="仿宋_GB2312" w:cs="宋体"/>
          <w:b/>
          <w:color w:val="292929"/>
          <w:kern w:val="0"/>
          <w:sz w:val="32"/>
          <w:szCs w:val="32"/>
        </w:rPr>
        <w:t>1、单一制热价</w:t>
      </w:r>
      <w:r>
        <w:rPr>
          <w:rFonts w:hint="eastAsia" w:ascii="仿宋_GB2312" w:hAnsi="微软雅黑" w:eastAsia="仿宋_GB2312" w:cs="宋体"/>
          <w:color w:val="292929"/>
          <w:kern w:val="0"/>
          <w:sz w:val="32"/>
          <w:szCs w:val="32"/>
        </w:rPr>
        <w:t>。供热费按用热量计收，价格调整为77.5元/吉焦（0.279元/千瓦时）。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微软雅黑" w:eastAsia="仿宋_GB2312" w:cs="宋体"/>
          <w:color w:val="292929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292929"/>
          <w:kern w:val="0"/>
          <w:sz w:val="32"/>
          <w:szCs w:val="32"/>
        </w:rPr>
        <w:t>　　</w:t>
      </w:r>
      <w:r>
        <w:rPr>
          <w:rFonts w:hint="eastAsia" w:ascii="仿宋_GB2312" w:hAnsi="微软雅黑" w:eastAsia="仿宋_GB2312" w:cs="宋体"/>
          <w:b/>
          <w:color w:val="292929"/>
          <w:kern w:val="0"/>
          <w:sz w:val="32"/>
          <w:szCs w:val="32"/>
        </w:rPr>
        <w:t>2、两部制热价。</w:t>
      </w:r>
      <w:r>
        <w:rPr>
          <w:rFonts w:hint="eastAsia" w:ascii="仿宋_GB2312" w:hAnsi="微软雅黑" w:eastAsia="仿宋_GB2312" w:cs="宋体"/>
          <w:color w:val="292929"/>
          <w:kern w:val="0"/>
          <w:sz w:val="32"/>
          <w:szCs w:val="32"/>
        </w:rPr>
        <w:t>供热费=基本供热费+计量供热费=基本热价×建筑面积+计量热价×用热量。其中，基本热价调整为10.17元/平方米，计量热价调整为54.25元/吉焦（0.1953元/千瓦时），建筑面积不计算层高系数。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微软雅黑" w:eastAsia="仿宋_GB2312" w:cs="宋体"/>
          <w:color w:val="292929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292929"/>
          <w:kern w:val="0"/>
          <w:sz w:val="32"/>
          <w:szCs w:val="32"/>
        </w:rPr>
        <w:t>　　3、实行按热量计费的非居民用户在供暖期开始前，按面积计费额（不计算层高系数）一次性预交供热费。供暖期结束后，按用热量据实结算，实行多退少补，用户（不含建筑层高3米以上的用户）补交额最多不超过用户预交供热费的10%。</w:t>
      </w:r>
    </w:p>
    <w:p>
      <w:pPr>
        <w:widowControl/>
        <w:shd w:val="clear" w:color="auto" w:fill="FFFFFF"/>
        <w:spacing w:line="560" w:lineRule="exact"/>
        <w:jc w:val="left"/>
        <w:rPr>
          <w:rFonts w:ascii="黑体" w:hAnsi="黑体" w:eastAsia="黑体" w:cs="宋体"/>
          <w:color w:val="292929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292929"/>
          <w:kern w:val="0"/>
          <w:sz w:val="32"/>
          <w:szCs w:val="32"/>
        </w:rPr>
        <w:t>　　</w:t>
      </w:r>
      <w:r>
        <w:rPr>
          <w:rFonts w:hint="eastAsia" w:ascii="黑体" w:hAnsi="黑体" w:eastAsia="黑体" w:cs="宋体"/>
          <w:color w:val="292929"/>
          <w:kern w:val="0"/>
          <w:sz w:val="32"/>
          <w:szCs w:val="32"/>
        </w:rPr>
        <w:t>三、其他事宜</w:t>
      </w:r>
    </w:p>
    <w:p>
      <w:pPr>
        <w:widowControl/>
        <w:shd w:val="clear" w:color="auto" w:fill="FFFFFF"/>
        <w:spacing w:line="560" w:lineRule="exact"/>
        <w:ind w:firstLine="640" w:firstLineChars="200"/>
        <w:jc w:val="left"/>
        <w:rPr>
          <w:rFonts w:ascii="仿宋_GB2312" w:hAnsi="Times New Roman" w:eastAsia="仿宋_GB2312"/>
          <w:spacing w:val="-2"/>
          <w:sz w:val="32"/>
          <w:szCs w:val="32"/>
        </w:rPr>
      </w:pPr>
      <w:r>
        <w:rPr>
          <w:rFonts w:hint="eastAsia" w:ascii="仿宋_GB2312" w:hAnsi="微软雅黑" w:eastAsia="仿宋_GB2312" w:cs="宋体"/>
          <w:color w:val="292929"/>
          <w:kern w:val="0"/>
          <w:sz w:val="32"/>
          <w:szCs w:val="32"/>
        </w:rPr>
        <w:t>调整后的价格自2021-2022年供暖期开始执行。有效期自2021年11月10日至2026年11月9日。</w:t>
      </w:r>
    </w:p>
    <w:p>
      <w:pPr>
        <w:spacing w:line="600" w:lineRule="exact"/>
        <w:ind w:firstLine="948" w:firstLineChars="300"/>
        <w:rPr>
          <w:rFonts w:ascii="仿宋_GB2312" w:hAnsi="Times New Roman" w:eastAsia="仿宋_GB2312"/>
          <w:spacing w:val="-2"/>
          <w:sz w:val="32"/>
          <w:szCs w:val="32"/>
        </w:rPr>
      </w:pPr>
    </w:p>
    <w:p>
      <w:pPr>
        <w:spacing w:line="600" w:lineRule="exact"/>
        <w:ind w:firstLine="316" w:firstLineChars="100"/>
        <w:rPr>
          <w:rFonts w:ascii="仿宋_GB2312" w:hAnsi="Times New Roman" w:eastAsia="仿宋_GB2312"/>
          <w:spacing w:val="-2"/>
          <w:sz w:val="32"/>
          <w:szCs w:val="32"/>
        </w:rPr>
      </w:pPr>
      <w:r>
        <w:rPr>
          <w:rFonts w:hint="eastAsia" w:ascii="仿宋_GB2312" w:hAnsi="Times New Roman" w:eastAsia="仿宋_GB2312"/>
          <w:spacing w:val="-2"/>
          <w:sz w:val="32"/>
          <w:szCs w:val="32"/>
        </w:rPr>
        <w:t>荣成市发展和改革局           荣成市住房城乡建设局</w:t>
      </w:r>
    </w:p>
    <w:p>
      <w:pPr>
        <w:spacing w:line="600" w:lineRule="exact"/>
        <w:jc w:val="center"/>
        <w:rPr>
          <w:rFonts w:ascii="仿宋_GB2312" w:hAnsi="Times New Roman" w:eastAsia="仿宋_GB2312"/>
          <w:spacing w:val="-2"/>
          <w:sz w:val="32"/>
          <w:szCs w:val="32"/>
        </w:rPr>
      </w:pPr>
      <w:r>
        <w:rPr>
          <w:rFonts w:hint="eastAsia" w:ascii="仿宋_GB2312" w:hAnsi="Times New Roman" w:eastAsia="仿宋_GB2312"/>
          <w:spacing w:val="-2"/>
          <w:sz w:val="32"/>
          <w:szCs w:val="32"/>
        </w:rPr>
        <w:t xml:space="preserve">     </w:t>
      </w:r>
    </w:p>
    <w:p>
      <w:pPr>
        <w:spacing w:line="600" w:lineRule="exact"/>
        <w:jc w:val="center"/>
        <w:rPr>
          <w:rFonts w:ascii="仿宋_GB2312" w:hAnsi="Times New Roman" w:eastAsia="仿宋_GB2312"/>
          <w:spacing w:val="-2"/>
          <w:sz w:val="32"/>
          <w:szCs w:val="32"/>
        </w:rPr>
      </w:pPr>
      <w:r>
        <w:rPr>
          <w:rFonts w:hint="eastAsia" w:ascii="仿宋_GB2312" w:hAnsi="Times New Roman" w:eastAsia="仿宋_GB2312"/>
          <w:spacing w:val="-2"/>
          <w:sz w:val="32"/>
          <w:szCs w:val="32"/>
        </w:rPr>
        <w:t xml:space="preserve">                     </w:t>
      </w:r>
    </w:p>
    <w:p>
      <w:pPr>
        <w:spacing w:line="580" w:lineRule="exact"/>
        <w:ind w:firstLine="5005" w:firstLineChars="1750"/>
        <w:rPr>
          <w:rFonts w:ascii="Times New Roman" w:hAnsi="Times New Roman" w:eastAsia="仿宋_GB2312"/>
          <w:spacing w:val="-2"/>
          <w:sz w:val="32"/>
          <w:szCs w:val="32"/>
        </w:rPr>
      </w:pPr>
      <w:r>
        <w:rPr>
          <w:rFonts w:ascii="Times New Roman" w:hAnsi="Times New Roman" w:eastAsia="仿宋_GB2312"/>
          <w:spacing w:val="-17"/>
          <w:sz w:val="32"/>
          <w:szCs w:val="32"/>
        </w:rPr>
        <w:t>荣成市</w:t>
      </w:r>
      <w:r>
        <w:rPr>
          <w:rFonts w:hint="eastAsia" w:ascii="Times New Roman" w:hAnsi="Times New Roman" w:eastAsia="仿宋_GB2312"/>
          <w:spacing w:val="-17"/>
          <w:sz w:val="32"/>
          <w:szCs w:val="32"/>
        </w:rPr>
        <w:t>财政</w:t>
      </w:r>
      <w:r>
        <w:rPr>
          <w:rFonts w:ascii="Times New Roman" w:hAnsi="Times New Roman" w:eastAsia="仿宋_GB2312"/>
          <w:spacing w:val="-17"/>
          <w:sz w:val="32"/>
          <w:szCs w:val="32"/>
        </w:rPr>
        <w:t>局</w:t>
      </w:r>
      <w:r>
        <w:rPr>
          <w:rFonts w:ascii="Times New Roman" w:hAnsi="Times New Roman" w:eastAsia="仿宋_GB2312"/>
          <w:spacing w:val="-2"/>
          <w:sz w:val="32"/>
          <w:szCs w:val="32"/>
        </w:rPr>
        <w:t xml:space="preserve">                 </w:t>
      </w:r>
    </w:p>
    <w:p>
      <w:pPr>
        <w:spacing w:line="580" w:lineRule="exact"/>
        <w:jc w:val="center"/>
        <w:rPr>
          <w:rFonts w:ascii="Times New Roman" w:hAnsi="Times New Roman" w:eastAsia="仿宋_GB2312"/>
          <w:spacing w:val="-2"/>
          <w:sz w:val="32"/>
          <w:szCs w:val="32"/>
        </w:rPr>
      </w:pPr>
      <w:r>
        <w:rPr>
          <w:rFonts w:ascii="Times New Roman" w:hAnsi="Times New Roman" w:eastAsia="仿宋_GB2312"/>
          <w:spacing w:val="-2"/>
          <w:sz w:val="32"/>
          <w:szCs w:val="32"/>
        </w:rPr>
        <w:t xml:space="preserve">                  </w:t>
      </w:r>
      <w:r>
        <w:rPr>
          <w:rFonts w:hint="eastAsia" w:ascii="Times New Roman" w:hAnsi="Times New Roman" w:eastAsia="仿宋_GB2312"/>
          <w:spacing w:val="-2"/>
          <w:sz w:val="32"/>
          <w:szCs w:val="32"/>
        </w:rPr>
        <w:t xml:space="preserve">     </w:t>
      </w:r>
      <w:r>
        <w:rPr>
          <w:rFonts w:ascii="Times New Roman" w:hAnsi="Times New Roman" w:eastAsia="仿宋_GB2312"/>
          <w:spacing w:val="-2"/>
          <w:sz w:val="32"/>
          <w:szCs w:val="32"/>
        </w:rPr>
        <w:t xml:space="preserve"> 2021年</w:t>
      </w:r>
      <w:r>
        <w:rPr>
          <w:rFonts w:hint="eastAsia" w:ascii="Times New Roman" w:hAnsi="Times New Roman" w:eastAsia="仿宋_GB2312"/>
          <w:spacing w:val="-2"/>
          <w:sz w:val="32"/>
          <w:szCs w:val="32"/>
        </w:rPr>
        <w:t>11</w:t>
      </w:r>
      <w:r>
        <w:rPr>
          <w:rFonts w:ascii="Times New Roman" w:hAnsi="Times New Roman" w:eastAsia="仿宋_GB2312"/>
          <w:spacing w:val="-2"/>
          <w:sz w:val="32"/>
          <w:szCs w:val="32"/>
        </w:rPr>
        <w:t>月</w:t>
      </w:r>
      <w:r>
        <w:rPr>
          <w:rFonts w:hint="eastAsia" w:ascii="Times New Roman" w:hAnsi="Times New Roman" w:eastAsia="仿宋_GB2312"/>
          <w:spacing w:val="-2"/>
          <w:sz w:val="32"/>
          <w:szCs w:val="32"/>
        </w:rPr>
        <w:t>10</w:t>
      </w:r>
      <w:r>
        <w:rPr>
          <w:rFonts w:ascii="Times New Roman" w:hAnsi="Times New Roman" w:eastAsia="仿宋_GB2312"/>
          <w:spacing w:val="-2"/>
          <w:sz w:val="32"/>
          <w:szCs w:val="32"/>
        </w:rPr>
        <w:t>日</w:t>
      </w:r>
    </w:p>
    <w:p>
      <w:pPr>
        <w:rPr>
          <w:rFonts w:ascii="仿宋_GB2312" w:hAnsi="仿宋" w:eastAsia="仿宋_GB2312"/>
          <w:w w:val="96"/>
          <w:sz w:val="32"/>
          <w:szCs w:val="32"/>
        </w:rPr>
      </w:pPr>
    </w:p>
    <w:p>
      <w:pPr>
        <w:rPr>
          <w:rFonts w:ascii="仿宋_GB2312" w:hAnsi="仿宋" w:eastAsia="仿宋_GB2312"/>
          <w:w w:val="96"/>
          <w:sz w:val="32"/>
          <w:szCs w:val="32"/>
        </w:rPr>
      </w:pPr>
    </w:p>
    <w:p>
      <w:pPr>
        <w:rPr>
          <w:rFonts w:ascii="仿宋_GB2312" w:hAnsi="仿宋" w:eastAsia="仿宋_GB2312"/>
          <w:w w:val="96"/>
          <w:sz w:val="32"/>
          <w:szCs w:val="32"/>
        </w:rPr>
      </w:pPr>
    </w:p>
    <w:p>
      <w:pPr>
        <w:rPr>
          <w:rFonts w:ascii="仿宋_GB2312" w:hAnsi="仿宋" w:eastAsia="仿宋_GB2312"/>
          <w:w w:val="96"/>
          <w:sz w:val="32"/>
          <w:szCs w:val="32"/>
        </w:rPr>
      </w:pPr>
    </w:p>
    <w:p>
      <w:pPr>
        <w:rPr>
          <w:rFonts w:ascii="仿宋_GB2312" w:hAnsi="仿宋" w:eastAsia="仿宋_GB2312"/>
          <w:w w:val="96"/>
          <w:sz w:val="32"/>
          <w:szCs w:val="32"/>
        </w:rPr>
      </w:pPr>
    </w:p>
    <w:p>
      <w:pPr>
        <w:rPr>
          <w:rFonts w:ascii="仿宋_GB2312" w:hAnsi="仿宋" w:eastAsia="仿宋_GB2312"/>
          <w:w w:val="96"/>
          <w:sz w:val="32"/>
          <w:szCs w:val="32"/>
        </w:rPr>
      </w:pPr>
    </w:p>
    <w:p>
      <w:pPr>
        <w:rPr>
          <w:rFonts w:ascii="仿宋_GB2312" w:hAnsi="仿宋" w:eastAsia="仿宋_GB2312"/>
          <w:w w:val="96"/>
          <w:sz w:val="32"/>
          <w:szCs w:val="32"/>
        </w:rPr>
      </w:pPr>
    </w:p>
    <w:p>
      <w:pPr>
        <w:spacing w:line="580" w:lineRule="exact"/>
        <w:rPr>
          <w:rFonts w:ascii="仿宋_GB2312" w:hAnsi="Times New Roman" w:eastAsia="仿宋_GB2312"/>
          <w:sz w:val="28"/>
          <w:szCs w:val="28"/>
        </w:rPr>
      </w:pPr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6" w:h="16838"/>
      <w:pgMar w:top="1418" w:right="1701" w:bottom="1418" w:left="1701" w:header="851" w:footer="1134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FKai-SB">
    <w:panose1 w:val="03000509000000000000"/>
    <w:charset w:val="88"/>
    <w:family w:val="script"/>
    <w:pitch w:val="default"/>
    <w:sig w:usb0="00000003" w:usb1="082E0000" w:usb2="00000016" w:usb3="00000000" w:csb0="0010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separate"/>
    </w:r>
    <w:r>
      <w:rPr>
        <w:rStyle w:val="15"/>
      </w:rPr>
      <w:t>- 2 -</w:t>
    </w:r>
    <w:r>
      <w:fldChar w:fldCharType="end"/>
    </w:r>
  </w:p>
  <w:p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adjustLineHeightInTable/>
    <w:useFELayout/>
    <w:compatSetting w:name="compatibilityMode" w:uri="http://schemas.microsoft.com/office/word" w:val="12"/>
  </w:compat>
  <w:docVars>
    <w:docVar w:name="commondata" w:val="eyJoZGlkIjoiYWYxNWFkMWQzNjRiN2ZlMzFkODM2ZTdmYWVmZjhlY2QifQ=="/>
  </w:docVars>
  <w:rsids>
    <w:rsidRoot w:val="00172A27"/>
    <w:rsid w:val="00104B88"/>
    <w:rsid w:val="00172A27"/>
    <w:rsid w:val="0022141F"/>
    <w:rsid w:val="002B02FD"/>
    <w:rsid w:val="002D6945"/>
    <w:rsid w:val="00322682"/>
    <w:rsid w:val="004231D5"/>
    <w:rsid w:val="004E3BD3"/>
    <w:rsid w:val="0050300D"/>
    <w:rsid w:val="006A5C1C"/>
    <w:rsid w:val="007B3E80"/>
    <w:rsid w:val="0085509F"/>
    <w:rsid w:val="00A76835"/>
    <w:rsid w:val="00AE7963"/>
    <w:rsid w:val="00BE5A6B"/>
    <w:rsid w:val="00C93B25"/>
    <w:rsid w:val="00CA0500"/>
    <w:rsid w:val="00CA18B6"/>
    <w:rsid w:val="00D6119C"/>
    <w:rsid w:val="00EC2CB4"/>
    <w:rsid w:val="5B522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4"/>
    <w:uiPriority w:val="0"/>
    <w:rPr>
      <w:sz w:val="18"/>
      <w:szCs w:val="18"/>
    </w:rPr>
  </w:style>
  <w:style w:type="paragraph" w:styleId="3">
    <w:name w:val="footer"/>
    <w:basedOn w:val="1"/>
    <w:link w:val="13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qFormat/>
    <w:uiPriority w:val="0"/>
    <w:rPr>
      <w:b/>
      <w:bCs/>
    </w:rPr>
  </w:style>
  <w:style w:type="character" w:styleId="8">
    <w:name w:val="FollowedHyperlink"/>
    <w:basedOn w:val="6"/>
    <w:uiPriority w:val="0"/>
    <w:rPr>
      <w:color w:val="800080"/>
      <w:u w:val="single"/>
    </w:rPr>
  </w:style>
  <w:style w:type="character" w:styleId="9">
    <w:name w:val="Hyperlink"/>
    <w:basedOn w:val="6"/>
    <w:uiPriority w:val="0"/>
    <w:rPr>
      <w:rFonts w:hint="default" w:ascii="Times New Roman" w:hAnsi="Times New Roman" w:cs="Times New Roman"/>
      <w:color w:val="0000FF"/>
      <w:u w:val="single"/>
    </w:rPr>
  </w:style>
  <w:style w:type="character" w:customStyle="1" w:styleId="10">
    <w:name w:val="日期 Char"/>
    <w:basedOn w:val="6"/>
    <w:link w:val="11"/>
    <w:uiPriority w:val="0"/>
  </w:style>
  <w:style w:type="paragraph" w:customStyle="1" w:styleId="11">
    <w:name w:val="日期1"/>
    <w:basedOn w:val="1"/>
    <w:next w:val="1"/>
    <w:link w:val="10"/>
    <w:uiPriority w:val="0"/>
    <w:pPr>
      <w:ind w:left="100" w:leftChars="2500"/>
    </w:pPr>
  </w:style>
  <w:style w:type="character" w:customStyle="1" w:styleId="12">
    <w:name w:val="页眉 Char"/>
    <w:link w:val="4"/>
    <w:uiPriority w:val="0"/>
    <w:rPr>
      <w:sz w:val="18"/>
      <w:szCs w:val="18"/>
    </w:rPr>
  </w:style>
  <w:style w:type="character" w:customStyle="1" w:styleId="13">
    <w:name w:val="页脚 Char"/>
    <w:link w:val="3"/>
    <w:uiPriority w:val="0"/>
    <w:rPr>
      <w:sz w:val="18"/>
      <w:szCs w:val="18"/>
    </w:rPr>
  </w:style>
  <w:style w:type="character" w:customStyle="1" w:styleId="14">
    <w:name w:val="批注框文本 Char"/>
    <w:basedOn w:val="6"/>
    <w:link w:val="2"/>
    <w:uiPriority w:val="0"/>
    <w:rPr>
      <w:kern w:val="2"/>
      <w:sz w:val="18"/>
      <w:szCs w:val="18"/>
    </w:rPr>
  </w:style>
  <w:style w:type="character" w:customStyle="1" w:styleId="15">
    <w:name w:val="页码1"/>
    <w:basedOn w:val="6"/>
    <w:uiPriority w:val="0"/>
  </w:style>
  <w:style w:type="character" w:customStyle="1" w:styleId="16">
    <w:name w:val="访问过的超链接1"/>
    <w:basedOn w:val="6"/>
    <w:uiPriority w:val="0"/>
    <w:rPr>
      <w:color w:val="800080"/>
      <w:u w:val="single"/>
    </w:rPr>
  </w:style>
  <w:style w:type="character" w:customStyle="1" w:styleId="17">
    <w:name w:val="apple-converted-space"/>
    <w:basedOn w:val="6"/>
    <w:uiPriority w:val="0"/>
    <w:rPr>
      <w:rFonts w:hint="default" w:ascii="Times New Roman" w:hAnsi="Times New Roman" w:cs="Times New Roman"/>
    </w:rPr>
  </w:style>
  <w:style w:type="paragraph" w:customStyle="1" w:styleId="18">
    <w:name w:val="列出段落1"/>
    <w:basedOn w:val="1"/>
    <w:uiPriority w:val="0"/>
    <w:pPr>
      <w:ind w:firstLine="420" w:firstLineChars="200"/>
    </w:pPr>
  </w:style>
  <w:style w:type="paragraph" w:customStyle="1" w:styleId="19">
    <w:name w:val="普通(网站)1"/>
    <w:basedOn w:val="1"/>
    <w:uiPriority w:val="0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20">
    <w:name w:val="普通(网站)11"/>
    <w:basedOn w:val="1"/>
    <w:uiPriority w:val="0"/>
    <w:pPr>
      <w:widowControl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147</Words>
  <Characters>839</Characters>
  <Lines>6</Lines>
  <Paragraphs>1</Paragraphs>
  <TotalTime>0</TotalTime>
  <ScaleCrop>false</ScaleCrop>
  <LinksUpToDate>false</LinksUpToDate>
  <CharactersWithSpaces>985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2021-11-07T23:49:00Z</dcterms:created>
  <dc:creator>lenovo</dc:creator>
  <cp:lastModifiedBy>水煮青菜</cp:lastModifiedBy>
  <cp:lastPrinted>2021-11-08T00:45:00Z</cp:lastPrinted>
  <dcterms:modified xsi:type="dcterms:W3CDTF">2023-09-26T07:36:38Z</dcterms:modified>
  <dc:title>微软用户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8E8E7C0B2CF44B068F4444D385026A1E_12</vt:lpwstr>
  </property>
</Properties>
</file>