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仿宋_GB2312" w:hAnsi="仿宋_GB2312" w:eastAsia="仿宋_GB2312" w:cs="仿宋_GB2312"/>
          <w:b/>
          <w:color w:val="auto"/>
          <w:kern w:val="0"/>
          <w:sz w:val="36"/>
          <w:szCs w:val="36"/>
          <w:highlight w:val="none"/>
          <w:lang w:val="en-US" w:eastAsia="zh-CN" w:bidi="ar"/>
        </w:rPr>
      </w:pPr>
    </w:p>
    <w:p>
      <w:pPr>
        <w:keepNext w:val="0"/>
        <w:keepLines w:val="0"/>
        <w:widowControl/>
        <w:suppressLineNumbers w:val="0"/>
        <w:jc w:val="center"/>
        <w:rPr>
          <w:rFonts w:hint="eastAsia" w:ascii="仿宋_GB2312" w:hAnsi="仿宋_GB2312" w:eastAsia="仿宋_GB2312" w:cs="仿宋_GB2312"/>
          <w:b/>
          <w:color w:val="auto"/>
          <w:kern w:val="0"/>
          <w:sz w:val="36"/>
          <w:szCs w:val="36"/>
          <w:highlight w:val="none"/>
          <w:lang w:val="en-US" w:eastAsia="zh-CN" w:bidi="ar"/>
        </w:rPr>
      </w:pPr>
    </w:p>
    <w:p>
      <w:pPr>
        <w:keepNext w:val="0"/>
        <w:keepLines w:val="0"/>
        <w:widowControl/>
        <w:suppressLineNumbers w:val="0"/>
        <w:jc w:val="center"/>
        <w:rPr>
          <w:rFonts w:hint="eastAsia" w:ascii="仿宋_GB2312" w:hAnsi="仿宋_GB2312" w:eastAsia="仿宋_GB2312" w:cs="仿宋_GB2312"/>
          <w:b/>
          <w:color w:val="auto"/>
          <w:kern w:val="0"/>
          <w:sz w:val="36"/>
          <w:szCs w:val="36"/>
          <w:highlight w:val="none"/>
          <w:lang w:val="en-US" w:eastAsia="zh-CN" w:bidi="ar"/>
        </w:rPr>
      </w:pPr>
    </w:p>
    <w:p>
      <w:pPr>
        <w:keepNext w:val="0"/>
        <w:keepLines w:val="0"/>
        <w:widowControl/>
        <w:suppressLineNumbers w:val="0"/>
        <w:jc w:val="center"/>
        <w:rPr>
          <w:rFonts w:hint="eastAsia" w:ascii="仿宋_GB2312" w:hAnsi="仿宋_GB2312" w:eastAsia="仿宋_GB2312" w:cs="仿宋_GB2312"/>
          <w:b/>
          <w:color w:val="auto"/>
          <w:kern w:val="0"/>
          <w:sz w:val="36"/>
          <w:szCs w:val="36"/>
          <w:highlight w:val="none"/>
          <w:lang w:val="en-US" w:eastAsia="zh-CN" w:bidi="ar"/>
        </w:rPr>
      </w:pPr>
      <w:r>
        <w:rPr>
          <w:rFonts w:hint="eastAsia" w:ascii="仿宋_GB2312" w:hAnsi="仿宋_GB2312" w:eastAsia="仿宋_GB2312" w:cs="仿宋_GB2312"/>
          <w:b/>
          <w:color w:val="auto"/>
          <w:kern w:val="0"/>
          <w:sz w:val="36"/>
          <w:szCs w:val="36"/>
          <w:highlight w:val="none"/>
          <w:lang w:val="en-US" w:eastAsia="zh-CN" w:bidi="ar"/>
        </w:rPr>
        <w:t>2025年荣成市区输配电设备更新改造项目土建工程</w:t>
      </w:r>
    </w:p>
    <w:p>
      <w:pPr>
        <w:keepNext w:val="0"/>
        <w:keepLines w:val="0"/>
        <w:widowControl/>
        <w:suppressLineNumbers w:val="0"/>
        <w:jc w:val="both"/>
        <w:rPr>
          <w:rFonts w:hint="eastAsia" w:ascii="仿宋_GB2312" w:hAnsi="仿宋_GB2312" w:eastAsia="仿宋_GB2312" w:cs="仿宋_GB2312"/>
          <w:b/>
          <w:color w:val="auto"/>
          <w:kern w:val="0"/>
          <w:sz w:val="44"/>
          <w:szCs w:val="44"/>
          <w:highlight w:val="none"/>
          <w:lang w:val="en-US" w:eastAsia="zh-CN" w:bidi="ar"/>
        </w:rPr>
      </w:pPr>
    </w:p>
    <w:p>
      <w:pPr>
        <w:keepNext w:val="0"/>
        <w:keepLines w:val="0"/>
        <w:widowControl/>
        <w:suppressLineNumbers w:val="0"/>
        <w:jc w:val="center"/>
        <w:rPr>
          <w:rFonts w:hint="eastAsia" w:ascii="黑体" w:hAnsi="宋体" w:eastAsia="黑体" w:cs="黑体"/>
          <w:b/>
          <w:color w:val="auto"/>
          <w:kern w:val="0"/>
          <w:sz w:val="48"/>
          <w:szCs w:val="48"/>
          <w:highlight w:val="none"/>
          <w:lang w:val="en-US" w:eastAsia="zh-CN" w:bidi="ar"/>
        </w:rPr>
      </w:pPr>
    </w:p>
    <w:p>
      <w:pPr>
        <w:keepNext w:val="0"/>
        <w:keepLines w:val="0"/>
        <w:widowControl/>
        <w:suppressLineNumbers w:val="0"/>
        <w:jc w:val="center"/>
        <w:rPr>
          <w:rFonts w:hint="eastAsia" w:ascii="黑体" w:hAnsi="宋体" w:eastAsia="黑体" w:cs="黑体"/>
          <w:b/>
          <w:color w:val="auto"/>
          <w:kern w:val="0"/>
          <w:sz w:val="72"/>
          <w:szCs w:val="72"/>
          <w:highlight w:val="none"/>
          <w:lang w:val="en-US" w:eastAsia="zh-CN" w:bidi="ar"/>
        </w:rPr>
      </w:pPr>
      <w:r>
        <w:rPr>
          <w:rFonts w:hint="eastAsia" w:ascii="黑体" w:hAnsi="宋体" w:eastAsia="黑体" w:cs="黑体"/>
          <w:b/>
          <w:color w:val="auto"/>
          <w:kern w:val="0"/>
          <w:sz w:val="72"/>
          <w:szCs w:val="72"/>
          <w:highlight w:val="none"/>
          <w:lang w:val="en-US" w:eastAsia="zh-CN" w:bidi="ar"/>
        </w:rPr>
        <w:t>风险评估报告</w:t>
      </w: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widowControl/>
        <w:suppressLineNumbers w:val="0"/>
        <w:jc w:val="left"/>
        <w:rPr>
          <w:rFonts w:hint="eastAsia" w:ascii="黑体" w:hAnsi="宋体" w:eastAsia="黑体" w:cs="黑体"/>
          <w:b/>
          <w:color w:val="auto"/>
          <w:kern w:val="0"/>
          <w:sz w:val="55"/>
          <w:szCs w:val="55"/>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color w:val="auto"/>
          <w:sz w:val="16"/>
          <w:szCs w:val="20"/>
          <w:highlight w:val="none"/>
        </w:rPr>
      </w:pPr>
      <w:r>
        <w:rPr>
          <w:rFonts w:hint="eastAsia" w:ascii="仿宋" w:hAnsi="仿宋" w:eastAsia="仿宋" w:cs="仿宋"/>
          <w:color w:val="auto"/>
          <w:kern w:val="0"/>
          <w:sz w:val="32"/>
          <w:szCs w:val="32"/>
          <w:highlight w:val="none"/>
          <w:lang w:val="en-US" w:eastAsia="zh-CN" w:bidi="ar"/>
        </w:rPr>
        <w:t>委托单位：荣成市住房保障服务中心</w:t>
      </w:r>
    </w:p>
    <w:p>
      <w:pPr>
        <w:keepNext w:val="0"/>
        <w:keepLines w:val="0"/>
        <w:pageBreakBefore w:val="0"/>
        <w:widowControl/>
        <w:suppressLineNumbers w:val="0"/>
        <w:kinsoku/>
        <w:wordWrap/>
        <w:overflowPunct/>
        <w:topLinePunct w:val="0"/>
        <w:autoSpaceDE/>
        <w:autoSpaceDN/>
        <w:bidi w:val="0"/>
        <w:adjustRightInd/>
        <w:snapToGrid/>
        <w:ind w:firstLine="1120" w:firstLineChars="350"/>
        <w:jc w:val="left"/>
        <w:textAlignment w:val="auto"/>
        <w:rPr>
          <w:rFonts w:hint="eastAsia" w:ascii="仿宋" w:hAnsi="仿宋" w:eastAsia="仿宋" w:cs="仿宋"/>
          <w:color w:val="auto"/>
          <w:sz w:val="16"/>
          <w:szCs w:val="20"/>
          <w:highlight w:val="none"/>
        </w:rPr>
      </w:pPr>
      <w:r>
        <w:rPr>
          <w:rFonts w:hint="eastAsia" w:ascii="仿宋" w:hAnsi="仿宋" w:eastAsia="仿宋" w:cs="仿宋"/>
          <w:color w:val="auto"/>
          <w:kern w:val="0"/>
          <w:sz w:val="32"/>
          <w:szCs w:val="32"/>
          <w:highlight w:val="none"/>
          <w:lang w:val="en-US" w:eastAsia="zh-CN" w:bidi="ar"/>
        </w:rPr>
        <w:t>编制单位：山东佳展建设工程管理有限公司</w:t>
      </w:r>
    </w:p>
    <w:p>
      <w:pPr>
        <w:keepNext w:val="0"/>
        <w:keepLines w:val="0"/>
        <w:pageBreakBefore w:val="0"/>
        <w:widowControl/>
        <w:suppressLineNumbers w:val="0"/>
        <w:kinsoku/>
        <w:wordWrap/>
        <w:overflowPunct/>
        <w:topLinePunct w:val="0"/>
        <w:autoSpaceDE/>
        <w:autoSpaceDN/>
        <w:bidi w:val="0"/>
        <w:adjustRightInd/>
        <w:snapToGrid/>
        <w:ind w:firstLine="1760" w:firstLineChars="550"/>
        <w:jc w:val="left"/>
        <w:textAlignment w:val="auto"/>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日    期：二〇二五年三月</w:t>
      </w:r>
    </w:p>
    <w:p>
      <w:pPr>
        <w:keepNext w:val="0"/>
        <w:keepLines w:val="0"/>
        <w:widowControl/>
        <w:suppressLineNumbers w:val="0"/>
        <w:jc w:val="center"/>
        <w:rPr>
          <w:rFonts w:ascii="仿宋" w:hAnsi="仿宋" w:eastAsia="仿宋" w:cs="仿宋"/>
          <w:b/>
          <w:color w:val="auto"/>
          <w:kern w:val="0"/>
          <w:sz w:val="36"/>
          <w:szCs w:val="36"/>
          <w:highlight w:val="none"/>
          <w:lang w:val="en-US" w:eastAsia="zh-CN" w:bidi="ar"/>
        </w:rPr>
      </w:pPr>
    </w:p>
    <w:p>
      <w:pPr>
        <w:rPr>
          <w:rFonts w:hint="eastAsia"/>
          <w:color w:val="auto"/>
          <w:highlight w:val="none"/>
          <w:lang w:val="en-US" w:eastAsia="zh-CN"/>
        </w:rPr>
      </w:pPr>
    </w:p>
    <w:p>
      <w:pPr>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color w:val="auto"/>
          <w:sz w:val="28"/>
          <w:szCs w:val="36"/>
          <w:highlight w:val="none"/>
          <w:lang w:val="en-US" w:eastAsia="zh-CN"/>
        </w:rPr>
      </w:pPr>
      <w:r>
        <w:rPr>
          <w:rFonts w:hint="eastAsia"/>
          <w:color w:val="auto"/>
          <w:sz w:val="28"/>
          <w:szCs w:val="36"/>
          <w:highlight w:val="none"/>
          <w:lang w:val="en-US" w:eastAsia="zh-CN"/>
        </w:rPr>
        <w:t>编制单位：山东佳展建设工程管理有限公司</w:t>
      </w: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color w:val="auto"/>
          <w:sz w:val="28"/>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textAlignment w:val="auto"/>
        <w:rPr>
          <w:rFonts w:hint="default"/>
          <w:color w:val="auto"/>
          <w:sz w:val="28"/>
          <w:szCs w:val="36"/>
          <w:highlight w:val="none"/>
          <w:lang w:val="en-US" w:eastAsia="zh-CN"/>
        </w:rPr>
      </w:pPr>
      <w:r>
        <w:rPr>
          <w:rFonts w:hint="eastAsia"/>
          <w:color w:val="auto"/>
          <w:sz w:val="28"/>
          <w:szCs w:val="36"/>
          <w:highlight w:val="none"/>
          <w:lang w:val="en-US" w:eastAsia="zh-CN"/>
        </w:rPr>
        <w:t>技术负责人：  许文科    高级工程师  风险评估师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textAlignment w:val="auto"/>
        <w:rPr>
          <w:rFonts w:hint="default"/>
          <w:color w:val="auto"/>
          <w:sz w:val="28"/>
          <w:szCs w:val="36"/>
          <w:highlight w:val="none"/>
          <w:lang w:val="en-US" w:eastAsia="zh-CN"/>
        </w:rPr>
      </w:pPr>
      <w:r>
        <w:rPr>
          <w:rFonts w:hint="eastAsia"/>
          <w:color w:val="auto"/>
          <w:sz w:val="28"/>
          <w:szCs w:val="36"/>
          <w:highlight w:val="none"/>
          <w:lang w:val="en-US" w:eastAsia="zh-CN"/>
        </w:rPr>
        <w:t>编制人员：    蒋晓玲    风险评估师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ind w:firstLine="1960" w:firstLineChars="700"/>
        <w:textAlignment w:val="auto"/>
        <w:rPr>
          <w:rFonts w:hint="default"/>
          <w:color w:val="auto"/>
          <w:sz w:val="28"/>
          <w:szCs w:val="36"/>
          <w:highlight w:val="none"/>
          <w:lang w:val="en-US" w:eastAsia="zh-CN"/>
        </w:rPr>
      </w:pPr>
      <w:r>
        <w:rPr>
          <w:rFonts w:hint="eastAsia"/>
          <w:color w:val="auto"/>
          <w:sz w:val="28"/>
          <w:szCs w:val="36"/>
          <w:highlight w:val="none"/>
          <w:lang w:val="en-US" w:eastAsia="zh-CN"/>
        </w:rPr>
        <w:t>徐  丽    风险评估师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textAlignment w:val="auto"/>
        <w:rPr>
          <w:rFonts w:hint="eastAsia"/>
          <w:color w:val="auto"/>
          <w:sz w:val="28"/>
          <w:szCs w:val="36"/>
          <w:highlight w:val="none"/>
          <w:lang w:val="en-US" w:eastAsia="zh-CN"/>
        </w:rPr>
      </w:pPr>
      <w:r>
        <w:rPr>
          <w:rFonts w:hint="eastAsia"/>
          <w:color w:val="auto"/>
          <w:sz w:val="28"/>
          <w:szCs w:val="36"/>
          <w:highlight w:val="none"/>
          <w:lang w:val="en-US" w:eastAsia="zh-CN"/>
        </w:rPr>
        <w:t>参加编制人员：王艳琪    风险评估师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ind w:firstLine="1960" w:firstLineChars="700"/>
        <w:textAlignment w:val="auto"/>
        <w:rPr>
          <w:rFonts w:hint="eastAsia"/>
          <w:color w:val="auto"/>
          <w:sz w:val="28"/>
          <w:szCs w:val="36"/>
          <w:highlight w:val="none"/>
          <w:lang w:val="en-US" w:eastAsia="zh-CN"/>
        </w:rPr>
      </w:pPr>
      <w:r>
        <w:rPr>
          <w:rFonts w:hint="eastAsia"/>
          <w:color w:val="auto"/>
          <w:sz w:val="28"/>
          <w:szCs w:val="36"/>
          <w:highlight w:val="none"/>
          <w:lang w:val="en-US" w:eastAsia="zh-CN"/>
        </w:rPr>
        <w:t>刘海平    高级经济师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ind w:firstLine="1960" w:firstLineChars="700"/>
        <w:textAlignment w:val="auto"/>
        <w:rPr>
          <w:rFonts w:hint="eastAsia"/>
          <w:color w:val="auto"/>
          <w:sz w:val="28"/>
          <w:szCs w:val="36"/>
          <w:highlight w:val="none"/>
          <w:lang w:val="en-US" w:eastAsia="zh-CN"/>
        </w:rPr>
      </w:pPr>
      <w:r>
        <w:rPr>
          <w:rFonts w:hint="eastAsia"/>
          <w:color w:val="auto"/>
          <w:sz w:val="28"/>
          <w:szCs w:val="36"/>
          <w:highlight w:val="none"/>
          <w:lang w:val="en-US" w:eastAsia="zh-CN"/>
        </w:rPr>
        <w:t>李雪娇</w:t>
      </w:r>
      <w:r>
        <w:rPr>
          <w:rFonts w:hint="eastAsia"/>
          <w:color w:val="auto"/>
          <w:sz w:val="28"/>
          <w:szCs w:val="36"/>
          <w:highlight w:val="none"/>
          <w:lang w:val="en-US" w:eastAsia="zh-CN"/>
        </w:rPr>
        <w:tab/>
      </w:r>
      <w:r>
        <w:rPr>
          <w:rFonts w:hint="eastAsia"/>
          <w:color w:val="auto"/>
          <w:sz w:val="28"/>
          <w:szCs w:val="36"/>
          <w:highlight w:val="none"/>
          <w:lang w:val="en-US" w:eastAsia="zh-CN"/>
        </w:rPr>
        <w:t xml:space="preserve">   工  程  师</w:t>
      </w:r>
    </w:p>
    <w:p>
      <w:pPr>
        <w:keepNext w:val="0"/>
        <w:keepLines w:val="0"/>
        <w:pageBreakBefore w:val="0"/>
        <w:widowControl w:val="0"/>
        <w:kinsoku/>
        <w:wordWrap/>
        <w:overflowPunct/>
        <w:topLinePunct w:val="0"/>
        <w:autoSpaceDE/>
        <w:autoSpaceDN/>
        <w:bidi w:val="0"/>
        <w:adjustRightInd/>
        <w:snapToGrid w:val="0"/>
        <w:spacing w:before="313" w:beforeLines="100" w:after="313" w:afterLines="100" w:line="600" w:lineRule="exact"/>
        <w:ind w:firstLine="1960" w:firstLineChars="700"/>
        <w:textAlignment w:val="auto"/>
        <w:rPr>
          <w:rFonts w:hint="eastAsia"/>
          <w:color w:val="auto"/>
          <w:sz w:val="28"/>
          <w:szCs w:val="36"/>
          <w:highlight w:val="none"/>
          <w:lang w:val="en-US" w:eastAsia="zh-CN"/>
        </w:rPr>
      </w:pPr>
      <w:r>
        <w:rPr>
          <w:rFonts w:hint="eastAsia"/>
          <w:color w:val="auto"/>
          <w:sz w:val="28"/>
          <w:szCs w:val="36"/>
          <w:highlight w:val="none"/>
          <w:lang w:val="en-US" w:eastAsia="zh-CN"/>
        </w:rPr>
        <w:t>连鲁巧    工  程  师</w:t>
      </w:r>
    </w:p>
    <w:p>
      <w:pPr>
        <w:keepNext w:val="0"/>
        <w:keepLines w:val="0"/>
        <w:widowControl/>
        <w:suppressLineNumbers w:val="0"/>
        <w:jc w:val="center"/>
        <w:rPr>
          <w:rFonts w:ascii="仿宋" w:hAnsi="仿宋" w:eastAsia="仿宋" w:cs="仿宋"/>
          <w:b/>
          <w:color w:val="auto"/>
          <w:kern w:val="0"/>
          <w:sz w:val="36"/>
          <w:szCs w:val="36"/>
          <w:highlight w:val="none"/>
          <w:lang w:val="en-US" w:eastAsia="zh-CN" w:bidi="ar"/>
        </w:rPr>
      </w:pPr>
    </w:p>
    <w:p>
      <w:pPr>
        <w:keepNext w:val="0"/>
        <w:keepLines w:val="0"/>
        <w:widowControl/>
        <w:suppressLineNumbers w:val="0"/>
        <w:jc w:val="center"/>
        <w:rPr>
          <w:rFonts w:ascii="仿宋" w:hAnsi="仿宋" w:eastAsia="仿宋" w:cs="仿宋"/>
          <w:b/>
          <w:color w:val="auto"/>
          <w:kern w:val="0"/>
          <w:sz w:val="36"/>
          <w:szCs w:val="36"/>
          <w:highlight w:val="none"/>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
      <w:sdtPr>
        <w:rPr>
          <w:rFonts w:ascii="宋体" w:hAnsi="宋体" w:eastAsia="宋体" w:cstheme="minorBidi"/>
          <w:color w:val="auto"/>
          <w:kern w:val="2"/>
          <w:sz w:val="21"/>
          <w:szCs w:val="24"/>
          <w:highlight w:val="none"/>
          <w:lang w:val="en-US" w:eastAsia="zh-CN" w:bidi="ar-SA"/>
        </w:rPr>
        <w:id w:val="147462676"/>
        <w15:color w:val="DBDBDB"/>
        <w:docPartObj>
          <w:docPartGallery w:val="Table of Contents"/>
          <w:docPartUnique/>
        </w:docPartObj>
      </w:sdtPr>
      <w:sdtEndPr>
        <w:rPr>
          <w:rFonts w:hint="eastAsia" w:asciiTheme="minorHAnsi" w:hAnsiTheme="minorHAnsi" w:eastAsiaTheme="minorEastAsia" w:cstheme="minorBidi"/>
          <w:b/>
          <w:color w:val="auto"/>
          <w:kern w:val="44"/>
          <w:sz w:val="44"/>
          <w:szCs w:val="24"/>
          <w:highlight w:val="none"/>
          <w:lang w:val="en-US" w:eastAsia="zh-CN" w:bidi="ar-SA"/>
        </w:rPr>
      </w:sdtEndPr>
      <w:sdtContent>
        <w:p>
          <w:pPr>
            <w:pStyle w:val="16"/>
            <w:tabs>
              <w:tab w:val="right" w:leader="dot" w:pos="9321"/>
            </w:tabs>
            <w:bidi w:val="0"/>
            <w:jc w:val="center"/>
            <w:outlineLvl w:val="9"/>
            <w:rPr>
              <w:rFonts w:hint="eastAsia" w:ascii="Times New Roman" w:hAnsi="Times New Roman" w:eastAsia="宋体" w:cs="Times New Roman"/>
              <w:b/>
              <w:color w:val="auto"/>
              <w:sz w:val="20"/>
              <w:szCs w:val="20"/>
              <w:highlight w:val="none"/>
              <w:lang w:val="en-US" w:eastAsia="zh-CN"/>
            </w:rPr>
          </w:pPr>
          <w:r>
            <w:rPr>
              <w:rFonts w:ascii="仿宋" w:hAnsi="仿宋" w:eastAsia="仿宋" w:cs="仿宋"/>
              <w:b/>
              <w:color w:val="auto"/>
              <w:kern w:val="0"/>
              <w:sz w:val="36"/>
              <w:szCs w:val="36"/>
              <w:highlight w:val="none"/>
              <w:lang w:val="en-US" w:eastAsia="zh-CN" w:bidi="ar"/>
            </w:rPr>
            <w:t>目 录</w:t>
          </w:r>
          <w:r>
            <w:rPr>
              <w:rFonts w:hint="eastAsia"/>
              <w:color w:val="auto"/>
              <w:highlight w:val="none"/>
              <w:lang w:val="en-US" w:eastAsia="zh-CN"/>
            </w:rPr>
            <w:fldChar w:fldCharType="begin"/>
          </w:r>
          <w:r>
            <w:rPr>
              <w:rFonts w:hint="eastAsia"/>
              <w:color w:val="auto"/>
              <w:highlight w:val="none"/>
              <w:lang w:val="en-US" w:eastAsia="zh-CN"/>
            </w:rPr>
            <w:instrText xml:space="preserve">TOC \o "1-2" \h \u </w:instrText>
          </w:r>
          <w:r>
            <w:rPr>
              <w:rFonts w:hint="eastAsia"/>
              <w:color w:val="auto"/>
              <w:highlight w:val="none"/>
              <w:lang w:val="en-US" w:eastAsia="zh-CN"/>
            </w:rPr>
            <w:fldChar w:fldCharType="separate"/>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_Toc26942 </w:instrText>
          </w:r>
          <w:r>
            <w:rPr>
              <w:rFonts w:hint="eastAsia"/>
              <w:color w:val="auto"/>
              <w:highlight w:val="none"/>
              <w:lang w:val="en-US" w:eastAsia="zh-CN"/>
            </w:rPr>
            <w:fldChar w:fldCharType="separate"/>
          </w:r>
          <w:r>
            <w:rPr>
              <w:rFonts w:hint="eastAsia"/>
              <w:color w:val="auto"/>
              <w:highlight w:val="none"/>
              <w:lang w:val="en-US" w:eastAsia="zh-CN"/>
            </w:rPr>
            <w:t>第一章 项目概况</w:t>
          </w:r>
          <w:r>
            <w:rPr>
              <w:color w:val="auto"/>
              <w:highlight w:val="none"/>
            </w:rPr>
            <w:tab/>
          </w:r>
          <w:r>
            <w:rPr>
              <w:color w:val="auto"/>
              <w:highlight w:val="none"/>
            </w:rPr>
            <w:fldChar w:fldCharType="begin"/>
          </w:r>
          <w:r>
            <w:rPr>
              <w:color w:val="auto"/>
              <w:highlight w:val="none"/>
            </w:rPr>
            <w:instrText xml:space="preserve"> PAGEREF _Toc26942 \h </w:instrText>
          </w:r>
          <w:r>
            <w:rPr>
              <w:color w:val="auto"/>
              <w:highlight w:val="none"/>
            </w:rPr>
            <w:fldChar w:fldCharType="separate"/>
          </w:r>
          <w:r>
            <w:rPr>
              <w:color w:val="auto"/>
              <w:highlight w:val="none"/>
            </w:rPr>
            <w:t>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_Toc25747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1.1 项目名称</w:t>
          </w:r>
          <w:r>
            <w:rPr>
              <w:color w:val="auto"/>
              <w:highlight w:val="none"/>
            </w:rPr>
            <w:tab/>
          </w:r>
          <w:r>
            <w:rPr>
              <w:color w:val="auto"/>
              <w:highlight w:val="none"/>
            </w:rPr>
            <w:fldChar w:fldCharType="begin"/>
          </w:r>
          <w:r>
            <w:rPr>
              <w:color w:val="auto"/>
              <w:highlight w:val="none"/>
            </w:rPr>
            <w:instrText xml:space="preserve"> PAGEREF _Toc25747 \h </w:instrText>
          </w:r>
          <w:r>
            <w:rPr>
              <w:color w:val="auto"/>
              <w:highlight w:val="none"/>
            </w:rPr>
            <w:fldChar w:fldCharType="separate"/>
          </w:r>
          <w:r>
            <w:rPr>
              <w:color w:val="auto"/>
              <w:highlight w:val="none"/>
            </w:rPr>
            <w:t>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_Toc5048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1.2 建设单位</w:t>
          </w:r>
          <w:r>
            <w:rPr>
              <w:color w:val="auto"/>
              <w:highlight w:val="none"/>
            </w:rPr>
            <w:tab/>
          </w:r>
          <w:r>
            <w:rPr>
              <w:color w:val="auto"/>
              <w:highlight w:val="none"/>
            </w:rPr>
            <w:fldChar w:fldCharType="begin"/>
          </w:r>
          <w:r>
            <w:rPr>
              <w:color w:val="auto"/>
              <w:highlight w:val="none"/>
            </w:rPr>
            <w:instrText xml:space="preserve"> PAGEREF _Toc5048 \h </w:instrText>
          </w:r>
          <w:r>
            <w:rPr>
              <w:color w:val="auto"/>
              <w:highlight w:val="none"/>
            </w:rPr>
            <w:fldChar w:fldCharType="separate"/>
          </w:r>
          <w:r>
            <w:rPr>
              <w:color w:val="auto"/>
              <w:highlight w:val="none"/>
            </w:rPr>
            <w:t>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rFonts w:hint="eastAsia"/>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_Toc16338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1.3 建设地点</w:t>
          </w:r>
          <w:r>
            <w:rPr>
              <w:color w:val="auto"/>
              <w:highlight w:val="none"/>
            </w:rPr>
            <w:tab/>
          </w:r>
          <w:r>
            <w:rPr>
              <w:color w:val="auto"/>
              <w:highlight w:val="none"/>
            </w:rPr>
            <w:fldChar w:fldCharType="begin"/>
          </w:r>
          <w:r>
            <w:rPr>
              <w:color w:val="auto"/>
              <w:highlight w:val="none"/>
            </w:rPr>
            <w:instrText xml:space="preserve"> PAGEREF _Toc16338 \h </w:instrText>
          </w:r>
          <w:r>
            <w:rPr>
              <w:color w:val="auto"/>
              <w:highlight w:val="none"/>
            </w:rPr>
            <w:fldChar w:fldCharType="separate"/>
          </w:r>
          <w:r>
            <w:rPr>
              <w:color w:val="auto"/>
              <w:highlight w:val="none"/>
            </w:rPr>
            <w:t>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rFonts w:hint="default" w:ascii="仿宋" w:hAnsi="仿宋" w:eastAsia="仿宋" w:cs="仿宋"/>
              <w:color w:val="auto"/>
              <w:kern w:val="0"/>
              <w:szCs w:val="28"/>
              <w:highlight w:val="none"/>
              <w:lang w:val="en-US" w:eastAsia="zh-CN" w:bidi="ar"/>
            </w:rPr>
          </w:pPr>
          <w:r>
            <w:rPr>
              <w:rFonts w:hint="eastAsia" w:ascii="仿宋" w:hAnsi="仿宋" w:eastAsia="仿宋" w:cs="仿宋"/>
              <w:color w:val="auto"/>
              <w:kern w:val="0"/>
              <w:szCs w:val="28"/>
              <w:highlight w:val="none"/>
              <w:lang w:val="en-US" w:eastAsia="zh-CN" w:bidi="ar"/>
            </w:rPr>
            <w:t xml:space="preserve">1.4 实施背景 </w:t>
          </w:r>
          <w:r>
            <w:rPr>
              <w:rFonts w:hint="eastAsia"/>
              <w:color w:val="auto"/>
              <w:highlight w:val="none"/>
              <w:lang w:val="en-US" w:eastAsia="zh-CN"/>
            </w:rPr>
            <w:tab/>
          </w:r>
          <w:r>
            <w:rPr>
              <w:rFonts w:hint="eastAsia" w:ascii="仿宋" w:hAnsi="仿宋" w:eastAsia="仿宋" w:cs="仿宋"/>
              <w:color w:val="auto"/>
              <w:kern w:val="0"/>
              <w:szCs w:val="28"/>
              <w:highlight w:val="none"/>
              <w:lang w:val="en-US" w:eastAsia="zh-CN" w:bidi="ar"/>
            </w:rPr>
            <w:t>2</w:t>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_Toc30746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1.5 工程建设必要性</w:t>
          </w:r>
          <w:r>
            <w:rPr>
              <w:color w:val="auto"/>
              <w:highlight w:val="none"/>
            </w:rPr>
            <w:tab/>
          </w:r>
          <w:r>
            <w:rPr>
              <w:color w:val="auto"/>
              <w:highlight w:val="none"/>
            </w:rPr>
            <w:fldChar w:fldCharType="begin"/>
          </w:r>
          <w:r>
            <w:rPr>
              <w:color w:val="auto"/>
              <w:highlight w:val="none"/>
            </w:rPr>
            <w:instrText xml:space="preserve"> PAGEREF _Toc30746 \h </w:instrText>
          </w:r>
          <w:r>
            <w:rPr>
              <w:color w:val="auto"/>
              <w:highlight w:val="none"/>
            </w:rPr>
            <w:fldChar w:fldCharType="separate"/>
          </w:r>
          <w:r>
            <w:rPr>
              <w:color w:val="auto"/>
              <w:highlight w:val="none"/>
            </w:rPr>
            <w:t>3</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_Toc7662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1.6 工程任务与规模</w:t>
          </w:r>
          <w:r>
            <w:rPr>
              <w:color w:val="auto"/>
              <w:highlight w:val="none"/>
            </w:rPr>
            <w:tab/>
          </w:r>
          <w:r>
            <w:rPr>
              <w:color w:val="auto"/>
              <w:highlight w:val="none"/>
            </w:rPr>
            <w:fldChar w:fldCharType="begin"/>
          </w:r>
          <w:r>
            <w:rPr>
              <w:color w:val="auto"/>
              <w:highlight w:val="none"/>
            </w:rPr>
            <w:instrText xml:space="preserve"> PAGEREF _Toc7662 \h </w:instrText>
          </w:r>
          <w:r>
            <w:rPr>
              <w:color w:val="auto"/>
              <w:highlight w:val="none"/>
            </w:rPr>
            <w:fldChar w:fldCharType="separate"/>
          </w:r>
          <w:r>
            <w:rPr>
              <w:color w:val="auto"/>
              <w:highlight w:val="none"/>
            </w:rPr>
            <w:t>6</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_Toc29465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1.7 项目资金及工期</w:t>
          </w:r>
          <w:r>
            <w:rPr>
              <w:color w:val="auto"/>
              <w:highlight w:val="none"/>
            </w:rPr>
            <w:tab/>
          </w:r>
          <w:r>
            <w:rPr>
              <w:color w:val="auto"/>
              <w:highlight w:val="none"/>
            </w:rPr>
            <w:fldChar w:fldCharType="begin"/>
          </w:r>
          <w:r>
            <w:rPr>
              <w:color w:val="auto"/>
              <w:highlight w:val="none"/>
            </w:rPr>
            <w:instrText xml:space="preserve"> PAGEREF _Toc29465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_Toc18317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1.8 工程位置图</w:t>
          </w:r>
          <w:r>
            <w:rPr>
              <w:color w:val="auto"/>
              <w:highlight w:val="none"/>
            </w:rPr>
            <w:tab/>
          </w:r>
          <w:r>
            <w:rPr>
              <w:color w:val="auto"/>
              <w:highlight w:val="none"/>
            </w:rPr>
            <w:fldChar w:fldCharType="begin"/>
          </w:r>
          <w:r>
            <w:rPr>
              <w:color w:val="auto"/>
              <w:highlight w:val="none"/>
            </w:rPr>
            <w:instrText xml:space="preserve"> PAGEREF _Toc18317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_Toc5766 </w:instrText>
          </w:r>
          <w:r>
            <w:rPr>
              <w:rFonts w:hint="eastAsia"/>
              <w:color w:val="auto"/>
              <w:highlight w:val="none"/>
              <w:lang w:val="en-US" w:eastAsia="zh-CN"/>
            </w:rPr>
            <w:fldChar w:fldCharType="separate"/>
          </w:r>
          <w:r>
            <w:rPr>
              <w:rFonts w:hint="eastAsia"/>
              <w:color w:val="auto"/>
              <w:highlight w:val="none"/>
              <w:lang w:val="en-US" w:eastAsia="zh-CN"/>
            </w:rPr>
            <w:t>第二章 评估依据</w:t>
          </w:r>
          <w:r>
            <w:rPr>
              <w:color w:val="auto"/>
              <w:highlight w:val="none"/>
            </w:rPr>
            <w:tab/>
          </w:r>
          <w:r>
            <w:rPr>
              <w:color w:val="auto"/>
              <w:highlight w:val="none"/>
            </w:rPr>
            <w:fldChar w:fldCharType="begin"/>
          </w:r>
          <w:r>
            <w:rPr>
              <w:color w:val="auto"/>
              <w:highlight w:val="none"/>
            </w:rPr>
            <w:instrText xml:space="preserve"> PAGEREF _Toc5766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_Toc11282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2.1 委托协议</w:t>
          </w:r>
          <w:r>
            <w:rPr>
              <w:color w:val="auto"/>
              <w:highlight w:val="none"/>
            </w:rPr>
            <w:tab/>
          </w:r>
          <w:r>
            <w:rPr>
              <w:color w:val="auto"/>
              <w:highlight w:val="none"/>
            </w:rPr>
            <w:fldChar w:fldCharType="begin"/>
          </w:r>
          <w:r>
            <w:rPr>
              <w:color w:val="auto"/>
              <w:highlight w:val="none"/>
            </w:rPr>
            <w:instrText xml:space="preserve"> PAGEREF _Toc11282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_Toc28090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2.2 编制依据</w:t>
          </w:r>
          <w:r>
            <w:rPr>
              <w:color w:val="auto"/>
              <w:highlight w:val="none"/>
            </w:rPr>
            <w:tab/>
          </w:r>
          <w:r>
            <w:rPr>
              <w:color w:val="auto"/>
              <w:highlight w:val="none"/>
            </w:rPr>
            <w:fldChar w:fldCharType="begin"/>
          </w:r>
          <w:r>
            <w:rPr>
              <w:color w:val="auto"/>
              <w:highlight w:val="none"/>
            </w:rPr>
            <w:instrText xml:space="preserve"> PAGEREF _Toc28090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_Toc17612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2.3 评估主体</w:t>
          </w:r>
          <w:r>
            <w:rPr>
              <w:color w:val="auto"/>
              <w:highlight w:val="none"/>
            </w:rPr>
            <w:tab/>
          </w:r>
          <w:r>
            <w:rPr>
              <w:color w:val="auto"/>
              <w:highlight w:val="none"/>
            </w:rPr>
            <w:fldChar w:fldCharType="begin"/>
          </w:r>
          <w:r>
            <w:rPr>
              <w:color w:val="auto"/>
              <w:highlight w:val="none"/>
            </w:rPr>
            <w:instrText xml:space="preserve"> PAGEREF _Toc17612 \h </w:instrText>
          </w:r>
          <w:r>
            <w:rPr>
              <w:color w:val="auto"/>
              <w:highlight w:val="none"/>
            </w:rPr>
            <w:fldChar w:fldCharType="separate"/>
          </w:r>
          <w:r>
            <w:rPr>
              <w:color w:val="auto"/>
              <w:highlight w:val="none"/>
            </w:rPr>
            <w:t>10</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_Toc17058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2.4 评估过程</w:t>
          </w:r>
          <w:r>
            <w:rPr>
              <w:color w:val="auto"/>
              <w:highlight w:val="none"/>
            </w:rPr>
            <w:tab/>
          </w:r>
          <w:r>
            <w:rPr>
              <w:color w:val="auto"/>
              <w:highlight w:val="none"/>
            </w:rPr>
            <w:fldChar w:fldCharType="begin"/>
          </w:r>
          <w:r>
            <w:rPr>
              <w:color w:val="auto"/>
              <w:highlight w:val="none"/>
            </w:rPr>
            <w:instrText xml:space="preserve"> PAGEREF _Toc17058 \h </w:instrText>
          </w:r>
          <w:r>
            <w:rPr>
              <w:color w:val="auto"/>
              <w:highlight w:val="none"/>
            </w:rPr>
            <w:fldChar w:fldCharType="separate"/>
          </w:r>
          <w:r>
            <w:rPr>
              <w:color w:val="auto"/>
              <w:highlight w:val="none"/>
            </w:rPr>
            <w:t>11</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_Toc31342 </w:instrText>
          </w:r>
          <w:r>
            <w:rPr>
              <w:rFonts w:hint="eastAsia"/>
              <w:color w:val="auto"/>
              <w:highlight w:val="none"/>
              <w:lang w:val="en-US" w:eastAsia="zh-CN"/>
            </w:rPr>
            <w:fldChar w:fldCharType="separate"/>
          </w:r>
          <w:r>
            <w:rPr>
              <w:rFonts w:hint="eastAsia"/>
              <w:color w:val="auto"/>
              <w:highlight w:val="none"/>
              <w:lang w:val="en-US" w:eastAsia="zh-CN"/>
            </w:rPr>
            <w:t>第三章 风险调查</w:t>
          </w:r>
          <w:r>
            <w:rPr>
              <w:color w:val="auto"/>
              <w:highlight w:val="none"/>
            </w:rPr>
            <w:tab/>
          </w:r>
          <w:r>
            <w:rPr>
              <w:color w:val="auto"/>
              <w:highlight w:val="none"/>
            </w:rPr>
            <w:fldChar w:fldCharType="begin"/>
          </w:r>
          <w:r>
            <w:rPr>
              <w:color w:val="auto"/>
              <w:highlight w:val="none"/>
            </w:rPr>
            <w:instrText xml:space="preserve"> PAGEREF _Toc31342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_Toc20435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3.1 调查的内容和范围</w:t>
          </w:r>
          <w:r>
            <w:rPr>
              <w:color w:val="auto"/>
              <w:highlight w:val="none"/>
            </w:rPr>
            <w:tab/>
          </w:r>
          <w:r>
            <w:rPr>
              <w:color w:val="auto"/>
              <w:highlight w:val="none"/>
            </w:rPr>
            <w:fldChar w:fldCharType="begin"/>
          </w:r>
          <w:r>
            <w:rPr>
              <w:color w:val="auto"/>
              <w:highlight w:val="none"/>
            </w:rPr>
            <w:instrText xml:space="preserve"> PAGEREF _Toc20435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_Toc26422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3.2 风险调查方式和方法</w:t>
          </w:r>
          <w:r>
            <w:rPr>
              <w:color w:val="auto"/>
              <w:highlight w:val="none"/>
            </w:rPr>
            <w:tab/>
          </w:r>
          <w:r>
            <w:rPr>
              <w:color w:val="auto"/>
              <w:highlight w:val="none"/>
            </w:rPr>
            <w:fldChar w:fldCharType="begin"/>
          </w:r>
          <w:r>
            <w:rPr>
              <w:color w:val="auto"/>
              <w:highlight w:val="none"/>
            </w:rPr>
            <w:instrText xml:space="preserve"> PAGEREF _Toc26422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_Toc28813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3.3 调查的结果</w:t>
          </w:r>
          <w:r>
            <w:rPr>
              <w:color w:val="auto"/>
              <w:highlight w:val="none"/>
            </w:rPr>
            <w:tab/>
          </w:r>
          <w:r>
            <w:rPr>
              <w:color w:val="auto"/>
              <w:highlight w:val="none"/>
            </w:rPr>
            <w:fldChar w:fldCharType="begin"/>
          </w:r>
          <w:r>
            <w:rPr>
              <w:color w:val="auto"/>
              <w:highlight w:val="none"/>
            </w:rPr>
            <w:instrText xml:space="preserve"> PAGEREF _Toc28813 \h </w:instrText>
          </w:r>
          <w:r>
            <w:rPr>
              <w:color w:val="auto"/>
              <w:highlight w:val="none"/>
            </w:rPr>
            <w:fldChar w:fldCharType="separate"/>
          </w:r>
          <w:r>
            <w:rPr>
              <w:color w:val="auto"/>
              <w:highlight w:val="none"/>
            </w:rPr>
            <w:t>13</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_Toc25463 </w:instrText>
          </w:r>
          <w:r>
            <w:rPr>
              <w:rFonts w:hint="eastAsia"/>
              <w:color w:val="auto"/>
              <w:highlight w:val="none"/>
              <w:lang w:val="en-US" w:eastAsia="zh-CN"/>
            </w:rPr>
            <w:fldChar w:fldCharType="separate"/>
          </w:r>
          <w:r>
            <w:rPr>
              <w:rFonts w:hint="eastAsia"/>
              <w:color w:val="auto"/>
              <w:highlight w:val="none"/>
              <w:lang w:val="en-US" w:eastAsia="zh-CN"/>
            </w:rPr>
            <w:t>第四章 风险识别</w:t>
          </w:r>
          <w:r>
            <w:rPr>
              <w:color w:val="auto"/>
              <w:highlight w:val="none"/>
            </w:rPr>
            <w:tab/>
          </w:r>
          <w:r>
            <w:rPr>
              <w:color w:val="auto"/>
              <w:highlight w:val="none"/>
            </w:rPr>
            <w:fldChar w:fldCharType="begin"/>
          </w:r>
          <w:r>
            <w:rPr>
              <w:color w:val="auto"/>
              <w:highlight w:val="none"/>
            </w:rPr>
            <w:instrText xml:space="preserve"> PAGEREF _Toc25463 \h </w:instrText>
          </w:r>
          <w:r>
            <w:rPr>
              <w:color w:val="auto"/>
              <w:highlight w:val="none"/>
            </w:rPr>
            <w:fldChar w:fldCharType="separate"/>
          </w:r>
          <w:r>
            <w:rPr>
              <w:color w:val="auto"/>
              <w:highlight w:val="none"/>
            </w:rPr>
            <w:t>22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_Toc9630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4.1 风险识别的方法</w:t>
          </w:r>
          <w:r>
            <w:rPr>
              <w:color w:val="auto"/>
              <w:highlight w:val="none"/>
            </w:rPr>
            <w:tab/>
          </w:r>
          <w:r>
            <w:rPr>
              <w:color w:val="auto"/>
              <w:highlight w:val="none"/>
            </w:rPr>
            <w:fldChar w:fldCharType="begin"/>
          </w:r>
          <w:r>
            <w:rPr>
              <w:color w:val="auto"/>
              <w:highlight w:val="none"/>
            </w:rPr>
            <w:instrText xml:space="preserve"> PAGEREF _Toc9630 \h </w:instrText>
          </w:r>
          <w:r>
            <w:rPr>
              <w:color w:val="auto"/>
              <w:highlight w:val="none"/>
            </w:rPr>
            <w:fldChar w:fldCharType="separate"/>
          </w:r>
          <w:r>
            <w:rPr>
              <w:color w:val="auto"/>
              <w:highlight w:val="none"/>
            </w:rPr>
            <w:t>22</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_Toc30568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4.2 风险因素识别</w:t>
          </w:r>
          <w:r>
            <w:rPr>
              <w:color w:val="auto"/>
              <w:highlight w:val="none"/>
            </w:rPr>
            <w:tab/>
          </w:r>
          <w:r>
            <w:rPr>
              <w:color w:val="auto"/>
              <w:highlight w:val="none"/>
            </w:rPr>
            <w:fldChar w:fldCharType="begin"/>
          </w:r>
          <w:r>
            <w:rPr>
              <w:color w:val="auto"/>
              <w:highlight w:val="none"/>
            </w:rPr>
            <w:instrText xml:space="preserve"> PAGEREF _Toc30568 \h </w:instrText>
          </w:r>
          <w:r>
            <w:rPr>
              <w:color w:val="auto"/>
              <w:highlight w:val="none"/>
            </w:rPr>
            <w:fldChar w:fldCharType="separate"/>
          </w:r>
          <w:r>
            <w:rPr>
              <w:color w:val="auto"/>
              <w:highlight w:val="none"/>
            </w:rPr>
            <w:t>28</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_Toc15994 </w:instrText>
          </w:r>
          <w:r>
            <w:rPr>
              <w:rFonts w:hint="eastAsia"/>
              <w:color w:val="auto"/>
              <w:highlight w:val="none"/>
              <w:lang w:val="en-US" w:eastAsia="zh-CN"/>
            </w:rPr>
            <w:fldChar w:fldCharType="separate"/>
          </w:r>
          <w:r>
            <w:rPr>
              <w:rFonts w:hint="eastAsia"/>
              <w:color w:val="auto"/>
              <w:highlight w:val="none"/>
              <w:lang w:val="en-US" w:eastAsia="zh-CN"/>
            </w:rPr>
            <w:t>第五章 风险估计与等级确定</w:t>
          </w:r>
          <w:r>
            <w:rPr>
              <w:color w:val="auto"/>
              <w:highlight w:val="none"/>
            </w:rPr>
            <w:tab/>
          </w:r>
          <w:r>
            <w:rPr>
              <w:color w:val="auto"/>
              <w:highlight w:val="none"/>
            </w:rPr>
            <w:fldChar w:fldCharType="begin"/>
          </w:r>
          <w:r>
            <w:rPr>
              <w:color w:val="auto"/>
              <w:highlight w:val="none"/>
            </w:rPr>
            <w:instrText xml:space="preserve"> PAGEREF _Toc15994 \h </w:instrText>
          </w:r>
          <w:r>
            <w:rPr>
              <w:color w:val="auto"/>
              <w:highlight w:val="none"/>
            </w:rPr>
            <w:fldChar w:fldCharType="separate"/>
          </w:r>
          <w:r>
            <w:rPr>
              <w:color w:val="auto"/>
              <w:highlight w:val="none"/>
            </w:rPr>
            <w:t>29</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_Toc25695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5.1 风险估计方法</w:t>
          </w:r>
          <w:r>
            <w:rPr>
              <w:color w:val="auto"/>
              <w:highlight w:val="none"/>
            </w:rPr>
            <w:tab/>
          </w:r>
          <w:r>
            <w:rPr>
              <w:color w:val="auto"/>
              <w:highlight w:val="none"/>
            </w:rPr>
            <w:fldChar w:fldCharType="begin"/>
          </w:r>
          <w:r>
            <w:rPr>
              <w:color w:val="auto"/>
              <w:highlight w:val="none"/>
            </w:rPr>
            <w:instrText xml:space="preserve"> PAGEREF _Toc25695 \h </w:instrText>
          </w:r>
          <w:r>
            <w:rPr>
              <w:color w:val="auto"/>
              <w:highlight w:val="none"/>
            </w:rPr>
            <w:fldChar w:fldCharType="separate"/>
          </w:r>
          <w:r>
            <w:rPr>
              <w:color w:val="auto"/>
              <w:highlight w:val="none"/>
            </w:rPr>
            <w:t>29</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_Toc12301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5.2 单因素风险估计</w:t>
          </w:r>
          <w:r>
            <w:rPr>
              <w:color w:val="auto"/>
              <w:highlight w:val="none"/>
            </w:rPr>
            <w:tab/>
          </w:r>
          <w:r>
            <w:rPr>
              <w:color w:val="auto"/>
              <w:highlight w:val="none"/>
            </w:rPr>
            <w:fldChar w:fldCharType="begin"/>
          </w:r>
          <w:r>
            <w:rPr>
              <w:color w:val="auto"/>
              <w:highlight w:val="none"/>
            </w:rPr>
            <w:instrText xml:space="preserve"> PAGEREF _Toc12301 \h </w:instrText>
          </w:r>
          <w:r>
            <w:rPr>
              <w:color w:val="auto"/>
              <w:highlight w:val="none"/>
            </w:rPr>
            <w:fldChar w:fldCharType="separate"/>
          </w:r>
          <w:r>
            <w:rPr>
              <w:color w:val="auto"/>
              <w:highlight w:val="none"/>
            </w:rPr>
            <w:t>30</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_Toc18655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5.3 风险等级分析与确定</w:t>
          </w:r>
          <w:r>
            <w:rPr>
              <w:color w:val="auto"/>
              <w:highlight w:val="none"/>
            </w:rPr>
            <w:tab/>
          </w:r>
          <w:r>
            <w:rPr>
              <w:color w:val="auto"/>
              <w:highlight w:val="none"/>
            </w:rPr>
            <w:fldChar w:fldCharType="begin"/>
          </w:r>
          <w:r>
            <w:rPr>
              <w:color w:val="auto"/>
              <w:highlight w:val="none"/>
            </w:rPr>
            <w:instrText xml:space="preserve"> PAGEREF _Toc18655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_Toc12039 </w:instrText>
          </w:r>
          <w:r>
            <w:rPr>
              <w:rFonts w:hint="eastAsia"/>
              <w:color w:val="auto"/>
              <w:highlight w:val="none"/>
              <w:lang w:val="en-US" w:eastAsia="zh-CN"/>
            </w:rPr>
            <w:fldChar w:fldCharType="separate"/>
          </w:r>
          <w:r>
            <w:rPr>
              <w:rFonts w:hint="eastAsia"/>
              <w:color w:val="auto"/>
              <w:highlight w:val="none"/>
              <w:lang w:val="en-US" w:eastAsia="zh-CN"/>
            </w:rPr>
            <w:t>第六章 风险防范和化解措施</w:t>
          </w:r>
          <w:r>
            <w:rPr>
              <w:color w:val="auto"/>
              <w:highlight w:val="none"/>
            </w:rPr>
            <w:tab/>
          </w:r>
          <w:r>
            <w:rPr>
              <w:color w:val="auto"/>
              <w:highlight w:val="none"/>
            </w:rPr>
            <w:fldChar w:fldCharType="begin"/>
          </w:r>
          <w:r>
            <w:rPr>
              <w:color w:val="auto"/>
              <w:highlight w:val="none"/>
            </w:rPr>
            <w:instrText xml:space="preserve"> PAGEREF _Toc12039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_Toc15908 </w:instrText>
          </w:r>
          <w:r>
            <w:rPr>
              <w:rFonts w:hint="eastAsia"/>
              <w:color w:val="auto"/>
              <w:highlight w:val="none"/>
              <w:lang w:val="en-US" w:eastAsia="zh-CN"/>
            </w:rPr>
            <w:fldChar w:fldCharType="separate"/>
          </w:r>
          <w:r>
            <w:rPr>
              <w:rFonts w:hint="eastAsia"/>
              <w:color w:val="auto"/>
              <w:highlight w:val="none"/>
              <w:lang w:val="en-US" w:eastAsia="zh-CN"/>
            </w:rPr>
            <w:t>第七章 风 险 等 级</w:t>
          </w:r>
          <w:r>
            <w:rPr>
              <w:color w:val="auto"/>
              <w:highlight w:val="none"/>
            </w:rPr>
            <w:tab/>
          </w:r>
          <w:r>
            <w:rPr>
              <w:color w:val="auto"/>
              <w:highlight w:val="none"/>
            </w:rPr>
            <w:fldChar w:fldCharType="begin"/>
          </w:r>
          <w:r>
            <w:rPr>
              <w:color w:val="auto"/>
              <w:highlight w:val="none"/>
            </w:rPr>
            <w:instrText xml:space="preserve"> PAGEREF _Toc15908 \h </w:instrText>
          </w:r>
          <w:r>
            <w:rPr>
              <w:color w:val="auto"/>
              <w:highlight w:val="none"/>
            </w:rPr>
            <w:fldChar w:fldCharType="separate"/>
          </w:r>
          <w:r>
            <w:rPr>
              <w:color w:val="auto"/>
              <w:highlight w:val="none"/>
            </w:rPr>
            <w:t>43</w:t>
          </w:r>
          <w:r>
            <w:rPr>
              <w:color w:val="auto"/>
              <w:highlight w:val="none"/>
            </w:rPr>
            <w:fldChar w:fldCharType="end"/>
          </w:r>
          <w:r>
            <w:rPr>
              <w:rFonts w:hint="eastAsia"/>
              <w:color w:val="auto"/>
              <w:highlight w:val="none"/>
              <w:lang w:val="en-US" w:eastAsia="zh-CN"/>
            </w:rPr>
            <w:fldChar w:fldCharType="end"/>
          </w:r>
        </w:p>
        <w:p>
          <w:pPr>
            <w:pStyle w:val="8"/>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_Toc1525 </w:instrText>
          </w:r>
          <w:r>
            <w:rPr>
              <w:rFonts w:hint="eastAsia"/>
              <w:color w:val="auto"/>
              <w:highlight w:val="none"/>
              <w:lang w:val="en-US" w:eastAsia="zh-CN"/>
            </w:rPr>
            <w:fldChar w:fldCharType="separate"/>
          </w:r>
          <w:r>
            <w:rPr>
              <w:rFonts w:hint="eastAsia"/>
              <w:color w:val="auto"/>
              <w:highlight w:val="none"/>
              <w:lang w:val="en-US" w:eastAsia="zh-CN"/>
            </w:rPr>
            <w:t>第八章 项目评估结论</w:t>
          </w:r>
          <w:r>
            <w:rPr>
              <w:color w:val="auto"/>
              <w:highlight w:val="none"/>
            </w:rPr>
            <w:tab/>
          </w:r>
          <w:r>
            <w:rPr>
              <w:color w:val="auto"/>
              <w:highlight w:val="none"/>
            </w:rPr>
            <w:fldChar w:fldCharType="begin"/>
          </w:r>
          <w:r>
            <w:rPr>
              <w:color w:val="auto"/>
              <w:highlight w:val="none"/>
            </w:rPr>
            <w:instrText xml:space="preserve"> PAGEREF _Toc1525 \h </w:instrText>
          </w:r>
          <w:r>
            <w:rPr>
              <w:color w:val="auto"/>
              <w:highlight w:val="none"/>
            </w:rPr>
            <w:fldChar w:fldCharType="separate"/>
          </w:r>
          <w:r>
            <w:rPr>
              <w:color w:val="auto"/>
              <w:highlight w:val="none"/>
            </w:rPr>
            <w:t>46</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_Toc25134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8.1 评估结论</w:t>
          </w:r>
          <w:r>
            <w:rPr>
              <w:color w:val="auto"/>
              <w:highlight w:val="none"/>
            </w:rPr>
            <w:tab/>
          </w:r>
          <w:r>
            <w:rPr>
              <w:color w:val="auto"/>
              <w:highlight w:val="none"/>
            </w:rPr>
            <w:fldChar w:fldCharType="begin"/>
          </w:r>
          <w:r>
            <w:rPr>
              <w:color w:val="auto"/>
              <w:highlight w:val="none"/>
            </w:rPr>
            <w:instrText xml:space="preserve"> PAGEREF _Toc25134 \h </w:instrText>
          </w:r>
          <w:r>
            <w:rPr>
              <w:color w:val="auto"/>
              <w:highlight w:val="none"/>
            </w:rPr>
            <w:fldChar w:fldCharType="separate"/>
          </w:r>
          <w:r>
            <w:rPr>
              <w:color w:val="auto"/>
              <w:highlight w:val="none"/>
            </w:rPr>
            <w:t>46</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_Toc30193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8.2 拟建项目主要风险防范措施</w:t>
          </w:r>
          <w:r>
            <w:rPr>
              <w:color w:val="auto"/>
              <w:highlight w:val="none"/>
            </w:rPr>
            <w:tab/>
          </w:r>
          <w:r>
            <w:rPr>
              <w:color w:val="auto"/>
              <w:highlight w:val="none"/>
            </w:rPr>
            <w:fldChar w:fldCharType="begin"/>
          </w:r>
          <w:r>
            <w:rPr>
              <w:color w:val="auto"/>
              <w:highlight w:val="none"/>
            </w:rPr>
            <w:instrText xml:space="preserve"> PAGEREF _Toc30193 \h </w:instrText>
          </w:r>
          <w:r>
            <w:rPr>
              <w:color w:val="auto"/>
              <w:highlight w:val="none"/>
            </w:rPr>
            <w:fldChar w:fldCharType="separate"/>
          </w:r>
          <w:r>
            <w:rPr>
              <w:color w:val="auto"/>
              <w:highlight w:val="none"/>
            </w:rPr>
            <w:t>46</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rPr>
              <w:color w:val="auto"/>
              <w:highlight w:val="none"/>
            </w:rPr>
          </w:pPr>
          <w:r>
            <w:rPr>
              <w:rFonts w:hint="eastAsia"/>
              <w:color w:val="auto"/>
              <w:highlight w:val="none"/>
              <w:lang w:val="en-US" w:eastAsia="zh-CN"/>
            </w:rPr>
            <w:fldChar w:fldCharType="begin"/>
          </w:r>
          <w:r>
            <w:rPr>
              <w:rFonts w:hint="eastAsia"/>
              <w:color w:val="auto"/>
              <w:highlight w:val="none"/>
              <w:lang w:val="en-US" w:eastAsia="zh-CN"/>
            </w:rPr>
            <w:instrText xml:space="preserve"> HYPERLINK \l _Toc17683 </w:instrText>
          </w:r>
          <w:r>
            <w:rPr>
              <w:rFonts w:hint="eastAsia"/>
              <w:color w:val="auto"/>
              <w:highlight w:val="none"/>
              <w:lang w:val="en-US" w:eastAsia="zh-CN"/>
            </w:rPr>
            <w:fldChar w:fldCharType="separate"/>
          </w:r>
          <w:r>
            <w:rPr>
              <w:rFonts w:hint="eastAsia" w:ascii="仿宋" w:hAnsi="仿宋" w:eastAsia="仿宋" w:cs="仿宋"/>
              <w:color w:val="auto"/>
              <w:kern w:val="0"/>
              <w:szCs w:val="28"/>
              <w:highlight w:val="none"/>
              <w:lang w:val="en-US" w:eastAsia="zh-CN" w:bidi="ar"/>
            </w:rPr>
            <w:t>8.3 应急预案</w:t>
          </w:r>
          <w:r>
            <w:rPr>
              <w:color w:val="auto"/>
              <w:highlight w:val="none"/>
            </w:rPr>
            <w:tab/>
          </w:r>
          <w:r>
            <w:rPr>
              <w:color w:val="auto"/>
              <w:highlight w:val="none"/>
            </w:rPr>
            <w:fldChar w:fldCharType="begin"/>
          </w:r>
          <w:r>
            <w:rPr>
              <w:color w:val="auto"/>
              <w:highlight w:val="none"/>
            </w:rPr>
            <w:instrText xml:space="preserve"> PAGEREF _Toc17683 \h </w:instrText>
          </w:r>
          <w:r>
            <w:rPr>
              <w:color w:val="auto"/>
              <w:highlight w:val="none"/>
            </w:rPr>
            <w:fldChar w:fldCharType="separate"/>
          </w:r>
          <w:r>
            <w:rPr>
              <w:color w:val="auto"/>
              <w:highlight w:val="none"/>
            </w:rPr>
            <w:t>46</w:t>
          </w:r>
          <w:r>
            <w:rPr>
              <w:color w:val="auto"/>
              <w:highlight w:val="none"/>
            </w:rPr>
            <w:fldChar w:fldCharType="end"/>
          </w:r>
          <w:r>
            <w:rPr>
              <w:rFonts w:hint="eastAsia"/>
              <w:color w:val="auto"/>
              <w:highlight w:val="none"/>
              <w:lang w:val="en-US" w:eastAsia="zh-CN"/>
            </w:rPr>
            <w:fldChar w:fldCharType="end"/>
          </w:r>
        </w:p>
        <w:p>
          <w:pPr>
            <w:pStyle w:val="10"/>
            <w:tabs>
              <w:tab w:val="right" w:leader="dot" w:pos="9321"/>
            </w:tabs>
            <w:ind w:left="0" w:leftChars="0" w:firstLine="0" w:firstLineChars="0"/>
            <w:rPr>
              <w:rFonts w:hint="default"/>
              <w:color w:val="auto"/>
              <w:highlight w:val="none"/>
              <w:lang w:val="en-US" w:eastAsia="zh-CN"/>
            </w:rPr>
          </w:pPr>
          <w:r>
            <w:rPr>
              <w:rFonts w:hint="eastAsia"/>
              <w:b/>
              <w:color w:val="auto"/>
              <w:highlight w:val="none"/>
              <w:lang w:val="en-US" w:eastAsia="zh-CN"/>
            </w:rPr>
            <w:fldChar w:fldCharType="end"/>
          </w:r>
        </w:p>
        <w:p>
          <w:pPr>
            <w:keepNext w:val="0"/>
            <w:keepLines w:val="0"/>
            <w:widowControl/>
            <w:suppressLineNumbers w:val="0"/>
            <w:tabs>
              <w:tab w:val="right" w:leader="dot" w:pos="9321"/>
            </w:tabs>
            <w:bidi w:val="0"/>
            <w:jc w:val="center"/>
            <w:outlineLvl w:val="9"/>
            <w:rPr>
              <w:rFonts w:hint="eastAsia"/>
              <w:color w:val="auto"/>
              <w:highlight w:val="none"/>
              <w:lang w:val="en-US" w:eastAsia="zh-CN"/>
            </w:rPr>
          </w:pPr>
        </w:p>
      </w:sdtContent>
    </w:sdt>
    <w:p>
      <w:pPr>
        <w:rPr>
          <w:rFonts w:hint="eastAsia"/>
          <w:color w:val="auto"/>
          <w:highlight w:val="none"/>
          <w:lang w:val="en-US" w:eastAsia="zh-CN"/>
        </w:rPr>
      </w:pPr>
      <w:r>
        <w:rPr>
          <w:rFonts w:hint="eastAsia"/>
          <w:color w:val="auto"/>
          <w:highlight w:val="none"/>
          <w:lang w:val="en-US" w:eastAsia="zh-CN"/>
        </w:rPr>
        <w:br w:type="page"/>
      </w:r>
    </w:p>
    <w:p>
      <w:pPr>
        <w:pStyle w:val="2"/>
        <w:bidi w:val="0"/>
        <w:jc w:val="center"/>
        <w:rPr>
          <w:color w:val="auto"/>
          <w:highlight w:val="none"/>
        </w:rPr>
      </w:pPr>
      <w:bookmarkStart w:id="0" w:name="_Toc26942"/>
      <w:r>
        <w:rPr>
          <w:rFonts w:hint="eastAsia"/>
          <w:color w:val="auto"/>
          <w:highlight w:val="none"/>
          <w:lang w:val="en-US" w:eastAsia="zh-CN"/>
        </w:rPr>
        <w:t>第一章 项目概况</w:t>
      </w:r>
      <w:bookmarkEnd w:id="0"/>
    </w:p>
    <w:p>
      <w:pPr>
        <w:keepNext w:val="0"/>
        <w:keepLines w:val="0"/>
        <w:pageBreakBefore w:val="0"/>
        <w:widowControl/>
        <w:suppressLineNumbers w:val="0"/>
        <w:kinsoku/>
        <w:wordWrap/>
        <w:overflowPunct/>
        <w:topLinePunct w:val="0"/>
        <w:autoSpaceDE/>
        <w:autoSpaceDN/>
        <w:bidi w:val="0"/>
        <w:adjustRightInd/>
        <w:snapToGrid/>
        <w:spacing w:line="680" w:lineRule="exact"/>
        <w:jc w:val="left"/>
        <w:textAlignment w:val="auto"/>
        <w:outlineLvl w:val="1"/>
        <w:rPr>
          <w:rFonts w:hint="eastAsia" w:ascii="仿宋" w:hAnsi="仿宋" w:eastAsia="仿宋" w:cs="仿宋"/>
          <w:b/>
          <w:color w:val="auto"/>
          <w:kern w:val="0"/>
          <w:sz w:val="28"/>
          <w:szCs w:val="28"/>
          <w:highlight w:val="none"/>
          <w:lang w:val="en-US" w:eastAsia="zh-CN" w:bidi="ar"/>
        </w:rPr>
      </w:pPr>
      <w:bookmarkStart w:id="1" w:name="_Toc25747"/>
      <w:r>
        <w:rPr>
          <w:rFonts w:hint="eastAsia" w:ascii="仿宋" w:hAnsi="仿宋" w:eastAsia="仿宋" w:cs="仿宋"/>
          <w:b/>
          <w:color w:val="auto"/>
          <w:kern w:val="0"/>
          <w:sz w:val="28"/>
          <w:szCs w:val="28"/>
          <w:highlight w:val="none"/>
          <w:lang w:val="en-US" w:eastAsia="zh-CN" w:bidi="ar"/>
        </w:rPr>
        <w:t>1.1 项目名称</w:t>
      </w:r>
      <w:bookmarkEnd w:id="1"/>
      <w:r>
        <w:rPr>
          <w:rFonts w:hint="eastAsia" w:ascii="仿宋" w:hAnsi="仿宋" w:eastAsia="仿宋" w:cs="仿宋"/>
          <w:b/>
          <w:color w:val="auto"/>
          <w:kern w:val="0"/>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680" w:lineRule="exact"/>
        <w:ind w:firstLine="560" w:firstLineChars="200"/>
        <w:jc w:val="left"/>
        <w:textAlignment w:val="auto"/>
        <w:rPr>
          <w:rFonts w:hint="eastAsia" w:ascii="仿宋_GB2312" w:hAnsi="仿宋_GB2312" w:eastAsia="仿宋_GB2312" w:cs="仿宋_GB2312"/>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2025年荣成市区输配电设备更新改造项目土建工程</w:t>
      </w:r>
      <w:r>
        <w:rPr>
          <w:rFonts w:hint="eastAsia" w:ascii="仿宋_GB2312" w:hAnsi="仿宋_GB2312" w:eastAsia="仿宋_GB2312" w:cs="仿宋_GB2312"/>
          <w:color w:val="auto"/>
          <w:kern w:val="0"/>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680" w:lineRule="exact"/>
        <w:jc w:val="left"/>
        <w:textAlignment w:val="auto"/>
        <w:outlineLvl w:val="1"/>
        <w:rPr>
          <w:color w:val="auto"/>
          <w:sz w:val="20"/>
          <w:szCs w:val="22"/>
          <w:highlight w:val="none"/>
        </w:rPr>
      </w:pPr>
      <w:bookmarkStart w:id="2" w:name="_Toc5048"/>
      <w:r>
        <w:rPr>
          <w:rFonts w:hint="eastAsia" w:ascii="仿宋" w:hAnsi="仿宋" w:eastAsia="仿宋" w:cs="仿宋"/>
          <w:b/>
          <w:color w:val="auto"/>
          <w:kern w:val="0"/>
          <w:sz w:val="28"/>
          <w:szCs w:val="28"/>
          <w:highlight w:val="none"/>
          <w:lang w:val="en-US" w:eastAsia="zh-CN" w:bidi="ar"/>
        </w:rPr>
        <w:t>1.2 建设单位</w:t>
      </w:r>
      <w:bookmarkEnd w:id="2"/>
      <w:r>
        <w:rPr>
          <w:rFonts w:hint="eastAsia" w:ascii="仿宋" w:hAnsi="仿宋" w:eastAsia="仿宋" w:cs="仿宋"/>
          <w:b/>
          <w:color w:val="auto"/>
          <w:kern w:val="0"/>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680" w:lineRule="exact"/>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荣成市住房保障服务中心 </w:t>
      </w:r>
    </w:p>
    <w:p>
      <w:pPr>
        <w:keepNext w:val="0"/>
        <w:keepLines w:val="0"/>
        <w:pageBreakBefore w:val="0"/>
        <w:widowControl/>
        <w:suppressLineNumbers w:val="0"/>
        <w:kinsoku/>
        <w:wordWrap/>
        <w:overflowPunct/>
        <w:topLinePunct w:val="0"/>
        <w:autoSpaceDE/>
        <w:autoSpaceDN/>
        <w:bidi w:val="0"/>
        <w:adjustRightInd/>
        <w:snapToGrid/>
        <w:spacing w:line="680" w:lineRule="exact"/>
        <w:jc w:val="left"/>
        <w:textAlignment w:val="auto"/>
        <w:outlineLvl w:val="1"/>
        <w:rPr>
          <w:color w:val="auto"/>
          <w:sz w:val="20"/>
          <w:szCs w:val="22"/>
          <w:highlight w:val="none"/>
        </w:rPr>
      </w:pPr>
      <w:bookmarkStart w:id="3" w:name="_Toc16338"/>
      <w:r>
        <w:rPr>
          <w:rFonts w:hint="eastAsia" w:ascii="仿宋" w:hAnsi="仿宋" w:eastAsia="仿宋" w:cs="仿宋"/>
          <w:b/>
          <w:color w:val="auto"/>
          <w:kern w:val="0"/>
          <w:sz w:val="28"/>
          <w:szCs w:val="28"/>
          <w:highlight w:val="none"/>
          <w:lang w:val="en-US" w:eastAsia="zh-CN" w:bidi="ar"/>
        </w:rPr>
        <w:t xml:space="preserve">1.3 </w:t>
      </w:r>
      <w:bookmarkEnd w:id="3"/>
      <w:r>
        <w:rPr>
          <w:rFonts w:hint="eastAsia" w:ascii="仿宋" w:hAnsi="仿宋" w:eastAsia="仿宋" w:cs="仿宋"/>
          <w:b/>
          <w:color w:val="auto"/>
          <w:kern w:val="0"/>
          <w:sz w:val="28"/>
          <w:szCs w:val="28"/>
          <w:highlight w:val="none"/>
          <w:lang w:val="en-US" w:eastAsia="zh-CN" w:bidi="ar"/>
        </w:rPr>
        <w:t xml:space="preserve">建设地点 </w:t>
      </w:r>
    </w:p>
    <w:p>
      <w:pPr>
        <w:keepNext w:val="0"/>
        <w:keepLines w:val="0"/>
        <w:pageBreakBefore w:val="0"/>
        <w:widowControl/>
        <w:suppressLineNumbers w:val="0"/>
        <w:kinsoku/>
        <w:wordWrap/>
        <w:overflowPunct/>
        <w:topLinePunct w:val="0"/>
        <w:autoSpaceDE/>
        <w:autoSpaceDN/>
        <w:bidi w:val="0"/>
        <w:adjustRightInd/>
        <w:snapToGrid/>
        <w:spacing w:line="680" w:lineRule="exact"/>
        <w:ind w:firstLine="560" w:firstLineChars="200"/>
        <w:jc w:val="left"/>
        <w:textAlignment w:val="auto"/>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荣成市区和虎山、上庄、崂山、城西、人和、俚岛和寻山等镇街老旧小区。 </w:t>
      </w:r>
    </w:p>
    <w:p>
      <w:pPr>
        <w:keepNext w:val="0"/>
        <w:keepLines w:val="0"/>
        <w:pageBreakBefore w:val="0"/>
        <w:widowControl/>
        <w:suppressLineNumbers w:val="0"/>
        <w:kinsoku/>
        <w:wordWrap/>
        <w:overflowPunct/>
        <w:topLinePunct w:val="0"/>
        <w:autoSpaceDE/>
        <w:autoSpaceDN/>
        <w:bidi w:val="0"/>
        <w:adjustRightInd/>
        <w:snapToGrid/>
        <w:spacing w:line="680" w:lineRule="exact"/>
        <w:jc w:val="left"/>
        <w:textAlignment w:val="auto"/>
        <w:outlineLvl w:val="1"/>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1.4 建设单位情况</w:t>
      </w:r>
    </w:p>
    <w:p>
      <w:pPr>
        <w:keepNext w:val="0"/>
        <w:keepLines w:val="0"/>
        <w:pageBreakBefore w:val="0"/>
        <w:widowControl/>
        <w:suppressLineNumbers w:val="0"/>
        <w:kinsoku/>
        <w:wordWrap/>
        <w:overflowPunct/>
        <w:topLinePunct w:val="0"/>
        <w:autoSpaceDE/>
        <w:autoSpaceDN/>
        <w:bidi w:val="0"/>
        <w:adjustRightInd/>
        <w:snapToGrid/>
        <w:spacing w:line="680" w:lineRule="exact"/>
        <w:ind w:firstLine="560" w:firstLineChars="200"/>
        <w:jc w:val="left"/>
        <w:textAlignment w:val="auto"/>
        <w:rPr>
          <w:rFonts w:hint="default"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荣成市住房保障服务中心是荣成市住房和城乡建设局下属的事业单位，位于山东省威海市，注册地址为:威海市荣成市伟德东路;组织机构代码为12371082MB2659722P，单位负责人是张英强。</w:t>
      </w:r>
    </w:p>
    <w:p>
      <w:pPr>
        <w:keepNext w:val="0"/>
        <w:keepLines w:val="0"/>
        <w:pageBreakBefore w:val="0"/>
        <w:widowControl/>
        <w:suppressLineNumbers w:val="0"/>
        <w:kinsoku/>
        <w:wordWrap/>
        <w:overflowPunct/>
        <w:topLinePunct w:val="0"/>
        <w:autoSpaceDE/>
        <w:autoSpaceDN/>
        <w:bidi w:val="0"/>
        <w:adjustRightInd/>
        <w:snapToGrid/>
        <w:spacing w:line="680" w:lineRule="exact"/>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机构职能主要有：</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(一)参与拟订住房保障、房屋征收、物业管理政策:承担物业服务行业管理的辅助工作，推进物业服务行业发展:承担房地产行业管理的辅助工作，维护房地产市场秩序。</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(二)承担保障性住房资格审查事务性工作:承担保障性住房建设的辅助工作，承担违反保障性住房管理规定行为调查处理的辅助工作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(三)参与保障性住房安居工程、棚改政策的落实工作参与住房制度改革工作;承担政策性住房信息查询及数据维护工作。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四)承担物业服务行业管理和安全生产管理的辅助工作，承担物业服务项目招投标、承接查验等事务性工作，承担房地产住宅项目物业部分综合验收、住宅室内装饰装修指导服务工作;承担前期物业管理合同备案辅助工作:承担物业服务企业监督考核的辅助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(五)承担全市住房制度改革的相关事务性工作。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(六)承担住宅专项维修资金的交存、归集、使用等事务性工作。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(七)承房地产开发企业、中个机构( 估价、经济)管理的辅助工作:承担房屋租赁、房屋面积应用确认、房屋交易资金监管等事务性工作:承担国有土地上房屋征收与补偿的辅助工作。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(八)承担老旧小区整治改造、既有住宅加装电梯管理的相关事务性工作。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(九)承担住房保障领城各类信息系统的建设、运维工作，协助开展领导干部个人事项报告关于房产信息抽查核实工作。</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完成市住房城乡建设局交办的其它任务。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80" w:lineRule="exact"/>
        <w:jc w:val="left"/>
        <w:textAlignment w:val="auto"/>
        <w:outlineLvl w:val="1"/>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 xml:space="preserve">1.5实施背景和现状 </w:t>
      </w:r>
    </w:p>
    <w:p>
      <w:pPr>
        <w:keepNext w:val="0"/>
        <w:keepLines w:val="0"/>
        <w:widowControl/>
        <w:suppressLineNumbers w:val="0"/>
        <w:ind w:left="0" w:leftChars="0" w:firstLine="638" w:firstLineChars="228"/>
        <w:jc w:val="left"/>
        <w:rPr>
          <w:rFonts w:hint="eastAsia" w:ascii="仿宋" w:hAnsi="仿宋" w:eastAsia="仿宋" w:cs="仿宋"/>
          <w:color w:val="auto"/>
          <w:kern w:val="0"/>
          <w:sz w:val="28"/>
          <w:szCs w:val="28"/>
          <w:highlight w:val="none"/>
          <w:lang w:val="en-US" w:eastAsia="zh-CN" w:bidi="ar"/>
        </w:rPr>
      </w:pPr>
      <w:bookmarkStart w:id="4" w:name="_Toc30746"/>
      <w:r>
        <w:rPr>
          <w:rFonts w:hint="eastAsia" w:ascii="仿宋" w:hAnsi="仿宋" w:eastAsia="仿宋" w:cs="仿宋"/>
          <w:color w:val="auto"/>
          <w:kern w:val="0"/>
          <w:sz w:val="28"/>
          <w:szCs w:val="28"/>
          <w:highlight w:val="none"/>
          <w:lang w:val="en-US" w:eastAsia="zh-CN" w:bidi="ar"/>
        </w:rPr>
        <w:t>随着城市的发展，许多老旧小区建成时间久远，其输配电设备长期运行，逐渐出现老化、过载等问题，不仅影响居民的正常用电，还存在一定的安全隐患。对老旧小区输配电设备进行更新改造，提升供电可靠性和安全性，满足居民日益增长的用电需求，成为亟待解决的问题。</w:t>
      </w:r>
    </w:p>
    <w:p>
      <w:pPr>
        <w:keepNext w:val="0"/>
        <w:keepLines w:val="0"/>
        <w:widowControl/>
        <w:suppressLineNumbers w:val="0"/>
        <w:ind w:left="0" w:leftChars="0" w:firstLine="638" w:firstLineChars="228"/>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与此同时，党中央、国务院高度重视城镇老旧小区改造工作。习近平总书记指出，要加快老旧小区改造；不断完善城市管理和服务，彻底改变粗放型管理方式，让人民群众在城市生活得更方便、更舒心、更美好。住房和城乡建设部会同有关部门认真贯彻落实党中央、国务院决策部署，扎实推进城镇老旧小区改造工作。</w:t>
      </w:r>
    </w:p>
    <w:p>
      <w:pPr>
        <w:keepNext w:val="0"/>
        <w:keepLines w:val="0"/>
        <w:widowControl/>
        <w:suppressLineNumbers w:val="0"/>
        <w:ind w:left="0" w:leftChars="0" w:firstLine="683" w:firstLineChars="228"/>
        <w:jc w:val="left"/>
        <w:rPr>
          <w:rFonts w:ascii="仿宋" w:hAnsi="仿宋" w:eastAsia="仿宋" w:cs="仿宋"/>
          <w:color w:val="000000"/>
          <w:kern w:val="0"/>
          <w:sz w:val="30"/>
          <w:szCs w:val="30"/>
          <w:highlight w:val="none"/>
          <w:lang w:val="en-US" w:eastAsia="zh-CN" w:bidi="ar"/>
        </w:rPr>
      </w:pPr>
      <w:r>
        <w:rPr>
          <w:rFonts w:hint="eastAsia" w:ascii="仿宋" w:hAnsi="仿宋" w:eastAsia="仿宋" w:cs="仿宋"/>
          <w:color w:val="000000"/>
          <w:kern w:val="0"/>
          <w:sz w:val="30"/>
          <w:szCs w:val="30"/>
          <w:highlight w:val="none"/>
          <w:lang w:val="en-US" w:eastAsia="zh-CN" w:bidi="ar"/>
        </w:rPr>
        <w:t>目前老旧小区输配电设备的现状主要有以下三个方面：</w:t>
      </w:r>
    </w:p>
    <w:p>
      <w:pPr>
        <w:keepNext w:val="0"/>
        <w:keepLines w:val="0"/>
        <w:widowControl/>
        <w:suppressLineNumbers w:val="0"/>
        <w:ind w:left="0" w:leftChars="0" w:firstLine="638" w:firstLineChars="228"/>
        <w:jc w:val="left"/>
        <w:outlineLvl w:val="1"/>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一是设备老化：老旧小区输配电设备使用年限较长，变压器、配电柜、线路等关键设备出现不同程度的老化，绝缘性能下降，容易引发短路、漏电等故障。例如，部分小区的电线外皮磨损严重，导体裸露；变压器运行时噪音过大，油温异常升高等。</w:t>
      </w:r>
    </w:p>
    <w:p>
      <w:pPr>
        <w:keepNext w:val="0"/>
        <w:keepLines w:val="0"/>
        <w:widowControl/>
        <w:suppressLineNumbers w:val="0"/>
        <w:ind w:left="0" w:leftChars="0" w:firstLine="638" w:firstLineChars="228"/>
        <w:jc w:val="left"/>
        <w:outlineLvl w:val="1"/>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二是容量不足：随着居民生活水平的提高，各类电器设备不断增加，小区用电负荷急剧增长。现有的输配电设备容量已难以满足实际用电需求，频繁出现停电、电压不稳等现象，影响居民的正常生活。比如，夏季用电高峰期，一些老旧小区经常出现空调无法正常启动，电器设备损坏等情况。</w:t>
      </w:r>
    </w:p>
    <w:p>
      <w:pPr>
        <w:keepNext w:val="0"/>
        <w:keepLines w:val="0"/>
        <w:widowControl/>
        <w:suppressLineNumbers w:val="0"/>
        <w:ind w:left="0" w:leftChars="0" w:firstLine="638" w:firstLineChars="228"/>
        <w:jc w:val="left"/>
        <w:outlineLvl w:val="1"/>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三是存在安全隐患：老化的输配电设备加上不合理的线路布局，导致安全隐患突出。部分小区存在私拉乱接电线的现象，增加了火灾发生的风险；同时，一些配电箱缺乏有效的防护措施，容易发生触电事故。</w:t>
      </w:r>
    </w:p>
    <w:p>
      <w:pPr>
        <w:keepNext w:val="0"/>
        <w:keepLines w:val="0"/>
        <w:widowControl/>
        <w:suppressLineNumbers w:val="0"/>
        <w:ind w:left="0" w:leftChars="0" w:firstLine="638" w:firstLineChars="228"/>
        <w:jc w:val="left"/>
        <w:rPr>
          <w:rFonts w:ascii="仿宋" w:hAnsi="仿宋" w:eastAsia="仿宋" w:cs="仿宋"/>
          <w:color w:val="000000"/>
          <w:kern w:val="0"/>
          <w:sz w:val="30"/>
          <w:szCs w:val="30"/>
          <w:highlight w:val="none"/>
          <w:lang w:val="en-US" w:eastAsia="zh-CN" w:bidi="ar"/>
        </w:rPr>
      </w:pPr>
      <w:r>
        <w:rPr>
          <w:rFonts w:hint="eastAsia" w:ascii="仿宋" w:hAnsi="仿宋" w:eastAsia="仿宋" w:cs="仿宋"/>
          <w:color w:val="auto"/>
          <w:kern w:val="0"/>
          <w:sz w:val="28"/>
          <w:szCs w:val="28"/>
          <w:highlight w:val="none"/>
          <w:lang w:val="en-US" w:eastAsia="zh-CN" w:bidi="ar"/>
        </w:rPr>
        <w:t>为促进城市经济与社会发展，改善居民生活条件，荣成市住房保障服务中心决定实施老旧小区输配电设备更新改造工程，确保输配电设备安全和辖</w:t>
      </w:r>
      <w:r>
        <w:rPr>
          <w:rFonts w:ascii="仿宋" w:hAnsi="仿宋" w:eastAsia="仿宋" w:cs="仿宋"/>
          <w:color w:val="000000"/>
          <w:kern w:val="0"/>
          <w:sz w:val="30"/>
          <w:szCs w:val="30"/>
          <w:highlight w:val="none"/>
          <w:lang w:val="en-US" w:eastAsia="zh-CN" w:bidi="ar"/>
        </w:rPr>
        <w:t>区内用户的</w:t>
      </w:r>
      <w:r>
        <w:rPr>
          <w:rFonts w:hint="eastAsia" w:ascii="仿宋" w:hAnsi="仿宋" w:eastAsia="仿宋" w:cs="仿宋"/>
          <w:color w:val="000000"/>
          <w:kern w:val="0"/>
          <w:sz w:val="30"/>
          <w:szCs w:val="30"/>
          <w:highlight w:val="none"/>
          <w:lang w:val="en-US" w:eastAsia="zh-CN" w:bidi="ar"/>
        </w:rPr>
        <w:t>用电</w:t>
      </w:r>
      <w:r>
        <w:rPr>
          <w:rFonts w:ascii="仿宋" w:hAnsi="仿宋" w:eastAsia="仿宋" w:cs="仿宋"/>
          <w:color w:val="000000"/>
          <w:kern w:val="0"/>
          <w:sz w:val="30"/>
          <w:szCs w:val="30"/>
          <w:highlight w:val="none"/>
          <w:lang w:val="en-US" w:eastAsia="zh-CN" w:bidi="ar"/>
        </w:rPr>
        <w:t>需求。</w:t>
      </w:r>
    </w:p>
    <w:p>
      <w:pPr>
        <w:keepNext w:val="0"/>
        <w:keepLines w:val="0"/>
        <w:pageBreakBefore w:val="0"/>
        <w:widowControl/>
        <w:suppressLineNumbers w:val="0"/>
        <w:kinsoku/>
        <w:wordWrap/>
        <w:overflowPunct/>
        <w:topLinePunct w:val="0"/>
        <w:autoSpaceDE/>
        <w:autoSpaceDN/>
        <w:bidi w:val="0"/>
        <w:adjustRightInd/>
        <w:snapToGrid/>
        <w:spacing w:line="680" w:lineRule="exact"/>
        <w:jc w:val="left"/>
        <w:textAlignment w:val="auto"/>
        <w:outlineLvl w:val="1"/>
        <w:rPr>
          <w:color w:val="auto"/>
          <w:sz w:val="20"/>
          <w:szCs w:val="22"/>
          <w:highlight w:val="none"/>
        </w:rPr>
      </w:pPr>
      <w:r>
        <w:rPr>
          <w:rFonts w:hint="eastAsia" w:ascii="仿宋" w:hAnsi="仿宋" w:eastAsia="仿宋" w:cs="仿宋"/>
          <w:b/>
          <w:color w:val="auto"/>
          <w:kern w:val="0"/>
          <w:sz w:val="28"/>
          <w:szCs w:val="28"/>
          <w:highlight w:val="none"/>
          <w:lang w:val="en-US" w:eastAsia="zh-CN" w:bidi="ar"/>
        </w:rPr>
        <w:t>1.5 工程建设必要性</w:t>
      </w:r>
      <w:bookmarkEnd w:id="4"/>
      <w:r>
        <w:rPr>
          <w:rFonts w:hint="eastAsia" w:ascii="仿宋" w:hAnsi="仿宋" w:eastAsia="仿宋" w:cs="仿宋"/>
          <w:b/>
          <w:color w:val="auto"/>
          <w:kern w:val="0"/>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41" w:firstLineChars="228"/>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1.提升供电可靠性的需求</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老旧小区的输配电设备往往使用年限较长，设备老化严重，内部的线路、开关等部件磨损、老化，容易出现故障跳闸等问题，影响居民正常用电。例如，老化的电缆绝缘层破损，可能导致漏电、短路，进而引发停电事故。更新改造输配电设备，采用新型的、质量可靠的设备，能够从硬件上减少故障发生概率，保证供电的连续性和稳定性，满足居民日益增长的用电需求，避免因停电给居民生活带来诸多不便，如影响电器使用、造成生活秩序混乱等。</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41" w:firstLineChars="228"/>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2.保障用电安全的迫切需要</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老旧小区输配电设备因长期运行，存在诸多安全隐患。一方面，电气设备的老化可能导致外壳带电，威胁居民人身安全；另一方面，线路过载保护装置可能失效，当用电负荷过大时，无法及时切断电路，容易引发电气火灾等严重事故。近年来，因老旧小区输配电设备问题引发的火灾时有发生，造成了人员伤亡和财产损失。通过更新改造项目，对设备进行全面检测和更换，安装先进的漏电保护、过载保护装置等，能够有效降低安全风险，为居民创造一个安全的用电环境。</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41" w:firstLineChars="228"/>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3.适应小区发展和用电负荷增长的必然选择</w:t>
      </w:r>
    </w:p>
    <w:p>
      <w:pPr>
        <w:ind w:firstLine="560" w:firstLineChars="200"/>
        <w:rPr>
          <w:highlight w:val="none"/>
        </w:rPr>
      </w:pPr>
      <w:r>
        <w:rPr>
          <w:rFonts w:hint="eastAsia" w:ascii="仿宋" w:hAnsi="仿宋" w:eastAsia="仿宋" w:cs="仿宋"/>
          <w:color w:val="auto"/>
          <w:kern w:val="0"/>
          <w:sz w:val="28"/>
          <w:szCs w:val="28"/>
          <w:highlight w:val="none"/>
          <w:lang w:val="en-US" w:eastAsia="zh-CN" w:bidi="ar"/>
        </w:rPr>
        <w:t>随着居民生活水平的提高，各种大功率电器如空调、电热水器、烤箱等在家庭中广泛使用，老旧小区原有的输配电设备容量往往难以满足日益增长的用电负荷。这可能导致设备长期过载运行，加速设备老化，进一步降低设备寿命和可靠性。同时，用电负荷增长还可能引发电压不稳的问题，影响电器的正常使用，甚至缩短电器使用寿命。实施输配电设备更新改造项目，根据小区未来发展规划和用电负荷预测，合理增大设备容量，优化电网结构，能够确保小区电力供应与用电需求相匹配，支持小区的持续发展，提升居民生活质量。</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41" w:firstLineChars="228"/>
        <w:jc w:val="left"/>
        <w:textAlignment w:val="auto"/>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4.符合电力行业发展趋势和政策要求</w:t>
      </w:r>
    </w:p>
    <w:p>
      <w:pPr>
        <w:keepNext w:val="0"/>
        <w:keepLines w:val="0"/>
        <w:pageBreakBefore w:val="0"/>
        <w:widowControl/>
        <w:suppressLineNumbers w:val="0"/>
        <w:kinsoku/>
        <w:wordWrap/>
        <w:overflowPunct/>
        <w:topLinePunct w:val="0"/>
        <w:autoSpaceDE/>
        <w:autoSpaceDN/>
        <w:bidi w:val="0"/>
        <w:adjustRightInd/>
        <w:snapToGrid/>
        <w:spacing w:line="680" w:lineRule="exact"/>
        <w:ind w:left="0" w:leftChars="0" w:firstLine="638" w:firstLineChars="228"/>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电力行业技术不断进步，新型输配电设备在智能化、节能降耗等方面具有显著优势。老旧小区输配电设备更新改造项目有利于引入新技术、新设备，提高电力系统的智能化水平，实现远程监控、故障预警等功能，便于电力部门对设备进行管理和维护，提高工作效率。此外，国家和地方政府出台了一系列关于老旧小区改造的政策，其中包括对输配电设备更新改造的要求和支持措施，推动项目实施有助于落实相关政策，提升城市整体形象和基础设施水平。</w:t>
      </w:r>
    </w:p>
    <w:p>
      <w:pPr>
        <w:keepNext w:val="0"/>
        <w:keepLines w:val="0"/>
        <w:widowControl/>
        <w:suppressLineNumbers w:val="0"/>
        <w:jc w:val="left"/>
        <w:outlineLvl w:val="1"/>
        <w:rPr>
          <w:color w:val="auto"/>
          <w:sz w:val="20"/>
          <w:szCs w:val="22"/>
          <w:highlight w:val="none"/>
        </w:rPr>
      </w:pPr>
      <w:bookmarkStart w:id="5" w:name="_Toc7662"/>
      <w:r>
        <w:rPr>
          <w:rFonts w:hint="eastAsia" w:ascii="仿宋" w:hAnsi="仿宋" w:eastAsia="仿宋" w:cs="仿宋"/>
          <w:b/>
          <w:color w:val="auto"/>
          <w:kern w:val="0"/>
          <w:sz w:val="28"/>
          <w:szCs w:val="28"/>
          <w:highlight w:val="none"/>
          <w:lang w:val="en-US" w:eastAsia="zh-CN" w:bidi="ar"/>
        </w:rPr>
        <w:t>1.6 工程建设任务</w:t>
      </w:r>
      <w:bookmarkEnd w:id="5"/>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2025年荣成市区输配电设备更新改造项目土建工程位于荣成市区和虎山、上庄、崂山、城西、人和、俚岛和寻山等镇街老旧小区，工程的主要内容包含环网箱基础、箱变基础、低压分支箱基础、直线井、转角井等工程的新建，电缆线管及顶管的敷设预埋，管沟及路基土方的挖填运，砼院面、花砖路面破碎及恢复等工程。具体小区分布和施工预算如下：</w:t>
      </w:r>
    </w:p>
    <w:tbl>
      <w:tblPr>
        <w:tblStyle w:val="12"/>
        <w:tblW w:w="91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07"/>
        <w:gridCol w:w="3902"/>
        <w:gridCol w:w="2181"/>
        <w:gridCol w:w="15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单项工程名称</w:t>
            </w:r>
          </w:p>
        </w:tc>
        <w:tc>
          <w:tcPr>
            <w:tcW w:w="21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金额（元）</w:t>
            </w:r>
          </w:p>
        </w:tc>
        <w:tc>
          <w:tcPr>
            <w:tcW w:w="15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明珠路</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176390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西龙家</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401430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成达水泥家属</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143997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南山路</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275156</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时代广场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532244</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海山逸品华庭</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804247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新润嘉苑</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84166</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德润居</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85108</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沁园中心公馆</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42277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青山南区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42637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德平南区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41907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得润东区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758616</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于家小区二期</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97967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大润发生活大院</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415193</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海崖小区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556460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鑫水华庭</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2021899</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杏林新都</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576277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沁园公馆</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1134359</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阳光丽景</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115015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民安小区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683231</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部队家属楼</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231742</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于家小区三期</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145692</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财政家属</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261774</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于家小区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1287505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崖头妇幼小区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1294207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夏庄双兴小区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373005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寻山两湾城</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5590948</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寻山十二中家属楼</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395177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俚岛荣洋水产家属楼</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314922</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俚岛捕捞小区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181855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俚岛淄博度假区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50699</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俚岛医院家属楼</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77695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俚岛颜家社区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5213</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俚岛供销社小区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328327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新兴居委会1区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1788130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新兴居委会2区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1483426</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新兴居委会3区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1133650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兴和苑小区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84614</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大疃 荣成市盛泉开发有限公司</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421040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盛泉小区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2280506</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41</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信用社家属楼</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823620</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人和 新兴居委会4</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941291</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43</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城西  鑫华动力街区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1875494</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44</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虎山   海滨城</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3260791</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城西  龙泰嘉苑</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1911415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崂山粮所家属区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99476</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崂山双象橡胶家属区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306029</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48</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崂山景园家属区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315451</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49</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地毯厂家属区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105165</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崂山荣成市龙江物业服务有限公司</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96929</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51</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上庄 四职家属楼</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134384</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52</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上庄 隆翔花园</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1030973</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53</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虎山  盛泉家家悦小区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61368</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虎山  阳光花园</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6577</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虎山   盛泉五区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236237 </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5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w:t>
            </w:r>
          </w:p>
        </w:tc>
        <w:tc>
          <w:tcPr>
            <w:tcW w:w="39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虎山   南山小区</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345574 </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54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w:t>
            </w:r>
          </w:p>
        </w:tc>
        <w:tc>
          <w:tcPr>
            <w:tcW w:w="21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38269476 </w:t>
            </w:r>
          </w:p>
        </w:tc>
        <w:tc>
          <w:tcPr>
            <w:tcW w:w="15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1"/>
                <w:szCs w:val="21"/>
                <w:u w:val="none"/>
                <w:lang w:val="en-US" w:eastAsia="zh-CN" w:bidi="ar"/>
              </w:rPr>
            </w:pPr>
          </w:p>
        </w:tc>
      </w:tr>
    </w:tbl>
    <w:p>
      <w:pPr>
        <w:keepNext w:val="0"/>
        <w:keepLines w:val="0"/>
        <w:widowControl/>
        <w:suppressLineNumbers w:val="0"/>
        <w:jc w:val="left"/>
        <w:outlineLvl w:val="1"/>
        <w:rPr>
          <w:color w:val="auto"/>
          <w:sz w:val="20"/>
          <w:szCs w:val="22"/>
          <w:highlight w:val="none"/>
        </w:rPr>
      </w:pPr>
      <w:bookmarkStart w:id="6" w:name="_Toc29465"/>
      <w:r>
        <w:rPr>
          <w:rFonts w:hint="eastAsia" w:ascii="仿宋" w:hAnsi="仿宋" w:eastAsia="仿宋" w:cs="仿宋"/>
          <w:b/>
          <w:color w:val="auto"/>
          <w:kern w:val="0"/>
          <w:sz w:val="28"/>
          <w:szCs w:val="28"/>
          <w:highlight w:val="none"/>
          <w:lang w:val="en-US" w:eastAsia="zh-CN" w:bidi="ar"/>
        </w:rPr>
        <w:t>1.7 项目资金</w:t>
      </w:r>
      <w:bookmarkEnd w:id="6"/>
      <w:r>
        <w:rPr>
          <w:rFonts w:hint="eastAsia" w:ascii="仿宋" w:hAnsi="仿宋" w:eastAsia="仿宋" w:cs="仿宋"/>
          <w:b/>
          <w:color w:val="auto"/>
          <w:kern w:val="0"/>
          <w:sz w:val="28"/>
          <w:szCs w:val="28"/>
          <w:highlight w:val="none"/>
          <w:lang w:val="en-US" w:eastAsia="zh-CN" w:bidi="ar"/>
        </w:rPr>
        <w:t>及规模</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本项目总投资约4000万元。项目建设期限为 150日历天，资金全部为财政资金。</w:t>
      </w:r>
    </w:p>
    <w:p>
      <w:pPr>
        <w:keepNext w:val="0"/>
        <w:keepLines w:val="0"/>
        <w:widowControl/>
        <w:suppressLineNumbers w:val="0"/>
        <w:jc w:val="left"/>
        <w:rPr>
          <w:rFonts w:hint="eastAsia" w:ascii="仿宋" w:hAnsi="仿宋" w:eastAsia="仿宋" w:cs="仿宋"/>
          <w:b/>
          <w:color w:val="auto"/>
          <w:kern w:val="0"/>
          <w:sz w:val="28"/>
          <w:szCs w:val="28"/>
          <w:highlight w:val="none"/>
          <w:lang w:val="en-US" w:eastAsia="zh-CN" w:bidi="ar"/>
        </w:rPr>
      </w:pPr>
      <w:bookmarkStart w:id="7" w:name="_Toc18317"/>
      <w:r>
        <w:rPr>
          <w:rFonts w:hint="eastAsia" w:ascii="仿宋" w:hAnsi="仿宋" w:eastAsia="仿宋" w:cs="仿宋"/>
          <w:b/>
          <w:color w:val="auto"/>
          <w:kern w:val="0"/>
          <w:sz w:val="28"/>
          <w:szCs w:val="28"/>
          <w:highlight w:val="none"/>
          <w:lang w:val="en-US" w:eastAsia="zh-CN" w:bidi="ar"/>
        </w:rPr>
        <w:t>1.8 工程位置图</w:t>
      </w:r>
      <w:bookmarkEnd w:id="7"/>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jc w:val="center"/>
        <w:rPr>
          <w:rFonts w:hint="eastAsia" w:eastAsiaTheme="minorEastAsia"/>
          <w:color w:val="auto"/>
          <w:highlight w:val="none"/>
          <w:lang w:eastAsia="zh-CN"/>
        </w:rPr>
      </w:pPr>
      <w:bookmarkStart w:id="8" w:name="_Toc5766"/>
    </w:p>
    <w:p>
      <w:pPr>
        <w:keepNext w:val="0"/>
        <w:keepLines w:val="0"/>
        <w:widowControl/>
        <w:suppressLineNumbers w:val="0"/>
        <w:jc w:val="center"/>
        <w:rPr>
          <w:rFonts w:hint="eastAsia" w:eastAsiaTheme="minorEastAsia"/>
          <w:color w:val="auto"/>
          <w:highlight w:val="none"/>
          <w:lang w:eastAsia="zh-CN"/>
        </w:rPr>
      </w:pPr>
      <w:r>
        <w:rPr>
          <w:rFonts w:hint="eastAsia" w:eastAsiaTheme="minorEastAsia"/>
          <w:color w:val="auto"/>
          <w:highlight w:val="none"/>
          <w:lang w:eastAsia="zh-CN"/>
        </w:rPr>
        <w:drawing>
          <wp:inline distT="0" distB="0" distL="114300" distR="114300">
            <wp:extent cx="5918835" cy="4955540"/>
            <wp:effectExtent l="0" t="0" r="5715" b="16510"/>
            <wp:docPr id="11" name="图片 11" descr="175006242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50062427461"/>
                    <pic:cNvPicPr>
                      <a:picLocks noChangeAspect="1"/>
                    </pic:cNvPicPr>
                  </pic:nvPicPr>
                  <pic:blipFill>
                    <a:blip r:embed="rId5"/>
                    <a:stretch>
                      <a:fillRect/>
                    </a:stretch>
                  </pic:blipFill>
                  <pic:spPr>
                    <a:xfrm>
                      <a:off x="0" y="0"/>
                      <a:ext cx="5918835" cy="4955540"/>
                    </a:xfrm>
                    <a:prstGeom prst="rect">
                      <a:avLst/>
                    </a:prstGeom>
                  </pic:spPr>
                </pic:pic>
              </a:graphicData>
            </a:graphic>
          </wp:inline>
        </w:drawing>
      </w:r>
    </w:p>
    <w:p>
      <w:pPr>
        <w:keepNext w:val="0"/>
        <w:keepLines w:val="0"/>
        <w:widowControl/>
        <w:suppressLineNumbers w:val="0"/>
        <w:jc w:val="center"/>
        <w:rPr>
          <w:color w:val="auto"/>
          <w:sz w:val="20"/>
          <w:szCs w:val="22"/>
          <w:highlight w:val="none"/>
        </w:rPr>
      </w:pPr>
      <w:r>
        <w:rPr>
          <w:rFonts w:hint="eastAsia" w:ascii="仿宋" w:hAnsi="仿宋" w:eastAsia="仿宋" w:cs="仿宋"/>
          <w:b/>
          <w:color w:val="auto"/>
          <w:kern w:val="0"/>
          <w:sz w:val="28"/>
          <w:szCs w:val="28"/>
          <w:highlight w:val="none"/>
          <w:lang w:val="en-US" w:eastAsia="zh-CN" w:bidi="ar"/>
        </w:rPr>
        <w:t>图 1-1 工程场地位置图</w:t>
      </w:r>
    </w:p>
    <w:p>
      <w:pPr>
        <w:rPr>
          <w:rFonts w:hint="eastAsia"/>
          <w:color w:val="auto"/>
          <w:highlight w:val="none"/>
          <w:lang w:val="en-US" w:eastAsia="zh-CN"/>
        </w:rPr>
      </w:pPr>
      <w:r>
        <w:rPr>
          <w:rFonts w:hint="eastAsia"/>
          <w:color w:val="auto"/>
          <w:highlight w:val="none"/>
          <w:lang w:val="en-US" w:eastAsia="zh-CN"/>
        </w:rPr>
        <w:br w:type="page"/>
      </w:r>
    </w:p>
    <w:p>
      <w:pPr>
        <w:rPr>
          <w:rFonts w:hint="eastAsia"/>
          <w:color w:val="auto"/>
          <w:highlight w:val="none"/>
          <w:lang w:val="en-US" w:eastAsia="zh-CN"/>
        </w:rPr>
      </w:pPr>
    </w:p>
    <w:p>
      <w:pPr>
        <w:pStyle w:val="2"/>
        <w:bidi w:val="0"/>
        <w:jc w:val="center"/>
        <w:rPr>
          <w:color w:val="auto"/>
          <w:highlight w:val="none"/>
        </w:rPr>
      </w:pPr>
      <w:r>
        <w:rPr>
          <w:rFonts w:hint="eastAsia"/>
          <w:color w:val="auto"/>
          <w:highlight w:val="none"/>
          <w:lang w:val="en-US" w:eastAsia="zh-CN"/>
        </w:rPr>
        <w:t>第二章 评估依据</w:t>
      </w:r>
      <w:bookmarkEnd w:id="8"/>
    </w:p>
    <w:p>
      <w:pPr>
        <w:keepNext w:val="0"/>
        <w:keepLines w:val="0"/>
        <w:widowControl/>
        <w:suppressLineNumbers w:val="0"/>
        <w:jc w:val="left"/>
        <w:outlineLvl w:val="1"/>
        <w:rPr>
          <w:color w:val="auto"/>
          <w:sz w:val="20"/>
          <w:szCs w:val="22"/>
          <w:highlight w:val="none"/>
        </w:rPr>
      </w:pPr>
      <w:bookmarkStart w:id="9" w:name="_Toc11282"/>
      <w:r>
        <w:rPr>
          <w:rFonts w:hint="eastAsia" w:ascii="仿宋" w:hAnsi="仿宋" w:eastAsia="仿宋" w:cs="仿宋"/>
          <w:b/>
          <w:color w:val="auto"/>
          <w:kern w:val="0"/>
          <w:sz w:val="28"/>
          <w:szCs w:val="28"/>
          <w:highlight w:val="none"/>
          <w:lang w:val="en-US" w:eastAsia="zh-CN" w:bidi="ar"/>
        </w:rPr>
        <w:t>2.1 委托协议</w:t>
      </w:r>
      <w:bookmarkEnd w:id="9"/>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ascii="仿宋_GB2312" w:hAnsi="仿宋_GB2312" w:eastAsia="仿宋_GB2312" w:cs="仿宋_GB2312"/>
          <w:color w:val="auto"/>
          <w:kern w:val="0"/>
          <w:sz w:val="28"/>
          <w:szCs w:val="28"/>
          <w:highlight w:val="none"/>
          <w:lang w:val="en-US" w:eastAsia="en-US" w:bidi="ar"/>
        </w:rPr>
        <w:t>为确保</w:t>
      </w:r>
      <w:r>
        <w:rPr>
          <w:rFonts w:hint="eastAsia" w:ascii="仿宋" w:hAnsi="仿宋" w:eastAsia="仿宋" w:cs="仿宋"/>
          <w:color w:val="auto"/>
          <w:kern w:val="0"/>
          <w:sz w:val="28"/>
          <w:szCs w:val="28"/>
          <w:highlight w:val="none"/>
          <w:lang w:val="en-US" w:eastAsia="zh-CN" w:bidi="ar"/>
        </w:rPr>
        <w:t>2025年荣成市区输配电设备更新改造项目土建工程风险评估工作的顺利开展，本着坚持全面、客观、准确的原则，荣成市住房保障服务中心委托山东佳展建设工程管理有限公司承担该项目的风险评估工作，并出具风险评估报告。</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山东佳展建设工程管理有限公司将根据中共中央办公厅、国务院办公厅《关于加强新形势下重大决策社会稳定风险评估机制建设的意见》（中办发[2021]11号）以及其他中国法律、法规和政府主管部门的规定，按照行业公认的业务标准、道德规范和勤勉尽责精神，出具报告。 </w:t>
      </w:r>
    </w:p>
    <w:p>
      <w:pPr>
        <w:keepNext w:val="0"/>
        <w:keepLines w:val="0"/>
        <w:widowControl/>
        <w:suppressLineNumbers w:val="0"/>
        <w:jc w:val="left"/>
        <w:outlineLvl w:val="1"/>
        <w:rPr>
          <w:color w:val="auto"/>
          <w:sz w:val="20"/>
          <w:szCs w:val="22"/>
          <w:highlight w:val="none"/>
        </w:rPr>
      </w:pPr>
      <w:bookmarkStart w:id="10" w:name="_Toc28090"/>
      <w:r>
        <w:rPr>
          <w:rFonts w:hint="eastAsia" w:ascii="仿宋" w:hAnsi="仿宋" w:eastAsia="仿宋" w:cs="仿宋"/>
          <w:b/>
          <w:color w:val="auto"/>
          <w:kern w:val="0"/>
          <w:sz w:val="28"/>
          <w:szCs w:val="28"/>
          <w:highlight w:val="none"/>
          <w:lang w:val="en-US" w:eastAsia="zh-CN" w:bidi="ar"/>
        </w:rPr>
        <w:t>2.2 编制依据</w:t>
      </w:r>
      <w:bookmarkEnd w:id="10"/>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2.2.1 风险评估政策 </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(一) 国家颁布的法律法规及相关文件</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中共中央办公厅、国务院办公厅《关于加强新形势下重大决策社会稳定风险评估机制建设的意见》（中办发[2021]11号）</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(二) 地方颁布的法规及相关文件</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1、省委办公厅、省政府办公厅《贯彻&lt;关于加强新形势下重大决策社会稳定风险评估机制建设的意见&gt;的若干措施》（鲁办发[2021]14号）</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2、省委政法委《关于开展新形势下重大决策社会稳定风险评估工作的实施细则》（鲁政法[2022]13号）</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3、威海市委办公室、威海市政府办公室《威海市重大决策社会稳定风险评估实施办法》（威办发[2022]10号）</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 (三) 有关技术标准（参照执行）</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《威海市发展改革委重大固定资产投资项目社会稳定风险评估暂行办法》</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(四) 委托方提供、评估人员实地勘察调查和受托方掌握的资料</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1、委托方提供的有关资料</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2、评估人员实地勘察调查获取的资料；</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2.2.2 项目单位所提供的资料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en-US" w:bidi="ar"/>
        </w:rPr>
      </w:pPr>
      <w:bookmarkStart w:id="11" w:name="_Toc17612"/>
      <w:r>
        <w:rPr>
          <w:rFonts w:hint="eastAsia" w:ascii="仿宋" w:hAnsi="仿宋" w:eastAsia="仿宋" w:cs="仿宋"/>
          <w:color w:val="auto"/>
          <w:kern w:val="0"/>
          <w:sz w:val="28"/>
          <w:szCs w:val="28"/>
          <w:highlight w:val="none"/>
          <w:lang w:val="en-US" w:eastAsia="en-US" w:bidi="ar"/>
        </w:rPr>
        <w:t>山东省建设项目备案证明（项目代码</w:t>
      </w:r>
      <w:r>
        <w:rPr>
          <w:rFonts w:hint="eastAsia" w:ascii="仿宋" w:hAnsi="仿宋" w:eastAsia="仿宋" w:cs="仿宋"/>
          <w:color w:val="auto"/>
          <w:kern w:val="0"/>
          <w:sz w:val="28"/>
          <w:szCs w:val="28"/>
          <w:highlight w:val="none"/>
          <w:lang w:val="en-US" w:eastAsia="zh-CN" w:bidi="ar"/>
        </w:rPr>
        <w:t>2409-371000-04-01-626094</w:t>
      </w:r>
      <w:r>
        <w:rPr>
          <w:rFonts w:hint="eastAsia" w:ascii="仿宋" w:hAnsi="仿宋" w:eastAsia="仿宋" w:cs="仿宋"/>
          <w:color w:val="auto"/>
          <w:kern w:val="0"/>
          <w:sz w:val="28"/>
          <w:szCs w:val="28"/>
          <w:highlight w:val="none"/>
          <w:lang w:val="en-US" w:eastAsia="en-US" w:bidi="ar"/>
        </w:rPr>
        <w:t>）</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荣成市住房和城乡建设局关于非电网直供小区配电设施改造工程实施计划的请示和批复（荣住建字[2025]14号）</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（详见后附件）</w:t>
      </w:r>
    </w:p>
    <w:p>
      <w:pPr>
        <w:keepNext w:val="0"/>
        <w:keepLines w:val="0"/>
        <w:widowControl/>
        <w:suppressLineNumbers w:val="0"/>
        <w:jc w:val="left"/>
        <w:outlineLvl w:val="1"/>
        <w:rPr>
          <w:color w:val="auto"/>
          <w:sz w:val="20"/>
          <w:szCs w:val="22"/>
          <w:highlight w:val="none"/>
        </w:rPr>
      </w:pPr>
      <w:r>
        <w:rPr>
          <w:rFonts w:hint="eastAsia" w:ascii="仿宋" w:hAnsi="仿宋" w:eastAsia="仿宋" w:cs="仿宋"/>
          <w:b/>
          <w:color w:val="auto"/>
          <w:kern w:val="0"/>
          <w:sz w:val="28"/>
          <w:szCs w:val="28"/>
          <w:highlight w:val="none"/>
          <w:lang w:val="en-US" w:eastAsia="zh-CN" w:bidi="ar"/>
        </w:rPr>
        <w:t>2.3 评估主体</w:t>
      </w:r>
      <w:bookmarkEnd w:id="11"/>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本工程风险评估主体为荣成市住房保障服务中心，山东佳展建设工程管理有限公司作为本项目风险评估的受托实施方开展社会稳定风险评估工作，山东佳展建设工程管理有限公司组织成立了项目社会稳定风险评估工作组，由许文科同志任评估组长，项目小组成员参与，认真贯彻落实评估各项工作。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7"/>
        <w:gridCol w:w="2390"/>
        <w:gridCol w:w="1908"/>
        <w:gridCol w:w="1908"/>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shd w:val="clear" w:color="auto" w:fill="D6DCE4" w:themeFill="text2" w:themeFillTint="33"/>
            <w:vAlign w:val="top"/>
          </w:tcPr>
          <w:p>
            <w:pPr>
              <w:keepNext w:val="0"/>
              <w:keepLines w:val="0"/>
              <w:widowControl/>
              <w:suppressLineNumbers w:val="0"/>
              <w:jc w:val="center"/>
              <w:rPr>
                <w:rFonts w:hint="eastAsia" w:ascii="仿宋" w:hAnsi="仿宋" w:eastAsia="仿宋" w:cs="仿宋"/>
                <w:b/>
                <w:bCs/>
                <w:color w:val="auto"/>
                <w:kern w:val="0"/>
                <w:sz w:val="28"/>
                <w:szCs w:val="28"/>
                <w:highlight w:val="none"/>
                <w:vertAlign w:val="baseline"/>
                <w:lang w:val="en-US" w:eastAsia="zh-CN" w:bidi="ar"/>
              </w:rPr>
            </w:pPr>
            <w:r>
              <w:rPr>
                <w:rFonts w:hint="eastAsia" w:ascii="仿宋" w:hAnsi="仿宋" w:eastAsia="仿宋" w:cs="仿宋"/>
                <w:b/>
                <w:bCs/>
                <w:color w:val="auto"/>
                <w:kern w:val="0"/>
                <w:sz w:val="28"/>
                <w:szCs w:val="28"/>
                <w:highlight w:val="none"/>
                <w:vertAlign w:val="baseline"/>
                <w:lang w:val="en-US" w:eastAsia="zh-CN" w:bidi="ar"/>
              </w:rPr>
              <w:t>序号</w:t>
            </w:r>
          </w:p>
        </w:tc>
        <w:tc>
          <w:tcPr>
            <w:tcW w:w="2390" w:type="dxa"/>
            <w:shd w:val="clear" w:color="auto" w:fill="D6DCE4" w:themeFill="text2" w:themeFillTint="33"/>
            <w:vAlign w:val="top"/>
          </w:tcPr>
          <w:p>
            <w:pPr>
              <w:keepNext w:val="0"/>
              <w:keepLines w:val="0"/>
              <w:widowControl/>
              <w:suppressLineNumbers w:val="0"/>
              <w:jc w:val="center"/>
              <w:rPr>
                <w:rFonts w:hint="eastAsia" w:ascii="仿宋" w:hAnsi="仿宋" w:eastAsia="仿宋" w:cs="仿宋"/>
                <w:b/>
                <w:bCs/>
                <w:color w:val="auto"/>
                <w:kern w:val="0"/>
                <w:sz w:val="28"/>
                <w:szCs w:val="28"/>
                <w:highlight w:val="none"/>
                <w:vertAlign w:val="baseline"/>
                <w:lang w:val="en-US" w:eastAsia="zh-CN" w:bidi="ar"/>
              </w:rPr>
            </w:pPr>
            <w:r>
              <w:rPr>
                <w:rFonts w:hint="eastAsia" w:ascii="仿宋" w:hAnsi="仿宋" w:eastAsia="仿宋" w:cs="仿宋"/>
                <w:b/>
                <w:bCs/>
                <w:color w:val="auto"/>
                <w:kern w:val="0"/>
                <w:sz w:val="28"/>
                <w:szCs w:val="28"/>
                <w:highlight w:val="none"/>
                <w:vertAlign w:val="baseline"/>
                <w:lang w:val="en-US" w:eastAsia="zh-CN" w:bidi="ar"/>
              </w:rPr>
              <w:t>职务</w:t>
            </w:r>
          </w:p>
        </w:tc>
        <w:tc>
          <w:tcPr>
            <w:tcW w:w="1908" w:type="dxa"/>
            <w:shd w:val="clear" w:color="auto" w:fill="D6DCE4" w:themeFill="text2" w:themeFillTint="33"/>
            <w:vAlign w:val="top"/>
          </w:tcPr>
          <w:p>
            <w:pPr>
              <w:keepNext w:val="0"/>
              <w:keepLines w:val="0"/>
              <w:widowControl/>
              <w:suppressLineNumbers w:val="0"/>
              <w:jc w:val="center"/>
              <w:rPr>
                <w:rFonts w:hint="eastAsia" w:ascii="仿宋" w:hAnsi="仿宋" w:eastAsia="仿宋" w:cs="仿宋"/>
                <w:b/>
                <w:bCs/>
                <w:color w:val="auto"/>
                <w:kern w:val="0"/>
                <w:sz w:val="28"/>
                <w:szCs w:val="28"/>
                <w:highlight w:val="none"/>
                <w:vertAlign w:val="baseline"/>
                <w:lang w:val="en-US" w:eastAsia="zh-CN" w:bidi="ar"/>
              </w:rPr>
            </w:pPr>
            <w:r>
              <w:rPr>
                <w:rFonts w:hint="eastAsia" w:ascii="仿宋" w:hAnsi="仿宋" w:eastAsia="仿宋" w:cs="仿宋"/>
                <w:b/>
                <w:bCs/>
                <w:color w:val="auto"/>
                <w:kern w:val="0"/>
                <w:sz w:val="28"/>
                <w:szCs w:val="28"/>
                <w:highlight w:val="none"/>
                <w:vertAlign w:val="baseline"/>
                <w:lang w:val="en-US" w:eastAsia="zh-CN" w:bidi="ar"/>
              </w:rPr>
              <w:t>姓名</w:t>
            </w:r>
          </w:p>
        </w:tc>
        <w:tc>
          <w:tcPr>
            <w:tcW w:w="1908" w:type="dxa"/>
            <w:shd w:val="clear" w:color="auto" w:fill="D6DCE4" w:themeFill="text2" w:themeFillTint="33"/>
            <w:vAlign w:val="top"/>
          </w:tcPr>
          <w:p>
            <w:pPr>
              <w:keepNext w:val="0"/>
              <w:keepLines w:val="0"/>
              <w:widowControl/>
              <w:suppressLineNumbers w:val="0"/>
              <w:jc w:val="center"/>
              <w:rPr>
                <w:rFonts w:hint="eastAsia" w:ascii="仿宋" w:hAnsi="仿宋" w:eastAsia="仿宋" w:cs="仿宋"/>
                <w:b/>
                <w:bCs/>
                <w:color w:val="auto"/>
                <w:kern w:val="0"/>
                <w:sz w:val="28"/>
                <w:szCs w:val="28"/>
                <w:highlight w:val="none"/>
                <w:vertAlign w:val="baseline"/>
                <w:lang w:val="en-US" w:eastAsia="zh-CN" w:bidi="ar"/>
              </w:rPr>
            </w:pPr>
            <w:r>
              <w:rPr>
                <w:rFonts w:hint="eastAsia" w:ascii="仿宋" w:hAnsi="仿宋" w:eastAsia="仿宋" w:cs="仿宋"/>
                <w:b/>
                <w:bCs/>
                <w:color w:val="auto"/>
                <w:kern w:val="0"/>
                <w:sz w:val="28"/>
                <w:szCs w:val="28"/>
                <w:highlight w:val="none"/>
                <w:vertAlign w:val="baseline"/>
                <w:lang w:val="en-US" w:eastAsia="zh-CN" w:bidi="ar"/>
              </w:rPr>
              <w:t>职称</w:t>
            </w:r>
          </w:p>
        </w:tc>
        <w:tc>
          <w:tcPr>
            <w:tcW w:w="1504" w:type="dxa"/>
            <w:shd w:val="clear" w:color="auto" w:fill="D6DCE4" w:themeFill="text2" w:themeFillTint="33"/>
            <w:vAlign w:val="top"/>
          </w:tcPr>
          <w:p>
            <w:pPr>
              <w:keepNext w:val="0"/>
              <w:keepLines w:val="0"/>
              <w:widowControl/>
              <w:suppressLineNumbers w:val="0"/>
              <w:jc w:val="center"/>
              <w:rPr>
                <w:rFonts w:hint="eastAsia" w:ascii="仿宋" w:hAnsi="仿宋" w:eastAsia="仿宋" w:cs="仿宋"/>
                <w:b/>
                <w:bCs/>
                <w:color w:val="auto"/>
                <w:kern w:val="0"/>
                <w:sz w:val="28"/>
                <w:szCs w:val="28"/>
                <w:highlight w:val="none"/>
                <w:vertAlign w:val="baseline"/>
                <w:lang w:val="en-US" w:eastAsia="zh-CN" w:bidi="ar"/>
              </w:rPr>
            </w:pPr>
            <w:r>
              <w:rPr>
                <w:rFonts w:hint="eastAsia" w:ascii="仿宋" w:hAnsi="仿宋" w:eastAsia="仿宋" w:cs="仿宋"/>
                <w:b/>
                <w:bCs/>
                <w:color w:val="auto"/>
                <w:kern w:val="0"/>
                <w:sz w:val="28"/>
                <w:szCs w:val="28"/>
                <w:highlight w:val="none"/>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vAlign w:val="center"/>
          </w:tcPr>
          <w:p>
            <w:pPr>
              <w:keepNext w:val="0"/>
              <w:keepLines w:val="0"/>
              <w:widowControl/>
              <w:suppressLineNumbers w:val="0"/>
              <w:jc w:val="center"/>
              <w:rPr>
                <w:rFonts w:hint="default"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w:t>
            </w:r>
          </w:p>
        </w:tc>
        <w:tc>
          <w:tcPr>
            <w:tcW w:w="2390" w:type="dxa"/>
            <w:vAlign w:val="center"/>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评估组长</w:t>
            </w:r>
          </w:p>
        </w:tc>
        <w:tc>
          <w:tcPr>
            <w:tcW w:w="1908" w:type="dxa"/>
            <w:vAlign w:val="center"/>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许文科</w:t>
            </w:r>
          </w:p>
        </w:tc>
        <w:tc>
          <w:tcPr>
            <w:tcW w:w="1908" w:type="dxa"/>
          </w:tcPr>
          <w:p>
            <w:pPr>
              <w:keepNext w:val="0"/>
              <w:keepLines w:val="0"/>
              <w:widowControl/>
              <w:suppressLineNumbers w:val="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高级工程师</w:t>
            </w:r>
          </w:p>
          <w:p>
            <w:pPr>
              <w:keepNext w:val="0"/>
              <w:keepLines w:val="0"/>
              <w:widowControl/>
              <w:suppressLineNumbers w:val="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风险评估师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tcPr>
          <w:p>
            <w:pPr>
              <w:keepNext w:val="0"/>
              <w:keepLines w:val="0"/>
              <w:widowControl/>
              <w:suppressLineNumbers w:val="0"/>
              <w:jc w:val="center"/>
              <w:rPr>
                <w:rFonts w:hint="default"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w:t>
            </w:r>
          </w:p>
        </w:tc>
        <w:tc>
          <w:tcPr>
            <w:tcW w:w="2390"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编制人员</w:t>
            </w:r>
          </w:p>
        </w:tc>
        <w:tc>
          <w:tcPr>
            <w:tcW w:w="1908"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蒋晓玲</w:t>
            </w:r>
          </w:p>
        </w:tc>
        <w:tc>
          <w:tcPr>
            <w:tcW w:w="1908"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风险评估师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tcPr>
          <w:p>
            <w:pPr>
              <w:keepNext w:val="0"/>
              <w:keepLines w:val="0"/>
              <w:widowControl/>
              <w:suppressLineNumbers w:val="0"/>
              <w:jc w:val="center"/>
              <w:rPr>
                <w:rFonts w:hint="default"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vertAlign w:val="baseline"/>
                <w:lang w:val="en-US" w:eastAsia="zh-CN" w:bidi="ar"/>
              </w:rPr>
              <w:t>3</w:t>
            </w:r>
          </w:p>
        </w:tc>
        <w:tc>
          <w:tcPr>
            <w:tcW w:w="2390"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p>
        </w:tc>
        <w:tc>
          <w:tcPr>
            <w:tcW w:w="1908"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 xml:space="preserve">徐  丽 </w:t>
            </w:r>
            <w:r>
              <w:rPr>
                <w:rFonts w:hint="eastAsia"/>
                <w:color w:val="auto"/>
                <w:sz w:val="28"/>
                <w:szCs w:val="36"/>
                <w:highlight w:val="none"/>
                <w:lang w:val="en-US" w:eastAsia="zh-CN"/>
              </w:rPr>
              <w:t xml:space="preserve">   </w:t>
            </w:r>
          </w:p>
        </w:tc>
        <w:tc>
          <w:tcPr>
            <w:tcW w:w="1908"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风险评估师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tcPr>
          <w:p>
            <w:pPr>
              <w:keepNext w:val="0"/>
              <w:keepLines w:val="0"/>
              <w:widowControl/>
              <w:suppressLineNumbers w:val="0"/>
              <w:jc w:val="center"/>
              <w:rPr>
                <w:rFonts w:hint="default"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4</w:t>
            </w:r>
          </w:p>
        </w:tc>
        <w:tc>
          <w:tcPr>
            <w:tcW w:w="2390"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参加编制人员</w:t>
            </w:r>
          </w:p>
        </w:tc>
        <w:tc>
          <w:tcPr>
            <w:tcW w:w="1908" w:type="dxa"/>
            <w:vAlign w:val="top"/>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vertAlign w:val="baseline"/>
                <w:lang w:val="en-US" w:eastAsia="zh-CN" w:bidi="ar"/>
              </w:rPr>
              <w:t>王艳琪</w:t>
            </w:r>
          </w:p>
        </w:tc>
        <w:tc>
          <w:tcPr>
            <w:tcW w:w="1908" w:type="dxa"/>
            <w:vAlign w:val="top"/>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风险评估师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tcPr>
          <w:p>
            <w:pPr>
              <w:keepNext w:val="0"/>
              <w:keepLines w:val="0"/>
              <w:widowControl/>
              <w:suppressLineNumbers w:val="0"/>
              <w:jc w:val="center"/>
              <w:rPr>
                <w:rFonts w:hint="default"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vertAlign w:val="baseline"/>
                <w:lang w:val="en-US" w:eastAsia="zh-CN" w:bidi="ar"/>
              </w:rPr>
              <w:t>5</w:t>
            </w:r>
          </w:p>
        </w:tc>
        <w:tc>
          <w:tcPr>
            <w:tcW w:w="2390"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p>
        </w:tc>
        <w:tc>
          <w:tcPr>
            <w:tcW w:w="1908" w:type="dxa"/>
            <w:shd w:val="clear" w:color="auto" w:fill="auto"/>
            <w:vAlign w:val="top"/>
          </w:tcPr>
          <w:p>
            <w:pPr>
              <w:keepNext w:val="0"/>
              <w:keepLines w:val="0"/>
              <w:widowControl/>
              <w:suppressLineNumbers w:val="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刘海平</w:t>
            </w:r>
          </w:p>
        </w:tc>
        <w:tc>
          <w:tcPr>
            <w:tcW w:w="1908" w:type="dxa"/>
            <w:shd w:val="clear" w:color="auto" w:fill="auto"/>
            <w:vAlign w:val="top"/>
          </w:tcPr>
          <w:p>
            <w:pPr>
              <w:keepNext w:val="0"/>
              <w:keepLines w:val="0"/>
              <w:widowControl/>
              <w:suppressLineNumbers w:val="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高级经济师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tcPr>
          <w:p>
            <w:pPr>
              <w:keepNext w:val="0"/>
              <w:keepLines w:val="0"/>
              <w:widowControl/>
              <w:suppressLineNumbers w:val="0"/>
              <w:jc w:val="center"/>
              <w:rPr>
                <w:rFonts w:hint="default"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vertAlign w:val="baseline"/>
                <w:lang w:val="en-US" w:eastAsia="zh-CN" w:bidi="ar"/>
              </w:rPr>
              <w:t>6</w:t>
            </w:r>
          </w:p>
        </w:tc>
        <w:tc>
          <w:tcPr>
            <w:tcW w:w="2390" w:type="dxa"/>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p>
        </w:tc>
        <w:tc>
          <w:tcPr>
            <w:tcW w:w="1908" w:type="dxa"/>
            <w:shd w:val="clear" w:color="auto" w:fill="auto"/>
            <w:vAlign w:val="top"/>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李雪娇</w:t>
            </w:r>
          </w:p>
        </w:tc>
        <w:tc>
          <w:tcPr>
            <w:tcW w:w="1908" w:type="dxa"/>
            <w:shd w:val="clear" w:color="auto" w:fill="auto"/>
            <w:vAlign w:val="top"/>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工  程  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427" w:type="dxa"/>
          </w:tcPr>
          <w:p>
            <w:pPr>
              <w:keepNext w:val="0"/>
              <w:keepLines w:val="0"/>
              <w:widowControl/>
              <w:suppressLineNumbers w:val="0"/>
              <w:jc w:val="center"/>
              <w:rPr>
                <w:rFonts w:hint="default"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vertAlign w:val="baseline"/>
                <w:lang w:val="en-US" w:eastAsia="zh-CN" w:bidi="ar"/>
              </w:rPr>
              <w:t>7</w:t>
            </w:r>
          </w:p>
        </w:tc>
        <w:tc>
          <w:tcPr>
            <w:tcW w:w="2390" w:type="dxa"/>
            <w:vAlign w:val="top"/>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p>
        </w:tc>
        <w:tc>
          <w:tcPr>
            <w:tcW w:w="1908" w:type="dxa"/>
            <w:shd w:val="clear" w:color="auto" w:fill="auto"/>
            <w:vAlign w:val="top"/>
          </w:tcPr>
          <w:p>
            <w:pPr>
              <w:keepNext w:val="0"/>
              <w:keepLines w:val="0"/>
              <w:widowControl/>
              <w:suppressLineNumbers w:val="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连鲁巧</w:t>
            </w:r>
          </w:p>
        </w:tc>
        <w:tc>
          <w:tcPr>
            <w:tcW w:w="1908" w:type="dxa"/>
            <w:shd w:val="clear" w:color="auto" w:fill="auto"/>
            <w:vAlign w:val="top"/>
          </w:tcPr>
          <w:p>
            <w:pPr>
              <w:keepNext w:val="0"/>
              <w:keepLines w:val="0"/>
              <w:widowControl/>
              <w:suppressLineNumbers w:val="0"/>
              <w:jc w:val="center"/>
              <w:rPr>
                <w:rFonts w:hint="eastAsia" w:ascii="仿宋" w:hAnsi="仿宋" w:eastAsia="仿宋" w:cs="仿宋"/>
                <w:color w:val="auto"/>
                <w:kern w:val="0"/>
                <w:sz w:val="28"/>
                <w:szCs w:val="28"/>
                <w:highlight w:val="none"/>
                <w:vertAlign w:val="baseline"/>
                <w:lang w:val="en-US" w:eastAsia="zh-CN" w:bidi="ar"/>
              </w:rPr>
            </w:pPr>
            <w:r>
              <w:rPr>
                <w:rFonts w:hint="eastAsia" w:ascii="仿宋" w:hAnsi="仿宋" w:eastAsia="仿宋" w:cs="仿宋"/>
                <w:color w:val="auto"/>
                <w:kern w:val="0"/>
                <w:sz w:val="28"/>
                <w:szCs w:val="28"/>
                <w:highlight w:val="none"/>
                <w:lang w:val="en-US" w:eastAsia="zh-CN" w:bidi="ar"/>
              </w:rPr>
              <w:t>工  程  师</w:t>
            </w:r>
          </w:p>
        </w:tc>
        <w:tc>
          <w:tcPr>
            <w:tcW w:w="1504" w:type="dxa"/>
          </w:tcPr>
          <w:p>
            <w:pPr>
              <w:keepNext w:val="0"/>
              <w:keepLines w:val="0"/>
              <w:widowControl/>
              <w:suppressLineNumbers w:val="0"/>
              <w:jc w:val="left"/>
              <w:rPr>
                <w:rFonts w:hint="eastAsia" w:ascii="仿宋" w:hAnsi="仿宋" w:eastAsia="仿宋" w:cs="仿宋"/>
                <w:color w:val="auto"/>
                <w:kern w:val="0"/>
                <w:sz w:val="28"/>
                <w:szCs w:val="28"/>
                <w:highlight w:val="none"/>
                <w:vertAlign w:val="baseline"/>
                <w:lang w:val="en-US" w:eastAsia="zh-CN" w:bidi="ar"/>
              </w:rPr>
            </w:pPr>
          </w:p>
        </w:tc>
      </w:tr>
    </w:tbl>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pPr>
        <w:keepNext w:val="0"/>
        <w:keepLines w:val="0"/>
        <w:widowControl/>
        <w:suppressLineNumbers w:val="0"/>
        <w:jc w:val="left"/>
        <w:outlineLvl w:val="1"/>
        <w:rPr>
          <w:color w:val="auto"/>
          <w:sz w:val="20"/>
          <w:szCs w:val="22"/>
          <w:highlight w:val="none"/>
        </w:rPr>
      </w:pPr>
      <w:bookmarkStart w:id="12" w:name="_Toc17058"/>
      <w:r>
        <w:rPr>
          <w:rFonts w:hint="eastAsia" w:ascii="仿宋" w:hAnsi="仿宋" w:eastAsia="仿宋" w:cs="仿宋"/>
          <w:b/>
          <w:color w:val="auto"/>
          <w:kern w:val="0"/>
          <w:sz w:val="28"/>
          <w:szCs w:val="28"/>
          <w:highlight w:val="none"/>
          <w:lang w:val="en-US" w:eastAsia="zh-CN" w:bidi="ar"/>
        </w:rPr>
        <w:t>2.4 评估过程</w:t>
      </w:r>
      <w:bookmarkEnd w:id="12"/>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山东佳展建设工程管理有限公司按照国家有关编制规范和相关要求，围绕项目实施的合法性、合理性、可行性和可控性等方面开展了风险调查，调查项目实施范围内的单位和个人，充分了解相关单位和个人的意见；随后在风险调查的基础上，全面、全程查找和分析可能引发社会稳定风险的各种分析因素，并对主要风险因素的风险程度及其相互关系进行评估；最后根据风险识别和风险估计的结果，研究提出风险防范化解措施，编制本项目的风险评估报告。 </w:t>
      </w:r>
    </w:p>
    <w:p>
      <w:pPr>
        <w:rPr>
          <w:rFonts w:hint="eastAsia"/>
          <w:color w:val="auto"/>
          <w:highlight w:val="none"/>
          <w:lang w:val="en-US" w:eastAsia="zh-CN"/>
        </w:rPr>
      </w:pPr>
      <w:bookmarkStart w:id="13" w:name="_Toc31342"/>
      <w:r>
        <w:rPr>
          <w:rFonts w:hint="eastAsia"/>
          <w:color w:val="auto"/>
          <w:highlight w:val="none"/>
          <w:lang w:val="en-US" w:eastAsia="zh-CN"/>
        </w:rPr>
        <w:br w:type="page"/>
      </w:r>
    </w:p>
    <w:p>
      <w:pPr>
        <w:pStyle w:val="2"/>
        <w:bidi w:val="0"/>
        <w:jc w:val="center"/>
        <w:rPr>
          <w:color w:val="auto"/>
          <w:highlight w:val="none"/>
        </w:rPr>
      </w:pPr>
      <w:r>
        <w:rPr>
          <w:rFonts w:hint="eastAsia"/>
          <w:color w:val="auto"/>
          <w:highlight w:val="none"/>
          <w:lang w:val="en-US" w:eastAsia="zh-CN"/>
        </w:rPr>
        <w:t>第三章 风险调查</w:t>
      </w:r>
      <w:bookmarkEnd w:id="13"/>
    </w:p>
    <w:p>
      <w:pPr>
        <w:keepNext w:val="0"/>
        <w:keepLines w:val="0"/>
        <w:widowControl/>
        <w:suppressLineNumbers w:val="0"/>
        <w:jc w:val="left"/>
        <w:outlineLvl w:val="1"/>
        <w:rPr>
          <w:color w:val="auto"/>
          <w:sz w:val="20"/>
          <w:szCs w:val="22"/>
          <w:highlight w:val="none"/>
        </w:rPr>
      </w:pPr>
      <w:bookmarkStart w:id="14" w:name="_Toc20435"/>
      <w:r>
        <w:rPr>
          <w:rFonts w:hint="eastAsia" w:ascii="仿宋" w:hAnsi="仿宋" w:eastAsia="仿宋" w:cs="仿宋"/>
          <w:b/>
          <w:color w:val="auto"/>
          <w:kern w:val="0"/>
          <w:sz w:val="28"/>
          <w:szCs w:val="28"/>
          <w:highlight w:val="none"/>
          <w:lang w:val="en-US" w:eastAsia="zh-CN" w:bidi="ar"/>
        </w:rPr>
        <w:t>3.1 调查的内容和范围</w:t>
      </w:r>
      <w:bookmarkEnd w:id="14"/>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3.1.1 风险调查的内容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风险调查根据拟建项目的实际情况，通过文献调查法、现场勘查法、问卷调查法、案例分析法等方法，围绕项目建设的合法性、合理性、可行性和可控性等方面进行风险调查。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调查的内容主要包括拟建项目的合法性、拟建项目所在地周边的自然环境现状和社会环境现状，群众、利益相关者对拟建项目的意见和诉求等。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3.1.2 风险调查范围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风险调查的范围包括项目建设、运营过程中，与其发生利益相关、容易引发风险的全部因素。根据项目地理位置和功能作用确定本项目的调查范围为：荣成市区和虎山、上庄、崂山、城西、人和、俚岛和寻山等镇街老旧小区。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凡项目涉及到利益相关者切身利益、容易引发风险的因素，都纳入调查范围，涵盖拟建项目建设和运营可能产生负面影响的范围。 </w:t>
      </w:r>
    </w:p>
    <w:p>
      <w:pPr>
        <w:keepNext w:val="0"/>
        <w:keepLines w:val="0"/>
        <w:widowControl/>
        <w:suppressLineNumbers w:val="0"/>
        <w:jc w:val="left"/>
        <w:outlineLvl w:val="1"/>
        <w:rPr>
          <w:color w:val="auto"/>
          <w:sz w:val="20"/>
          <w:szCs w:val="22"/>
          <w:highlight w:val="none"/>
        </w:rPr>
      </w:pPr>
      <w:bookmarkStart w:id="15" w:name="_Toc26422"/>
      <w:r>
        <w:rPr>
          <w:rFonts w:hint="eastAsia" w:ascii="仿宋" w:hAnsi="仿宋" w:eastAsia="仿宋" w:cs="仿宋"/>
          <w:b/>
          <w:color w:val="auto"/>
          <w:kern w:val="0"/>
          <w:sz w:val="28"/>
          <w:szCs w:val="28"/>
          <w:highlight w:val="none"/>
          <w:lang w:val="en-US" w:eastAsia="zh-CN" w:bidi="ar"/>
        </w:rPr>
        <w:t>3.2 风险调查方式和方法</w:t>
      </w:r>
      <w:bookmarkEnd w:id="15"/>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初次实地踏勘情况，采用问卷调查、走访群众等方式和方法，以达到广泛调查、充分收集各方意见和诉求的目的。走访各基层组织，收集针对社会各界和群众意见、建议，开展风险分析的情况以及制订、优化完善预防和化解措施的情况。本项目的风险调查采用的方式和方法主要有：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（1）通过现场踏勘、与委托方的接触、沟通，初步了解项目建设背景、周边情况和具体建设内容；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（2）查阅项目的各项审批手续，核实项目可行性，审核建设程序的合法性和合规性；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（3）采用观察法、问卷调查法等进行社会环境调查，鉴别利益相关者，分析利益相关者诉求和历史社会矛盾；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（4）走访政府相关部门，了解其对项目的意见，收集各组织对项目的意见。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（5）收集项目规划、环境影响评价等公示后的群众意见，调研周边居民和企业，了解其意见。 </w:t>
      </w:r>
    </w:p>
    <w:p>
      <w:pPr>
        <w:keepNext w:val="0"/>
        <w:keepLines w:val="0"/>
        <w:widowControl/>
        <w:suppressLineNumbers w:val="0"/>
        <w:jc w:val="left"/>
        <w:outlineLvl w:val="1"/>
        <w:rPr>
          <w:color w:val="auto"/>
          <w:sz w:val="20"/>
          <w:szCs w:val="22"/>
          <w:highlight w:val="none"/>
        </w:rPr>
      </w:pPr>
      <w:bookmarkStart w:id="16" w:name="_Toc28813"/>
      <w:r>
        <w:rPr>
          <w:rFonts w:hint="eastAsia" w:ascii="仿宋" w:hAnsi="仿宋" w:eastAsia="仿宋" w:cs="仿宋"/>
          <w:b/>
          <w:color w:val="auto"/>
          <w:kern w:val="0"/>
          <w:sz w:val="28"/>
          <w:szCs w:val="28"/>
          <w:highlight w:val="none"/>
          <w:lang w:val="en-US" w:eastAsia="zh-CN" w:bidi="ar"/>
        </w:rPr>
        <w:t>3.3 调查的结果</w:t>
      </w:r>
      <w:bookmarkEnd w:id="16"/>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3.3.1 项目现场情况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为了解项目现场实际情况，山东佳展建设工程管理有限公司工作人员对本项目建设地点进行了勘察。</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通过现场勘查可知，本工程为老旧小区输配电设施改造工程，建设范围内地势平坦，具备较好的建设条件。场地及周边无不良地质作用，场地稳定，适宜工程建设。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本工程不涉及历史文化遗产、自然保护区、重要风景名胜区、军事设施等环境敏感点，对周围影响较小；进场和场内道路工程修(改)建也不涉及居民搬迁，工程区域及周边也无重要宗教敏感点等。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3.3.2 利益群体及其诉求调查情况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1.项目利益群体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根据前期的现场调查，本项目涉及到的利益群体有：拟改造项目附近的小区居民、商户、就业人员等。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2.利益群体诉求调查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为进一步了解项目利益群体的利益诉求，评估人员前往项目影响范围内的荣成市区和虎山、上庄、崂山、城西、人和、俚岛和寻山等镇街老旧小区及周围的商户等进行了问卷调查。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1）居民调查情况如下：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此次调查在影响区域范围内发放公众参与问卷 50份，回收50份，回收率100%。问卷和统计结果如下：</w:t>
      </w:r>
    </w:p>
    <w:tbl>
      <w:tblPr>
        <w:tblStyle w:val="13"/>
        <w:tblW w:w="9318"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7"/>
        <w:gridCol w:w="2800"/>
        <w:gridCol w:w="994"/>
        <w:gridCol w:w="1316"/>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问题</w:t>
            </w: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选项</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人数</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比例%</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 您是通过以下哪种途径了解2025年荣成市区输配电设备更新改造项目土建工程？</w:t>
            </w: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网络媒体</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0</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项目公示</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15</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政府宣传</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居民间交谈</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不了解</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 您认为本项目的实施对当地经济发展的作用如何？</w:t>
            </w: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较大促进</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47</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94.00%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没有促进</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 您认为本项目的实施是否提高了您的生活水平？</w:t>
            </w: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较大促进</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48</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96.00%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没有促进</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 您认为本项目的实施对您产生哪方面的影响？</w:t>
            </w: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没有影响</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36</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72.00%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对交通出行不利影响</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对出行安全有利影响</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其他</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5.您认为项目实施是否会对社会和环境产生不利影响？</w:t>
            </w: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不会</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22</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44.00%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大气污染</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14.00%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噪声污染</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水污染</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12.00%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固定废弃物</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其他</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6.综合利弊，您对本项目的态度是？</w:t>
            </w:r>
          </w:p>
        </w:tc>
        <w:tc>
          <w:tcPr>
            <w:tcW w:w="28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支持</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48</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96.00%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反对</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0</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0.00%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21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c>
          <w:tcPr>
            <w:tcW w:w="28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无所谓</w:t>
            </w:r>
          </w:p>
        </w:tc>
        <w:tc>
          <w:tcPr>
            <w:tcW w:w="99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131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4.00%</w:t>
            </w:r>
          </w:p>
        </w:tc>
        <w:tc>
          <w:tcPr>
            <w:tcW w:w="991"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rPr>
                <w:rFonts w:hint="eastAsia" w:ascii="仿宋" w:hAnsi="仿宋" w:eastAsia="仿宋" w:cs="仿宋"/>
                <w:color w:val="auto"/>
                <w:kern w:val="0"/>
                <w:sz w:val="24"/>
                <w:szCs w:val="24"/>
                <w:highlight w:val="none"/>
                <w:vertAlign w:val="baseline"/>
                <w:lang w:val="en-US" w:eastAsia="zh-CN" w:bidi="ar"/>
              </w:rPr>
            </w:pPr>
          </w:p>
        </w:tc>
      </w:tr>
    </w:tbl>
    <w:p>
      <w:pPr>
        <w:keepNext w:val="0"/>
        <w:keepLines w:val="0"/>
        <w:widowControl/>
        <w:suppressLineNumbers w:val="0"/>
        <w:jc w:val="center"/>
        <w:rPr>
          <w:color w:val="auto"/>
          <w:sz w:val="20"/>
          <w:szCs w:val="22"/>
          <w:highlight w:val="none"/>
        </w:rPr>
      </w:pPr>
      <w:r>
        <w:rPr>
          <w:rFonts w:hint="eastAsia" w:ascii="仿宋" w:hAnsi="仿宋" w:eastAsia="仿宋" w:cs="仿宋"/>
          <w:b/>
          <w:color w:val="auto"/>
          <w:kern w:val="0"/>
          <w:sz w:val="28"/>
          <w:szCs w:val="28"/>
          <w:highlight w:val="none"/>
          <w:lang w:val="en-US" w:eastAsia="zh-CN" w:bidi="ar"/>
        </w:rPr>
        <w:t>表 3-1 问卷调查及分析表（50份）</w:t>
      </w:r>
    </w:p>
    <w:p>
      <w:pPr>
        <w:keepNext w:val="0"/>
        <w:keepLines w:val="0"/>
        <w:widowControl/>
        <w:suppressLineNumbers w:val="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从统计表可以看出： </w:t>
      </w:r>
    </w:p>
    <w:p>
      <w:pPr>
        <w:keepNext w:val="0"/>
        <w:keepLines w:val="0"/>
        <w:pageBreakBefore w:val="0"/>
        <w:widowControl/>
        <w:suppressLineNumbers w:val="0"/>
        <w:kinsoku/>
        <w:wordWrap/>
        <w:overflowPunct/>
        <w:topLinePunct w:val="0"/>
        <w:autoSpaceDE/>
        <w:autoSpaceDN/>
        <w:bidi w:val="0"/>
        <w:adjustRightInd/>
        <w:snapToGrid/>
        <w:spacing w:after="157" w:afterLines="50"/>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（1）通过各种不同路径了解本项目的情况如下图：</w:t>
      </w:r>
    </w:p>
    <w:p>
      <w:pPr>
        <w:keepNext w:val="0"/>
        <w:keepLines w:val="0"/>
        <w:widowControl/>
        <w:suppressLineNumbers w:val="0"/>
        <w:ind w:firstLine="420" w:firstLineChars="200"/>
        <w:jc w:val="left"/>
        <w:rPr>
          <w:rFonts w:hint="eastAsia" w:ascii="仿宋" w:hAnsi="仿宋" w:eastAsia="仿宋" w:cs="仿宋"/>
          <w:color w:val="auto"/>
          <w:kern w:val="0"/>
          <w:sz w:val="28"/>
          <w:szCs w:val="28"/>
          <w:highlight w:val="none"/>
          <w:lang w:val="en-US" w:eastAsia="zh-CN" w:bidi="ar"/>
        </w:rPr>
      </w:pPr>
      <w:r>
        <w:drawing>
          <wp:inline distT="0" distB="0" distL="114300" distR="114300">
            <wp:extent cx="4711700" cy="3876675"/>
            <wp:effectExtent l="4445" t="4445" r="8255" b="5080"/>
            <wp:docPr id="2017"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ind w:firstLine="560" w:firstLineChars="200"/>
        <w:jc w:val="left"/>
        <w:textAlignment w:val="auto"/>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（2）本项目的实施对当地经济发展和自己的生活的作用。 </w:t>
      </w:r>
    </w:p>
    <w:p>
      <w:pPr>
        <w:keepNext w:val="0"/>
        <w:keepLines w:val="0"/>
        <w:pageBreakBefore w:val="0"/>
        <w:widowControl/>
        <w:suppressLineNumbers w:val="0"/>
        <w:kinsoku/>
        <w:wordWrap/>
        <w:overflowPunct/>
        <w:topLinePunct w:val="0"/>
        <w:autoSpaceDE/>
        <w:autoSpaceDN/>
        <w:bidi w:val="0"/>
        <w:adjustRightInd/>
        <w:snapToGrid/>
        <w:spacing w:after="157" w:afterLines="50"/>
        <w:ind w:firstLine="420" w:firstLineChars="200"/>
        <w:jc w:val="left"/>
        <w:textAlignment w:val="auto"/>
      </w:pPr>
      <w:r>
        <w:drawing>
          <wp:inline distT="0" distB="0" distL="114300" distR="114300">
            <wp:extent cx="4575175" cy="2876550"/>
            <wp:effectExtent l="4445" t="4445" r="11430" b="14605"/>
            <wp:docPr id="201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after="157" w:afterLines="50"/>
        <w:ind w:firstLine="420" w:firstLineChars="200"/>
        <w:jc w:val="left"/>
        <w:textAlignment w:val="auto"/>
        <w:rPr>
          <w:rFonts w:hint="eastAsia" w:ascii="仿宋" w:hAnsi="仿宋" w:eastAsia="仿宋" w:cs="仿宋"/>
          <w:color w:val="auto"/>
          <w:kern w:val="0"/>
          <w:sz w:val="28"/>
          <w:szCs w:val="28"/>
          <w:highlight w:val="none"/>
          <w:lang w:val="en-US" w:eastAsia="zh-CN" w:bidi="ar"/>
        </w:rPr>
      </w:pPr>
      <w:r>
        <w:drawing>
          <wp:inline distT="0" distB="0" distL="114300" distR="114300">
            <wp:extent cx="4574540" cy="2876550"/>
            <wp:effectExtent l="4445" t="4445" r="12065" b="14605"/>
            <wp:docPr id="20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after="157" w:afterLines="50"/>
        <w:jc w:val="left"/>
        <w:textAlignment w:val="auto"/>
        <w:rPr>
          <w:rFonts w:hint="eastAsia" w:ascii="仿宋" w:hAnsi="仿宋" w:eastAsia="仿宋" w:cs="仿宋"/>
          <w:color w:val="auto"/>
          <w:kern w:val="0"/>
          <w:sz w:val="28"/>
          <w:szCs w:val="28"/>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157" w:afterLines="50"/>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（3）项目实施对受访者的影响详见下表：</w:t>
      </w:r>
    </w:p>
    <w:p>
      <w:pPr>
        <w:jc w:val="center"/>
        <w:rPr>
          <w:color w:val="auto"/>
          <w:highlight w:val="none"/>
        </w:rPr>
      </w:pPr>
      <w:r>
        <w:drawing>
          <wp:inline distT="0" distB="0" distL="114300" distR="114300">
            <wp:extent cx="5305425" cy="2809875"/>
            <wp:effectExtent l="4445" t="4445" r="5080" b="5080"/>
            <wp:docPr id="201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color w:val="auto"/>
          <w:highlight w:val="none"/>
        </w:rPr>
      </w:pPr>
    </w:p>
    <w:p>
      <w:pPr>
        <w:rPr>
          <w:rFonts w:hint="eastAsia" w:ascii="仿宋" w:hAnsi="仿宋" w:eastAsia="仿宋" w:cs="仿宋"/>
          <w:color w:val="auto"/>
          <w:kern w:val="0"/>
          <w:sz w:val="28"/>
          <w:szCs w:val="28"/>
          <w:highlight w:val="none"/>
          <w:lang w:val="en-US" w:eastAsia="zh-CN" w:bidi="ar"/>
        </w:rPr>
      </w:pP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（4）本项目实施对社会和环境产生影响详见下图：</w:t>
      </w:r>
    </w:p>
    <w:p>
      <w:pPr>
        <w:keepNext w:val="0"/>
        <w:keepLines w:val="0"/>
        <w:widowControl/>
        <w:suppressLineNumbers w:val="0"/>
        <w:ind w:firstLine="420" w:firstLineChars="200"/>
        <w:jc w:val="left"/>
        <w:rPr>
          <w:rFonts w:hint="eastAsia" w:ascii="仿宋" w:hAnsi="仿宋" w:eastAsia="仿宋" w:cs="仿宋"/>
          <w:color w:val="auto"/>
          <w:kern w:val="0"/>
          <w:sz w:val="28"/>
          <w:szCs w:val="28"/>
          <w:highlight w:val="none"/>
          <w:lang w:val="en-US" w:eastAsia="zh-CN" w:bidi="ar"/>
        </w:rPr>
      </w:pPr>
      <w:r>
        <w:drawing>
          <wp:inline distT="0" distB="0" distL="114300" distR="114300">
            <wp:extent cx="5275580" cy="3392170"/>
            <wp:effectExtent l="4445" t="4445" r="15875" b="13335"/>
            <wp:docPr id="20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（5）综合利弊，受访者对本项目的态度如下图：</w:t>
      </w:r>
    </w:p>
    <w:p>
      <w:pPr>
        <w:jc w:val="center"/>
        <w:rPr>
          <w:color w:val="auto"/>
          <w:highlight w:val="none"/>
        </w:rPr>
      </w:pPr>
    </w:p>
    <w:p>
      <w:pPr>
        <w:jc w:val="center"/>
      </w:pPr>
      <w:r>
        <w:drawing>
          <wp:inline distT="0" distB="0" distL="114300" distR="114300">
            <wp:extent cx="5215255" cy="2943225"/>
            <wp:effectExtent l="4445" t="4445" r="19050" b="5080"/>
            <wp:docPr id="20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widowControl/>
        <w:suppressLineNumbers w:val="0"/>
        <w:jc w:val="left"/>
        <w:rPr>
          <w:color w:val="auto"/>
          <w:highlight w:val="none"/>
        </w:rPr>
      </w:pPr>
    </w:p>
    <w:p>
      <w:pPr>
        <w:keepNext w:val="0"/>
        <w:keepLines w:val="0"/>
        <w:widowControl/>
        <w:numPr>
          <w:ilvl w:val="0"/>
          <w:numId w:val="0"/>
        </w:numPr>
        <w:suppressLineNumbers w:val="0"/>
        <w:jc w:val="left"/>
        <w:rPr>
          <w:rFonts w:hint="eastAsia" w:ascii="仿宋" w:hAnsi="仿宋" w:eastAsia="仿宋" w:cs="仿宋"/>
          <w:b/>
          <w:color w:val="auto"/>
          <w:kern w:val="0"/>
          <w:sz w:val="28"/>
          <w:szCs w:val="28"/>
          <w:highlight w:val="none"/>
          <w:lang w:val="en-US" w:eastAsia="zh-CN" w:bidi="ar"/>
        </w:rPr>
      </w:pPr>
    </w:p>
    <w:p>
      <w:pPr>
        <w:keepNext w:val="0"/>
        <w:keepLines w:val="0"/>
        <w:widowControl/>
        <w:numPr>
          <w:ilvl w:val="0"/>
          <w:numId w:val="0"/>
        </w:numPr>
        <w:suppressLineNumbers w:val="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2）座谈会调查</w:t>
      </w:r>
    </w:p>
    <w:p>
      <w:pPr>
        <w:keepNext w:val="0"/>
        <w:keepLines w:val="0"/>
        <w:widowControl/>
        <w:numPr>
          <w:ilvl w:val="0"/>
          <w:numId w:val="0"/>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pPr>
        <w:keepNext w:val="0"/>
        <w:keepLines w:val="0"/>
        <w:widowControl/>
        <w:numPr>
          <w:ilvl w:val="0"/>
          <w:numId w:val="0"/>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建设单位组织相关利益方召开座谈会。</w:t>
      </w:r>
    </w:p>
    <w:p>
      <w:pPr>
        <w:jc w:val="center"/>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drawing>
          <wp:inline distT="0" distB="0" distL="114300" distR="114300">
            <wp:extent cx="4533265" cy="3398520"/>
            <wp:effectExtent l="0" t="0" r="635" b="11430"/>
            <wp:docPr id="29" name="图片 29" descr="d8826641ba6c1b1cb20c16bf9e40c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8826641ba6c1b1cb20c16bf9e40c415"/>
                    <pic:cNvPicPr>
                      <a:picLocks noChangeAspect="1"/>
                    </pic:cNvPicPr>
                  </pic:nvPicPr>
                  <pic:blipFill>
                    <a:blip r:embed="rId12"/>
                    <a:stretch>
                      <a:fillRect/>
                    </a:stretch>
                  </pic:blipFill>
                  <pic:spPr>
                    <a:xfrm>
                      <a:off x="0" y="0"/>
                      <a:ext cx="4533265" cy="3398520"/>
                    </a:xfrm>
                    <a:prstGeom prst="rect">
                      <a:avLst/>
                    </a:prstGeom>
                  </pic:spPr>
                </pic:pic>
              </a:graphicData>
            </a:graphic>
          </wp:inline>
        </w:drawing>
      </w:r>
    </w:p>
    <w:p>
      <w:pPr>
        <w:jc w:val="center"/>
        <w:rPr>
          <w:rFonts w:hint="eastAsia" w:ascii="仿宋" w:hAnsi="仿宋" w:eastAsia="仿宋" w:cs="仿宋"/>
          <w:b/>
          <w:color w:val="auto"/>
          <w:kern w:val="0"/>
          <w:sz w:val="28"/>
          <w:szCs w:val="28"/>
          <w:highlight w:val="none"/>
          <w:lang w:val="en-US" w:eastAsia="zh-CN" w:bidi="ar"/>
        </w:rPr>
      </w:pPr>
    </w:p>
    <w:p>
      <w:pPr>
        <w:jc w:val="center"/>
        <w:rPr>
          <w:rFonts w:hint="eastAsia" w:ascii="仿宋" w:hAnsi="仿宋" w:eastAsia="仿宋" w:cs="仿宋"/>
          <w:b/>
          <w:color w:val="auto"/>
          <w:kern w:val="0"/>
          <w:sz w:val="28"/>
          <w:szCs w:val="28"/>
          <w:highlight w:val="none"/>
          <w:lang w:val="en-US" w:eastAsia="zh-CN" w:bidi="ar"/>
        </w:rPr>
      </w:pPr>
    </w:p>
    <w:p>
      <w:pPr>
        <w:numPr>
          <w:ilvl w:val="0"/>
          <w:numId w:val="0"/>
        </w:numPr>
        <w:ind w:left="840" w:leftChars="0" w:hanging="840" w:hangingChars="400"/>
        <w:jc w:val="left"/>
        <w:rPr>
          <w:rFonts w:hint="eastAsia" w:eastAsiaTheme="minorEastAsia"/>
          <w:color w:val="auto"/>
          <w:highlight w:val="none"/>
          <w:lang w:eastAsia="zh-CN"/>
        </w:rPr>
      </w:pPr>
      <w:r>
        <w:rPr>
          <w:rFonts w:hint="eastAsia" w:asciiTheme="minorHAnsi" w:hAnsiTheme="minorHAnsi" w:eastAsiaTheme="minorEastAsia" w:cstheme="minorBidi"/>
          <w:color w:val="auto"/>
          <w:kern w:val="2"/>
          <w:sz w:val="21"/>
          <w:szCs w:val="24"/>
          <w:lang w:val="en-US" w:eastAsia="zh-CN" w:bidi="ar-SA"/>
        </w:rPr>
        <w:t>3）</w:t>
      </w:r>
      <w:r>
        <w:rPr>
          <w:rFonts w:hint="eastAsia" w:ascii="仿宋" w:hAnsi="仿宋" w:eastAsia="仿宋" w:cs="仿宋"/>
          <w:b/>
          <w:color w:val="auto"/>
          <w:kern w:val="0"/>
          <w:sz w:val="28"/>
          <w:szCs w:val="28"/>
          <w:highlight w:val="none"/>
          <w:lang w:val="en-US" w:eastAsia="zh-CN" w:bidi="ar"/>
        </w:rPr>
        <w:t>公示公开情况如下：</w:t>
      </w:r>
      <w:r>
        <w:rPr>
          <w:rFonts w:hint="eastAsia" w:eastAsiaTheme="minorEastAsia"/>
          <w:color w:val="auto"/>
          <w:highlight w:val="none"/>
          <w:lang w:eastAsia="zh-CN"/>
        </w:rPr>
        <w:drawing>
          <wp:inline distT="0" distB="0" distL="114300" distR="114300">
            <wp:extent cx="4768215" cy="3576320"/>
            <wp:effectExtent l="0" t="0" r="13335" b="5080"/>
            <wp:docPr id="24" name="图片 24" descr="9d26d2ce2345ba9aefec8dee729c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d26d2ce2345ba9aefec8dee729c2ab"/>
                    <pic:cNvPicPr>
                      <a:picLocks noChangeAspect="1"/>
                    </pic:cNvPicPr>
                  </pic:nvPicPr>
                  <pic:blipFill>
                    <a:blip r:embed="rId13"/>
                    <a:stretch>
                      <a:fillRect/>
                    </a:stretch>
                  </pic:blipFill>
                  <pic:spPr>
                    <a:xfrm>
                      <a:off x="0" y="0"/>
                      <a:ext cx="4768215" cy="3576320"/>
                    </a:xfrm>
                    <a:prstGeom prst="rect">
                      <a:avLst/>
                    </a:prstGeom>
                  </pic:spPr>
                </pic:pic>
              </a:graphicData>
            </a:graphic>
          </wp:inline>
        </w:drawing>
      </w:r>
      <w:r>
        <w:rPr>
          <w:rFonts w:hint="eastAsia" w:eastAsiaTheme="minorEastAsia"/>
          <w:color w:val="auto"/>
          <w:highlight w:val="none"/>
          <w:lang w:eastAsia="zh-CN"/>
        </w:rPr>
        <w:drawing>
          <wp:inline distT="0" distB="0" distL="114300" distR="114300">
            <wp:extent cx="4797425" cy="3597910"/>
            <wp:effectExtent l="0" t="0" r="3175" b="2540"/>
            <wp:docPr id="13" name="图片 13" descr="a63dcb080cb562b08985805b6d663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a63dcb080cb562b08985805b6d6638f"/>
                    <pic:cNvPicPr>
                      <a:picLocks noChangeAspect="1"/>
                    </pic:cNvPicPr>
                  </pic:nvPicPr>
                  <pic:blipFill>
                    <a:blip r:embed="rId14"/>
                    <a:stretch>
                      <a:fillRect/>
                    </a:stretch>
                  </pic:blipFill>
                  <pic:spPr>
                    <a:xfrm>
                      <a:off x="0" y="0"/>
                      <a:ext cx="4797425" cy="3597910"/>
                    </a:xfrm>
                    <a:prstGeom prst="rect">
                      <a:avLst/>
                    </a:prstGeom>
                  </pic:spPr>
                </pic:pic>
              </a:graphicData>
            </a:graphic>
          </wp:inline>
        </w:drawing>
      </w:r>
    </w:p>
    <w:p>
      <w:pPr>
        <w:numPr>
          <w:ilvl w:val="0"/>
          <w:numId w:val="0"/>
        </w:numPr>
        <w:ind w:left="630" w:leftChars="0" w:hanging="630" w:hangingChars="300"/>
        <w:jc w:val="left"/>
        <w:rPr>
          <w:rFonts w:hint="eastAsia" w:eastAsiaTheme="minorEastAsia"/>
          <w:color w:val="auto"/>
          <w:highlight w:val="none"/>
          <w:lang w:eastAsia="zh-CN"/>
        </w:rPr>
      </w:pPr>
    </w:p>
    <w:p>
      <w:pPr>
        <w:numPr>
          <w:ilvl w:val="0"/>
          <w:numId w:val="0"/>
        </w:numPr>
        <w:ind w:left="630" w:leftChars="0" w:hanging="630" w:hangingChars="300"/>
        <w:jc w:val="left"/>
        <w:rPr>
          <w:rFonts w:hint="eastAsia"/>
          <w:color w:val="auto"/>
          <w:highlight w:val="none"/>
          <w:lang w:val="en-US" w:eastAsia="zh-CN"/>
        </w:rPr>
      </w:pPr>
      <w:r>
        <w:rPr>
          <w:rFonts w:hint="eastAsia"/>
          <w:color w:val="auto"/>
          <w:highlight w:val="none"/>
          <w:lang w:val="en-US" w:eastAsia="zh-CN"/>
        </w:rPr>
        <w:t xml:space="preserve">                   </w:t>
      </w:r>
      <w:r>
        <w:rPr>
          <w:rFonts w:hint="eastAsia" w:eastAsiaTheme="minorEastAsia"/>
          <w:color w:val="auto"/>
          <w:highlight w:val="none"/>
          <w:lang w:eastAsia="zh-CN"/>
        </w:rPr>
        <w:drawing>
          <wp:inline distT="0" distB="0" distL="114300" distR="114300">
            <wp:extent cx="3117215" cy="4156075"/>
            <wp:effectExtent l="0" t="0" r="6985" b="15875"/>
            <wp:docPr id="8" name="图片 8" descr="faa1bc186f9ad45661b69709b796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aa1bc186f9ad45661b69709b796668"/>
                    <pic:cNvPicPr>
                      <a:picLocks noChangeAspect="1"/>
                    </pic:cNvPicPr>
                  </pic:nvPicPr>
                  <pic:blipFill>
                    <a:blip r:embed="rId15"/>
                    <a:stretch>
                      <a:fillRect/>
                    </a:stretch>
                  </pic:blipFill>
                  <pic:spPr>
                    <a:xfrm>
                      <a:off x="0" y="0"/>
                      <a:ext cx="3117215" cy="4156075"/>
                    </a:xfrm>
                    <a:prstGeom prst="rect">
                      <a:avLst/>
                    </a:prstGeom>
                  </pic:spPr>
                </pic:pic>
              </a:graphicData>
            </a:graphic>
          </wp:inline>
        </w:drawing>
      </w:r>
      <w:r>
        <w:rPr>
          <w:rFonts w:hint="eastAsia"/>
          <w:color w:val="auto"/>
          <w:highlight w:val="none"/>
          <w:lang w:val="en-US" w:eastAsia="zh-CN"/>
        </w:rPr>
        <w:t xml:space="preserve">     </w:t>
      </w:r>
    </w:p>
    <w:p>
      <w:pPr>
        <w:numPr>
          <w:ilvl w:val="0"/>
          <w:numId w:val="0"/>
        </w:numPr>
        <w:ind w:left="630" w:leftChars="0" w:hanging="630" w:hangingChars="300"/>
        <w:jc w:val="left"/>
        <w:rPr>
          <w:rFonts w:hint="eastAsia"/>
          <w:color w:val="auto"/>
          <w:highlight w:val="none"/>
          <w:lang w:val="en-US" w:eastAsia="zh-CN"/>
        </w:rPr>
      </w:pPr>
    </w:p>
    <w:p>
      <w:pPr>
        <w:numPr>
          <w:ilvl w:val="0"/>
          <w:numId w:val="0"/>
        </w:numPr>
        <w:ind w:left="630" w:leftChars="0" w:hanging="630" w:hangingChars="300"/>
        <w:jc w:val="left"/>
        <w:rPr>
          <w:rFonts w:hint="eastAsia" w:eastAsiaTheme="minorEastAsia"/>
          <w:color w:val="auto"/>
          <w:highlight w:val="none"/>
          <w:lang w:eastAsia="zh-CN"/>
        </w:rPr>
      </w:pPr>
      <w:r>
        <w:rPr>
          <w:rFonts w:hint="eastAsia"/>
          <w:color w:val="auto"/>
          <w:highlight w:val="none"/>
          <w:lang w:val="en-US" w:eastAsia="zh-CN"/>
        </w:rPr>
        <w:t xml:space="preserve">        </w:t>
      </w:r>
      <w:r>
        <w:rPr>
          <w:rFonts w:hint="eastAsia" w:eastAsiaTheme="minorEastAsia"/>
          <w:color w:val="auto"/>
          <w:highlight w:val="none"/>
          <w:lang w:eastAsia="zh-CN"/>
        </w:rPr>
        <w:drawing>
          <wp:inline distT="0" distB="0" distL="114300" distR="114300">
            <wp:extent cx="4824730" cy="3618230"/>
            <wp:effectExtent l="0" t="0" r="13970" b="1270"/>
            <wp:docPr id="14" name="图片 14" descr="a59febdb9c27fa4bf8c9a53d8063f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a59febdb9c27fa4bf8c9a53d8063ff3"/>
                    <pic:cNvPicPr>
                      <a:picLocks noChangeAspect="1"/>
                    </pic:cNvPicPr>
                  </pic:nvPicPr>
                  <pic:blipFill>
                    <a:blip r:embed="rId16"/>
                    <a:stretch>
                      <a:fillRect/>
                    </a:stretch>
                  </pic:blipFill>
                  <pic:spPr>
                    <a:xfrm>
                      <a:off x="0" y="0"/>
                      <a:ext cx="4824730" cy="3618230"/>
                    </a:xfrm>
                    <a:prstGeom prst="rect">
                      <a:avLst/>
                    </a:prstGeom>
                  </pic:spPr>
                </pic:pic>
              </a:graphicData>
            </a:graphic>
          </wp:inline>
        </w:drawing>
      </w:r>
    </w:p>
    <w:p>
      <w:pPr>
        <w:numPr>
          <w:ilvl w:val="0"/>
          <w:numId w:val="0"/>
        </w:numPr>
        <w:ind w:left="630" w:leftChars="0" w:hanging="630" w:hangingChars="300"/>
        <w:jc w:val="left"/>
        <w:rPr>
          <w:rFonts w:hint="eastAsia" w:eastAsiaTheme="minorEastAsia"/>
          <w:color w:val="auto"/>
          <w:highlight w:val="none"/>
          <w:lang w:eastAsia="zh-CN"/>
        </w:rPr>
      </w:pPr>
      <w:r>
        <w:rPr>
          <w:rFonts w:hint="eastAsia"/>
          <w:color w:val="auto"/>
          <w:highlight w:val="none"/>
          <w:lang w:val="en-US" w:eastAsia="zh-CN"/>
        </w:rPr>
        <w:t xml:space="preserve">        </w:t>
      </w:r>
    </w:p>
    <w:p>
      <w:pPr>
        <w:keepNext w:val="0"/>
        <w:keepLines w:val="0"/>
        <w:widowControl/>
        <w:suppressLineNumbers w:val="0"/>
        <w:jc w:val="center"/>
        <w:rPr>
          <w:rFonts w:hint="eastAsia" w:eastAsiaTheme="minorEastAsia"/>
          <w:color w:val="auto"/>
          <w:highlight w:val="none"/>
          <w:lang w:eastAsia="zh-CN"/>
        </w:rPr>
      </w:pPr>
      <w:r>
        <w:rPr>
          <w:rFonts w:hint="eastAsia" w:eastAsiaTheme="minorEastAsia"/>
          <w:color w:val="auto"/>
          <w:highlight w:val="none"/>
          <w:lang w:eastAsia="zh-CN"/>
        </w:rPr>
        <w:drawing>
          <wp:inline distT="0" distB="0" distL="114300" distR="114300">
            <wp:extent cx="4885055" cy="3663950"/>
            <wp:effectExtent l="0" t="0" r="10795" b="12700"/>
            <wp:docPr id="21" name="图片 21" descr="97e5ce2db0f6956a44abf8c5932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97e5ce2db0f6956a44abf8c59323182"/>
                    <pic:cNvPicPr>
                      <a:picLocks noChangeAspect="1"/>
                    </pic:cNvPicPr>
                  </pic:nvPicPr>
                  <pic:blipFill>
                    <a:blip r:embed="rId17"/>
                    <a:stretch>
                      <a:fillRect/>
                    </a:stretch>
                  </pic:blipFill>
                  <pic:spPr>
                    <a:xfrm>
                      <a:off x="0" y="0"/>
                      <a:ext cx="4885055" cy="3663950"/>
                    </a:xfrm>
                    <a:prstGeom prst="rect">
                      <a:avLst/>
                    </a:prstGeom>
                  </pic:spPr>
                </pic:pic>
              </a:graphicData>
            </a:graphic>
          </wp:inline>
        </w:drawing>
      </w:r>
    </w:p>
    <w:p>
      <w:pPr>
        <w:keepNext w:val="0"/>
        <w:keepLines w:val="0"/>
        <w:widowControl/>
        <w:suppressLineNumbers w:val="0"/>
        <w:jc w:val="center"/>
        <w:rPr>
          <w:rFonts w:hint="eastAsia" w:eastAsiaTheme="minorEastAsia"/>
          <w:color w:val="auto"/>
          <w:highlight w:val="none"/>
          <w:lang w:val="en-US" w:eastAsia="zh-CN"/>
        </w:rPr>
      </w:pPr>
      <w:r>
        <w:rPr>
          <w:rFonts w:hint="eastAsia" w:eastAsiaTheme="minorEastAsia"/>
          <w:color w:val="auto"/>
          <w:highlight w:val="none"/>
          <w:lang w:eastAsia="zh-CN"/>
        </w:rPr>
        <w:drawing>
          <wp:inline distT="0" distB="0" distL="114300" distR="114300">
            <wp:extent cx="4884420" cy="3663315"/>
            <wp:effectExtent l="0" t="0" r="11430" b="13335"/>
            <wp:docPr id="26" name="图片 26" descr="3e605aff256c8e90eebfda8c583e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3e605aff256c8e90eebfda8c583e2c2"/>
                    <pic:cNvPicPr>
                      <a:picLocks noChangeAspect="1"/>
                    </pic:cNvPicPr>
                  </pic:nvPicPr>
                  <pic:blipFill>
                    <a:blip r:embed="rId18"/>
                    <a:stretch>
                      <a:fillRect/>
                    </a:stretch>
                  </pic:blipFill>
                  <pic:spPr>
                    <a:xfrm>
                      <a:off x="0" y="0"/>
                      <a:ext cx="4884420" cy="3663315"/>
                    </a:xfrm>
                    <a:prstGeom prst="rect">
                      <a:avLst/>
                    </a:prstGeom>
                  </pic:spPr>
                </pic:pic>
              </a:graphicData>
            </a:graphic>
          </wp:inline>
        </w:drawing>
      </w:r>
    </w:p>
    <w:p>
      <w:pPr>
        <w:keepNext w:val="0"/>
        <w:keepLines w:val="0"/>
        <w:widowControl/>
        <w:suppressLineNumbers w:val="0"/>
        <w:jc w:val="center"/>
        <w:rPr>
          <w:rFonts w:hint="eastAsia" w:ascii="仿宋" w:hAnsi="仿宋" w:eastAsia="仿宋" w:cs="仿宋"/>
          <w:b/>
          <w:color w:val="auto"/>
          <w:kern w:val="0"/>
          <w:sz w:val="28"/>
          <w:szCs w:val="28"/>
          <w:highlight w:val="none"/>
          <w:lang w:val="en-US" w:eastAsia="zh-CN" w:bidi="ar"/>
        </w:rPr>
      </w:pPr>
    </w:p>
    <w:p>
      <w:pPr>
        <w:keepNext w:val="0"/>
        <w:keepLines w:val="0"/>
        <w:widowControl/>
        <w:suppressLineNumbers w:val="0"/>
        <w:jc w:val="center"/>
        <w:rPr>
          <w:rFonts w:hint="eastAsia" w:ascii="仿宋" w:hAnsi="仿宋" w:eastAsia="仿宋" w:cs="仿宋"/>
          <w:b/>
          <w:color w:val="auto"/>
          <w:kern w:val="0"/>
          <w:sz w:val="28"/>
          <w:szCs w:val="28"/>
          <w:highlight w:val="none"/>
          <w:lang w:val="en-US" w:eastAsia="zh-CN" w:bidi="ar"/>
        </w:rPr>
      </w:pPr>
    </w:p>
    <w:p>
      <w:pPr>
        <w:keepNext w:val="0"/>
        <w:keepLines w:val="0"/>
        <w:widowControl/>
        <w:suppressLineNumbers w:val="0"/>
        <w:jc w:val="center"/>
        <w:rPr>
          <w:rFonts w:hint="eastAsia" w:ascii="仿宋" w:hAnsi="仿宋" w:eastAsia="仿宋" w:cs="仿宋"/>
          <w:b/>
          <w:color w:val="auto"/>
          <w:kern w:val="0"/>
          <w:sz w:val="28"/>
          <w:szCs w:val="28"/>
          <w:highlight w:val="none"/>
          <w:lang w:val="en-US" w:eastAsia="zh-CN" w:bidi="ar"/>
        </w:rPr>
      </w:pPr>
    </w:p>
    <w:p>
      <w:pPr>
        <w:keepNext w:val="0"/>
        <w:keepLines w:val="0"/>
        <w:widowControl/>
        <w:suppressLineNumbers w:val="0"/>
        <w:jc w:val="both"/>
        <w:rPr>
          <w:rFonts w:hint="default" w:ascii="仿宋" w:hAnsi="仿宋" w:eastAsia="仿宋" w:cs="仿宋"/>
          <w:b/>
          <w:color w:val="auto"/>
          <w:kern w:val="0"/>
          <w:sz w:val="28"/>
          <w:szCs w:val="28"/>
          <w:highlight w:val="none"/>
          <w:lang w:val="en-US" w:eastAsia="zh-CN" w:bidi="ar"/>
        </w:rPr>
      </w:pPr>
    </w:p>
    <w:p>
      <w:pPr>
        <w:pStyle w:val="2"/>
        <w:bidi w:val="0"/>
        <w:jc w:val="center"/>
        <w:rPr>
          <w:color w:val="auto"/>
          <w:highlight w:val="none"/>
        </w:rPr>
      </w:pPr>
      <w:bookmarkStart w:id="17" w:name="_Toc25463"/>
      <w:r>
        <w:rPr>
          <w:rFonts w:hint="eastAsia"/>
          <w:color w:val="auto"/>
          <w:highlight w:val="none"/>
          <w:lang w:val="en-US" w:eastAsia="zh-CN"/>
        </w:rPr>
        <w:t>第四章 风险识别</w:t>
      </w:r>
      <w:bookmarkEnd w:id="17"/>
    </w:p>
    <w:p>
      <w:pPr>
        <w:keepNext w:val="0"/>
        <w:keepLines w:val="0"/>
        <w:widowControl/>
        <w:suppressLineNumbers w:val="0"/>
        <w:jc w:val="left"/>
        <w:outlineLvl w:val="1"/>
        <w:rPr>
          <w:color w:val="auto"/>
          <w:sz w:val="20"/>
          <w:szCs w:val="22"/>
          <w:highlight w:val="none"/>
        </w:rPr>
      </w:pPr>
      <w:bookmarkStart w:id="18" w:name="_Toc9630"/>
      <w:r>
        <w:rPr>
          <w:rFonts w:hint="eastAsia" w:ascii="仿宋" w:hAnsi="仿宋" w:eastAsia="仿宋" w:cs="仿宋"/>
          <w:b/>
          <w:color w:val="auto"/>
          <w:kern w:val="0"/>
          <w:sz w:val="28"/>
          <w:szCs w:val="28"/>
          <w:highlight w:val="none"/>
          <w:lang w:val="en-US" w:eastAsia="zh-CN" w:bidi="ar"/>
        </w:rPr>
        <w:t>4.1 风险识别的方法</w:t>
      </w:r>
      <w:bookmarkEnd w:id="18"/>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风险因素的识别一般可选用对照表法、专家座谈会法、走访调查法、实际观察法、案例参照法、风险因素对照表等方法。结合本项目的特点，我们主要采取了文献调查法、现场勘查法、基层走访法、案例参照法、风险因素对照表法进行风险因素的识别。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（1）文献调查法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通过对项目已经取得的相关资料进行审查，了解项目的实施是否合法；同时，通过对新闻媒体的相关报告进行调查，也可以从中发现更多项目的信息，为风险预测和化解措施的提出提供更多的理论依据。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（2）基层走访法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根据前期基层组织的走访调查，可以了解到更多有关居民的意见和态度，从中发现可能存在的问题，为风险预测提供更多的现实依据。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（3）现场勘查法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通过对项目现场的走访，对本项目的地理位置和现状有直观了解；通过入户调查能够真实听取居民意见，发现居民反映强烈的问题，为风险预测提供直接依据。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（4）案例参照法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通过对比其他类似项目，可以从中发现项目之间的共同点及其可能引发风险的因素，进而对本项目进行总结和反思，寻找规避风险的方法。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（5）风险因素对照表法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评估人员根据本项目的实际情况，主要选用风险因素对照表法，对本项目的风险因素进行识别，风险因素识别过程见表 4-1：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548"/>
        <w:gridCol w:w="945"/>
        <w:gridCol w:w="2849"/>
        <w:gridCol w:w="1143"/>
        <w:gridCol w:w="3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tblHeader/>
          <w:jc w:val="center"/>
        </w:trPr>
        <w:tc>
          <w:tcPr>
            <w:tcW w:w="448" w:type="dxa"/>
            <w:shd w:val="clear" w:color="auto" w:fill="CFCECE" w:themeFill="background2" w:themeFillShade="E5"/>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类型</w:t>
            </w:r>
          </w:p>
        </w:tc>
        <w:tc>
          <w:tcPr>
            <w:tcW w:w="548" w:type="dxa"/>
            <w:shd w:val="clear" w:color="auto" w:fill="CFCECE" w:themeFill="background2" w:themeFillShade="E5"/>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序号</w:t>
            </w:r>
          </w:p>
        </w:tc>
        <w:tc>
          <w:tcPr>
            <w:tcW w:w="945" w:type="dxa"/>
            <w:shd w:val="clear" w:color="auto" w:fill="CFCECE" w:themeFill="background2" w:themeFillShade="E5"/>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风险因素</w:t>
            </w:r>
          </w:p>
        </w:tc>
        <w:tc>
          <w:tcPr>
            <w:tcW w:w="2849" w:type="dxa"/>
            <w:shd w:val="clear" w:color="auto" w:fill="CFCECE" w:themeFill="background2" w:themeFillShade="E5"/>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评价指标</w:t>
            </w:r>
          </w:p>
        </w:tc>
        <w:tc>
          <w:tcPr>
            <w:tcW w:w="1143" w:type="dxa"/>
            <w:shd w:val="clear" w:color="auto" w:fill="CFCECE" w:themeFill="background2" w:themeFillShade="E5"/>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是否为该项目特性风险因素</w:t>
            </w:r>
          </w:p>
        </w:tc>
        <w:tc>
          <w:tcPr>
            <w:tcW w:w="3344" w:type="dxa"/>
            <w:shd w:val="clear" w:color="auto" w:fill="CFCECE" w:themeFill="background2" w:themeFillShade="E5"/>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448"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政策规划和审批程序</w:t>
            </w: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立项、审批程序</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项目立项、审批的合法合规性</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000000"/>
                <w:kern w:val="0"/>
                <w:sz w:val="24"/>
                <w:szCs w:val="24"/>
                <w:highlight w:val="none"/>
                <w:vertAlign w:val="baseline"/>
                <w:lang w:val="en-US" w:eastAsia="zh-CN" w:bidi="ar"/>
              </w:rPr>
              <w:t>本项目为老旧小区改造项目，已经在山东省投资项目在线审批监管平台进行了工程建设项目备案，</w:t>
            </w:r>
            <w:r>
              <w:rPr>
                <w:rFonts w:hint="eastAsia" w:ascii="仿宋" w:hAnsi="仿宋" w:eastAsia="仿宋" w:cs="仿宋"/>
                <w:color w:val="auto"/>
                <w:kern w:val="0"/>
                <w:sz w:val="24"/>
                <w:szCs w:val="24"/>
                <w:highlight w:val="none"/>
                <w:vertAlign w:val="baseline"/>
                <w:lang w:val="en-US" w:eastAsia="zh-CN" w:bidi="ar"/>
              </w:rPr>
              <w:t>相关部门审批基本完成，基本不存在审批的风险。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产业政策、发展规划</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项目满足产业政策、总体规划、专项规划之间的关系等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本项目符合产业政策。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规划</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选址</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项目与地区发展规划的符合性、与地块性质的符合性。周边敏感目标与项目的位置关系与距离等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项目规划选址符合地区发展规划等相关规划。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规划</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设计</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参数</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容积率、绿地率、建筑限高、建筑退界、与相邻建筑形态及功能上的协调性等。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规划设计标准与参数按照相关规范要求落实，技术成熟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立项过程中公众参与</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规划、环评过程中，进行了公示及诉求负面反馈意见等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按照相关要求，环境影响评</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价、社会稳定风险评估进行广泛公众参与。项目建设相关信息进行一定的宣传，符合相关规定要求。绝大多数公众较为理解项目建设的重要意义，表示支持本项目的建设。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jc w:val="center"/>
        </w:trPr>
        <w:tc>
          <w:tcPr>
            <w:tcW w:w="448"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征地拆迁</w:t>
            </w: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6</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土地征收征用范围</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项目建设用地符合因地制宜、节约利用土地资源的总体要求，土地房屋征收范围满足工程用地需求，且满足当地土地利用规划等</w:t>
            </w:r>
          </w:p>
        </w:tc>
        <w:tc>
          <w:tcPr>
            <w:tcW w:w="114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项目建设用地符合因地制宜、节约利用土地资源的总体要求，土地征收范围满足工程用地需求。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7</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拆除</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过程</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文明拆除方案的制定和拆除过程的监管，拆除单位既往表现和产生的影响</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本项目为老旧小区输配电改造项目，无待拆迁建筑，不涉及拆除。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8</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特殊土地和建筑物的征收征用</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涉及军事用地等征收征用是否与相关政策的衔接等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本项目不涉及自然保护区、重要风景名胜区、军事设施、水源保护区等环境敏感点，不涉及文物保护。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9</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管线搬迁及绿化迁移方案的合理性</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本项目为老旧小区输配电改造项目，建设范围内部涉及管线管网拆改，。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jc w:val="center"/>
        </w:trPr>
        <w:tc>
          <w:tcPr>
            <w:tcW w:w="448"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技术经济</w:t>
            </w: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10</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en-US" w:bidi="ar"/>
              </w:rPr>
            </w:pPr>
            <w:r>
              <w:rPr>
                <w:rFonts w:hint="eastAsia" w:ascii="仿宋" w:hAnsi="仿宋" w:eastAsia="仿宋" w:cs="仿宋"/>
                <w:color w:val="auto"/>
                <w:kern w:val="0"/>
                <w:sz w:val="24"/>
                <w:szCs w:val="24"/>
                <w:highlight w:val="none"/>
                <w:vertAlign w:val="baseline"/>
                <w:lang w:val="en-US" w:eastAsia="en-US" w:bidi="ar"/>
              </w:rPr>
              <w:t>工程</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方案</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此风险因素一般将伴随工程安全、环境影响方面的风险因素同时发生，可依具体项目展</w:t>
            </w:r>
            <w:r>
              <w:rPr>
                <w:rFonts w:hint="eastAsia" w:ascii="仿宋" w:hAnsi="仿宋" w:eastAsia="仿宋" w:cs="仿宋"/>
                <w:color w:val="auto"/>
                <w:kern w:val="0"/>
                <w:sz w:val="24"/>
                <w:szCs w:val="24"/>
                <w:highlight w:val="none"/>
                <w:vertAlign w:val="baseline"/>
                <w:lang w:val="en-US" w:eastAsia="en-US" w:bidi="ar"/>
              </w:rPr>
              <w:t>开分析（如易燃易爆项目应考虑安全距离内外可能造成破坏影响；在技术方案中执行安全、环保标准低，与群众的接受能力不一致；等等）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工程方案制定是按照相关规定、标准规划与设计，充分考虑环保治理措施。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11</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塌陷区和地震等地质灾害</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项目选址应具有适宜的地质、地形条件，应避开塌陷区和地震断裂地带等不良地质构造</w:t>
            </w:r>
          </w:p>
        </w:tc>
        <w:tc>
          <w:tcPr>
            <w:tcW w:w="114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 xml:space="preserve">否 </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本项目选址符合建设条件。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12</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资金筹措和保障</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资金筹措方案的可行性，资金筹措和保障措施是否充分</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本项目建设资金已落实，不存在资金筹措风险。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448"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生态环境影响</w:t>
            </w: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13</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大气污染物排放</w:t>
            </w:r>
          </w:p>
        </w:tc>
        <w:tc>
          <w:tcPr>
            <w:tcW w:w="2849"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厂界内、沿线、物料运输过程中各污染物排放与环保排放标准限值之间的关系，与人体生理指标的关系，与人群感受之间的关系等，包括施工期、运行期两个阶段</w:t>
            </w:r>
          </w:p>
        </w:tc>
        <w:tc>
          <w:tcPr>
            <w:tcW w:w="114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本项目大气污染在施工期间产生的一定的粉尘，会对空气质量产生不利影响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14</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水体污染物排放</w:t>
            </w:r>
          </w:p>
        </w:tc>
        <w:tc>
          <w:tcPr>
            <w:tcW w:w="2849"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14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施工期间排放的生活废水，会对项目附近水环境产生污染。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15</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噪声和震动影响</w:t>
            </w:r>
          </w:p>
        </w:tc>
        <w:tc>
          <w:tcPr>
            <w:tcW w:w="2849"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14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本项目生产作业场所噪声危害主要来自于施工期间的机械噪声产生噪声。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16</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土壤</w:t>
            </w:r>
          </w:p>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污染</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重金属及有毒有害有机化合物的富集和迁移等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本项目施工不涉及重金属和有毒有害有机化合物，不会造成土壤污染；项目实施后运营期也不会造成土壤污染。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17</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固体废弃物及其二次污染</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施工期和运营期固体废弃物能否纳入环卫收运体系、保证日产日清；建筑垃圾、大件垃圾、工程渣土、有毒有害固体废弃物能否做到有资质收运单位规范处置等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施工中固体废弃物主要包括施工垃圾和生活垃圾，施工中固体废弃物主要包括施工垃圾和生活垃圾。如果处置不当，可能会环境造成影响；运营期不产生固体废弃物。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448" w:type="dxa"/>
            <w:vMerge w:val="continue"/>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18</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日照采光影响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与规划限值之间关系，日照减少率，日照减少绝对量</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本项目不会对周边公众形成日照、采光影响。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448"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19</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公共开放活动空间、绿地水系、生态环境景观</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公共活动空间、公共绿地质和量的变化、水系、生态变化，社区景观变化</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本项目的实施不会引起地形、地貌及植被扰动变化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20</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水土</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流失</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地形、植被、土壤结构可能发生局部变化，项目需要编制水土保持方案告使设计水平年末项目区的扰动土地整治率、水土流失总治理度、土壤流失控制比、拦渣率、林草植被恢复系数、林草覆盖度等达到水土流失防治标的要求</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cs="仿宋" w:eastAsiaTheme="minorEastAsia"/>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施工期间，道路修筑、施工机械碾压及基础开挖等活动，将损坏原有地表植被，重塑地形地貌，形成裸露地表</w:t>
            </w:r>
            <w:r>
              <w:rPr>
                <w:rFonts w:hint="eastAsia" w:ascii="仿宋" w:hAnsi="仿宋" w:eastAsia="仿宋" w:cs="仿宋"/>
                <w:color w:val="auto"/>
                <w:kern w:val="0"/>
                <w:sz w:val="24"/>
                <w:szCs w:val="24"/>
                <w:highlight w:val="none"/>
                <w:vertAlign w:val="baseline"/>
                <w:lang w:val="en-US" w:eastAsia="zh-CN" w:bidi="ar"/>
              </w:rPr>
              <w:t>，</w:t>
            </w:r>
            <w:r>
              <w:rPr>
                <w:rFonts w:hint="eastAsia" w:ascii="仿宋" w:hAnsi="仿宋" w:eastAsia="仿宋" w:cs="仿宋"/>
                <w:color w:val="auto"/>
                <w:kern w:val="0"/>
                <w:sz w:val="24"/>
                <w:szCs w:val="24"/>
                <w:highlight w:val="none"/>
                <w:vertAlign w:val="baseline"/>
                <w:lang w:val="en-US" w:eastAsia="en-US" w:bidi="ar"/>
              </w:rPr>
              <w:t>实施中严格执行水保</w:t>
            </w:r>
            <w:r>
              <w:rPr>
                <w:rFonts w:hint="eastAsia" w:ascii="仿宋" w:hAnsi="仿宋" w:eastAsia="仿宋" w:cs="仿宋"/>
                <w:color w:val="auto"/>
                <w:kern w:val="0"/>
                <w:sz w:val="24"/>
                <w:szCs w:val="24"/>
                <w:highlight w:val="none"/>
                <w:vertAlign w:val="baseline"/>
                <w:lang w:val="en-US" w:eastAsia="zh-CN" w:bidi="ar"/>
              </w:rPr>
              <w:t>原则</w:t>
            </w:r>
            <w:r>
              <w:rPr>
                <w:rFonts w:hint="eastAsia" w:ascii="仿宋" w:hAnsi="仿宋" w:eastAsia="仿宋" w:cs="仿宋"/>
                <w:color w:val="auto"/>
                <w:kern w:val="0"/>
                <w:sz w:val="24"/>
                <w:szCs w:val="24"/>
                <w:highlight w:val="none"/>
                <w:vertAlign w:val="baseline"/>
                <w:lang w:val="en-US" w:eastAsia="en-US" w:bidi="ar"/>
              </w:rPr>
              <w:t>，可有效降低</w:t>
            </w:r>
            <w:r>
              <w:rPr>
                <w:rFonts w:hint="eastAsia" w:ascii="仿宋" w:hAnsi="仿宋" w:eastAsia="仿宋" w:cs="仿宋"/>
                <w:color w:val="auto"/>
                <w:kern w:val="0"/>
                <w:sz w:val="24"/>
                <w:szCs w:val="24"/>
                <w:highlight w:val="none"/>
                <w:vertAlign w:val="baseline"/>
                <w:lang w:val="en-US" w:eastAsia="zh-CN" w:bidi="ar"/>
              </w:rPr>
              <w:t>水土流失</w:t>
            </w:r>
            <w:r>
              <w:rPr>
                <w:rFonts w:hint="eastAsia" w:ascii="仿宋" w:hAnsi="仿宋" w:eastAsia="仿宋" w:cs="仿宋"/>
                <w:color w:val="auto"/>
                <w:kern w:val="0"/>
                <w:sz w:val="24"/>
                <w:szCs w:val="24"/>
                <w:highlight w:val="none"/>
                <w:vertAlign w:val="baseline"/>
                <w:lang w:val="en-US" w:eastAsia="en-US" w:bidi="ar"/>
              </w:rPr>
              <w:t>风</w:t>
            </w:r>
            <w:r>
              <w:rPr>
                <w:rFonts w:hint="eastAsia" w:ascii="仿宋" w:hAnsi="仿宋" w:eastAsia="仿宋" w:cs="仿宋"/>
                <w:color w:val="auto"/>
                <w:kern w:val="0"/>
                <w:sz w:val="24"/>
                <w:szCs w:val="24"/>
                <w:highlight w:val="none"/>
                <w:vertAlign w:val="baseline"/>
                <w:lang w:val="en-US" w:eastAsia="zh-CN" w:bidi="ar"/>
              </w:rPr>
              <w:t>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448"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21</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破坏文物、古墓</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1"/>
                <w:szCs w:val="21"/>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采取有效措施对文物、古墓进行保护及抢救性发掘</w:t>
            </w:r>
          </w:p>
        </w:tc>
        <w:tc>
          <w:tcPr>
            <w:tcW w:w="114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不涉及自然保护区、重要风景名胜区、军事设施等环境敏感点，不涉及文物保护和基本农田保护区。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448"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项目管理</w:t>
            </w: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22</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项目“五制”建设</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法人负责制、资本金制、招投标制、监理制和合同管理制等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en-US" w:bidi="ar"/>
              </w:rPr>
            </w:pPr>
            <w:r>
              <w:rPr>
                <w:rFonts w:hint="eastAsia" w:ascii="仿宋" w:hAnsi="仿宋" w:eastAsia="仿宋" w:cs="仿宋"/>
                <w:color w:val="auto"/>
                <w:kern w:val="0"/>
                <w:sz w:val="24"/>
                <w:szCs w:val="24"/>
                <w:highlight w:val="none"/>
                <w:vertAlign w:val="baseline"/>
                <w:lang w:val="en-US" w:eastAsia="en-US" w:bidi="ar"/>
              </w:rPr>
              <w:t>本项目严格按照“五制”建设，执行法人负责、资本金制、招</w:t>
            </w:r>
          </w:p>
          <w:p>
            <w:pPr>
              <w:keepNext w:val="0"/>
              <w:keepLines w:val="0"/>
              <w:widowControl/>
              <w:suppressLineNumbers w:val="0"/>
              <w:jc w:val="center"/>
              <w:rPr>
                <w:rFonts w:hint="eastAsia" w:ascii="仿宋" w:hAnsi="仿宋" w:cs="仿宋" w:eastAsiaTheme="minorEastAsia"/>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投标制、监理制和合同管理</w:t>
            </w:r>
            <w:r>
              <w:rPr>
                <w:rFonts w:hint="eastAsia" w:ascii="仿宋" w:hAnsi="仿宋" w:eastAsia="仿宋" w:cs="仿宋"/>
                <w:color w:val="auto"/>
                <w:kern w:val="0"/>
                <w:sz w:val="24"/>
                <w:szCs w:val="24"/>
                <w:highlight w:val="none"/>
                <w:vertAlign w:val="baseline"/>
                <w:lang w:val="en-US" w:eastAsia="zh-CN" w:bidi="ar"/>
              </w:rPr>
              <w:t>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23</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项目单位六项管理制度</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审批或核准管理、设计管理、概预算管理、施工管理、合同管理、劳务管理等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本项目严格按照六项管理制度进行规范管理。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24</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方案</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施工措施与相邻项目建设时序的衔接，实施过程考虑与敏感时点（如两会、高考等）的关系，施工周期安排避免干扰周边居民生活等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施工方案和周期安排对周边居民影响较小。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25</w:t>
            </w:r>
          </w:p>
        </w:tc>
        <w:tc>
          <w:tcPr>
            <w:tcW w:w="945" w:type="dxa"/>
            <w:shd w:val="clear" w:color="auto" w:fill="auto"/>
            <w:vAlign w:val="center"/>
          </w:tcPr>
          <w:p>
            <w:pPr>
              <w:keepNext w:val="0"/>
              <w:keepLines w:val="0"/>
              <w:widowControl/>
              <w:suppressLineNumbers w:val="0"/>
              <w:jc w:val="center"/>
              <w:rPr>
                <w:rFonts w:hint="eastAsia" w:ascii="仿宋" w:hAnsi="仿宋" w:eastAsia="仿宋" w:cs="仿宋"/>
                <w:color w:val="auto"/>
                <w:kern w:val="0"/>
                <w:sz w:val="21"/>
                <w:szCs w:val="21"/>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文明施工和质量管理</w:t>
            </w:r>
          </w:p>
        </w:tc>
        <w:tc>
          <w:tcPr>
            <w:tcW w:w="2849" w:type="dxa"/>
            <w:shd w:val="clear" w:color="auto" w:fill="auto"/>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en-US" w:bidi="ar"/>
              </w:rPr>
            </w:pPr>
            <w:r>
              <w:rPr>
                <w:rFonts w:hint="eastAsia" w:ascii="仿宋" w:hAnsi="仿宋" w:eastAsia="仿宋" w:cs="仿宋"/>
                <w:color w:val="auto"/>
                <w:kern w:val="0"/>
                <w:sz w:val="24"/>
                <w:szCs w:val="24"/>
                <w:highlight w:val="none"/>
                <w:vertAlign w:val="baseline"/>
                <w:lang w:val="en-US" w:eastAsia="en-US" w:bidi="ar"/>
              </w:rPr>
              <w:t>违反文明施工和质量管理的相关规定，造成环境污染，停水、停电、停气，影响交通灯突发情况等</w:t>
            </w:r>
          </w:p>
        </w:tc>
        <w:tc>
          <w:tcPr>
            <w:tcW w:w="1143" w:type="dxa"/>
            <w:shd w:val="clear" w:color="auto" w:fill="auto"/>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shd w:val="clear" w:color="auto" w:fill="auto"/>
            <w:vAlign w:val="center"/>
          </w:tcPr>
          <w:p>
            <w:pPr>
              <w:spacing w:line="240" w:lineRule="exact"/>
              <w:rPr>
                <w:rFonts w:hint="eastAsia" w:ascii="仿宋" w:hAnsi="仿宋" w:eastAsia="仿宋" w:cs="仿宋"/>
                <w:color w:val="auto"/>
                <w:kern w:val="0"/>
                <w:sz w:val="24"/>
                <w:szCs w:val="24"/>
                <w:highlight w:val="none"/>
                <w:vertAlign w:val="baseline"/>
                <w:lang w:val="en-US" w:eastAsia="en-US" w:bidi="ar"/>
              </w:rPr>
            </w:pPr>
            <w:r>
              <w:rPr>
                <w:rFonts w:hint="eastAsia" w:ascii="仿宋" w:hAnsi="仿宋" w:eastAsia="仿宋" w:cs="仿宋"/>
                <w:color w:val="auto"/>
                <w:kern w:val="0"/>
                <w:sz w:val="24"/>
                <w:szCs w:val="24"/>
                <w:highlight w:val="none"/>
                <w:vertAlign w:val="baseline"/>
                <w:lang w:val="en-US" w:eastAsia="zh-CN" w:bidi="ar"/>
              </w:rPr>
              <w:t>施工</w:t>
            </w:r>
            <w:r>
              <w:rPr>
                <w:rFonts w:hint="eastAsia" w:ascii="仿宋" w:hAnsi="仿宋" w:eastAsia="仿宋" w:cs="仿宋"/>
                <w:color w:val="auto"/>
                <w:kern w:val="0"/>
                <w:sz w:val="24"/>
                <w:szCs w:val="24"/>
                <w:highlight w:val="none"/>
                <w:vertAlign w:val="baseline"/>
                <w:lang w:val="en-US" w:eastAsia="en-US" w:bidi="ar"/>
              </w:rPr>
              <w:t>中管理及维护不到位，可能造成运营风险。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26</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1"/>
                <w:szCs w:val="21"/>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工程款拖欠和</w:t>
            </w:r>
            <w:r>
              <w:rPr>
                <w:rFonts w:hint="eastAsia" w:ascii="仿宋" w:hAnsi="仿宋" w:eastAsia="仿宋" w:cs="仿宋"/>
                <w:color w:val="auto"/>
                <w:kern w:val="0"/>
                <w:sz w:val="21"/>
                <w:szCs w:val="21"/>
                <w:highlight w:val="none"/>
                <w:vertAlign w:val="baseline"/>
                <w:lang w:val="en-US" w:eastAsia="zh-CN" w:bidi="ar"/>
              </w:rPr>
              <w:t>农民工工资支付</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工程款或农民工工资拖欠引发集体讨薪事件或者是群体上访事件。</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spacing w:line="240" w:lineRule="exact"/>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项目实施过程中工程款和农民工工资支付面临着信用不良风险、工程款超付风险、工程停工风险、专用账户被查封风险和农民工恶意闹事风险。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448"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经济社会影响</w:t>
            </w:r>
          </w:p>
        </w:tc>
        <w:tc>
          <w:tcPr>
            <w:tcW w:w="548" w:type="dxa"/>
            <w:shd w:val="clear" w:color="auto" w:fill="FFFFFF" w:themeFill="background1"/>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27</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社会稳定风险管理体系</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项目单位和当地政府就进行充分沟通，对社会稳定风险有充分认识并做到各司其职，建立社会稳定风险管理责任和联动机制，制定相应的应急处理预案等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项目单位和当地政府就本项目进行了充分的沟通，本工程建设期间建立社会稳定风险管理体系。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448" w:type="dxa"/>
            <w:vMerge w:val="continue"/>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FFFFFF" w:themeFill="background1"/>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28</w:t>
            </w:r>
          </w:p>
        </w:tc>
        <w:tc>
          <w:tcPr>
            <w:tcW w:w="945"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文化、</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生活习惯</w:t>
            </w:r>
          </w:p>
        </w:tc>
        <w:tc>
          <w:tcPr>
            <w:tcW w:w="2849"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地方传统文化、邻里关系、生活习惯、社区品质等方面的改变，可能引起群众的不适</w:t>
            </w:r>
          </w:p>
        </w:tc>
        <w:tc>
          <w:tcPr>
            <w:tcW w:w="1143"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本项目不会对地方传统文化、生活习惯产生影响。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448" w:type="dxa"/>
            <w:vMerge w:val="continue"/>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29</w:t>
            </w:r>
          </w:p>
        </w:tc>
        <w:tc>
          <w:tcPr>
            <w:tcW w:w="945"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宗教、</w:t>
            </w:r>
          </w:p>
          <w:p>
            <w:pPr>
              <w:keepNext w:val="0"/>
              <w:keepLines w:val="0"/>
              <w:widowControl/>
              <w:suppressLineNumbers w:val="0"/>
              <w:jc w:val="both"/>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习俗</w:t>
            </w:r>
          </w:p>
        </w:tc>
        <w:tc>
          <w:tcPr>
            <w:tcW w:w="2849"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对项目所在地群众的宗教信仰和风俗习惯影响。</w:t>
            </w:r>
          </w:p>
        </w:tc>
        <w:tc>
          <w:tcPr>
            <w:tcW w:w="1143"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shd w:val="clear" w:color="auto" w:fill="FFFFFF" w:themeFill="background1"/>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本项目对本地群众的宗教信仰和风俗习惯无影响。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48"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经济社会影响</w:t>
            </w: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30</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对周边土地、房屋价值影响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土地价值变化量和变化率、房屋价值变化量和变化率等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本项目的建设会对周边土地价值和房产价值影响很小。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31</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就业</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项目建设、运行对周边居民总体就业率影响和特定人群就业率影响等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本项目建设运行对周边居民就业影响较大，可提供大量的就业机会。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32</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群众收入影响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项目建设、运行引起当地群众收入水平变化量和变化率，以及收入不均匀程度变化等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本项目对群众收入影响很小。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33</w:t>
            </w:r>
          </w:p>
        </w:tc>
        <w:tc>
          <w:tcPr>
            <w:tcW w:w="945" w:type="dxa"/>
            <w:vAlign w:val="center"/>
          </w:tcPr>
          <w:p>
            <w:pPr>
              <w:spacing w:line="240" w:lineRule="exact"/>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en-US" w:bidi="ar"/>
              </w:rPr>
              <w:t>相关生活成本</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项目建设、运行引起周围基本生活成本（粮食、蔬菜、肉类等）的影响。</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本项目对相关生活成本影响很小。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34</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对公共配套设</w:t>
            </w:r>
          </w:p>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施的影响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对教育、医疗、体育、文化、便民服务、公厕等配套设施建设、运行影响。</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本项目位于经济开发区，对公共配套设施的影响很小。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35</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流动人口管理</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施工期和运行期加强对流动人口管理</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通过加强管理，流动人口的增多对周边居民影响较小。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36</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商业经营影响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施工期、运行期对当地商业经营状况有促进改善作用</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否</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本项目建设对商业经营影响</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3"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shd w:val="clear" w:color="auto" w:fill="auto"/>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37</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对周边交通影响</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施工期，重长件设备运输方案对周边人群交通出行有一定影响。在运营期项目对周边交通不产生影响</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本项目施工期，施工车辆较多，可能存在交通拥堵或发生交通事故，或由于超出道路承载能力而造成的道路损坏，造成周边利益相关者的交通不便。</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448"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安全卫生</w:t>
            </w: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38</w:t>
            </w:r>
          </w:p>
        </w:tc>
        <w:tc>
          <w:tcPr>
            <w:tcW w:w="945"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施工安全、卫生与职业健康</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土方车和其它运输车辆的管理，施工和运行存在的危险、有害因素及安全管理制度，卫生与职业健康管理，应急处理机制等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在施工过程中，可能引发火灾、爆炸、电气伤害、机械伤害、物体打击伤害、起重伤害、车辆伤害、电缆绞断、自然灾害等。出现施工安全事故，如果处理不当可能引起事故当事人或家属的不满。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448"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548"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39</w:t>
            </w:r>
          </w:p>
        </w:tc>
        <w:tc>
          <w:tcPr>
            <w:tcW w:w="94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社会治安和公</w:t>
            </w:r>
          </w:p>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共安全</w:t>
            </w:r>
          </w:p>
        </w:tc>
        <w:tc>
          <w:tcPr>
            <w:tcW w:w="2849"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施工队伍规模、管理模式，运行期项目使用人分析（使用人来源、数量、流动性、文化素质、年龄分布等）</w:t>
            </w:r>
          </w:p>
        </w:tc>
        <w:tc>
          <w:tcPr>
            <w:tcW w:w="114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是</w:t>
            </w:r>
          </w:p>
        </w:tc>
        <w:tc>
          <w:tcPr>
            <w:tcW w:w="3344"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选择不正规的施工队伍或者管理不规范可能会发生治安和公共安全事件。</w:t>
            </w:r>
          </w:p>
        </w:tc>
      </w:tr>
    </w:tbl>
    <w:p>
      <w:pPr>
        <w:keepNext w:val="0"/>
        <w:keepLines w:val="0"/>
        <w:widowControl/>
        <w:suppressLineNumbers w:val="0"/>
        <w:ind w:firstLine="560" w:firstLineChars="200"/>
        <w:jc w:val="center"/>
        <w:rPr>
          <w:rFonts w:hint="eastAsia" w:ascii="黑体" w:hAnsi="宋体" w:eastAsia="黑体" w:cs="黑体"/>
          <w:b/>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表 4-1 风险识别表</w:t>
      </w:r>
    </w:p>
    <w:p>
      <w:pPr>
        <w:keepNext w:val="0"/>
        <w:keepLines w:val="0"/>
        <w:widowControl/>
        <w:suppressLineNumbers w:val="0"/>
        <w:jc w:val="left"/>
        <w:outlineLvl w:val="1"/>
        <w:rPr>
          <w:color w:val="auto"/>
          <w:sz w:val="20"/>
          <w:szCs w:val="22"/>
          <w:highlight w:val="none"/>
        </w:rPr>
      </w:pPr>
      <w:bookmarkStart w:id="19" w:name="_Toc30568"/>
      <w:r>
        <w:rPr>
          <w:rFonts w:hint="eastAsia" w:ascii="仿宋" w:hAnsi="仿宋" w:eastAsia="仿宋" w:cs="仿宋"/>
          <w:b/>
          <w:color w:val="auto"/>
          <w:kern w:val="0"/>
          <w:sz w:val="28"/>
          <w:szCs w:val="28"/>
          <w:highlight w:val="none"/>
          <w:lang w:val="en-US" w:eastAsia="zh-CN" w:bidi="ar"/>
        </w:rPr>
        <w:t>4.2 风险因素识别</w:t>
      </w:r>
      <w:bookmarkEnd w:id="19"/>
      <w:r>
        <w:rPr>
          <w:rFonts w:hint="eastAsia" w:ascii="仿宋" w:hAnsi="仿宋" w:eastAsia="仿宋" w:cs="仿宋"/>
          <w:b/>
          <w:color w:val="auto"/>
          <w:kern w:val="0"/>
          <w:sz w:val="28"/>
          <w:szCs w:val="28"/>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本报告采用风险因素对照表法，根据项目性质、建设地点、建设内容等实际情况，对照风险因素对照表，从政策规划和审批程序、征地拆迁、技术经济、生态环境影响、项目管理、经济社会影响和质量安全和社会治安7个方面 39项风险因素中，初步识别出了本项目的主要风险因素，详见项目主要风险因素识别汇总表4-2。 </w:t>
      </w:r>
    </w:p>
    <w:tbl>
      <w:tblPr>
        <w:tblStyle w:val="13"/>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2910"/>
        <w:gridCol w:w="1090"/>
        <w:gridCol w:w="1252"/>
        <w:gridCol w:w="3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8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序号</w:t>
            </w:r>
          </w:p>
        </w:tc>
        <w:tc>
          <w:tcPr>
            <w:tcW w:w="291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风险类型</w:t>
            </w:r>
          </w:p>
        </w:tc>
        <w:tc>
          <w:tcPr>
            <w:tcW w:w="109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因素项</w:t>
            </w:r>
          </w:p>
        </w:tc>
        <w:tc>
          <w:tcPr>
            <w:tcW w:w="1252" w:type="dxa"/>
            <w:vAlign w:val="center"/>
          </w:tcPr>
          <w:p>
            <w:pPr>
              <w:keepNext w:val="0"/>
              <w:keepLines w:val="0"/>
              <w:widowControl/>
              <w:suppressLineNumbers w:val="0"/>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为该项目主要风险因素</w:t>
            </w:r>
          </w:p>
        </w:tc>
        <w:tc>
          <w:tcPr>
            <w:tcW w:w="3186"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风险因素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8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val="0"/>
                <w:bCs w:val="0"/>
                <w:color w:val="auto"/>
                <w:kern w:val="0"/>
                <w:sz w:val="24"/>
                <w:szCs w:val="24"/>
                <w:highlight w:val="none"/>
                <w:vertAlign w:val="baseline"/>
                <w:lang w:val="en-US" w:eastAsia="zh-CN" w:bidi="ar"/>
              </w:rPr>
              <w:t>1</w:t>
            </w:r>
          </w:p>
        </w:tc>
        <w:tc>
          <w:tcPr>
            <w:tcW w:w="2910" w:type="dxa"/>
            <w:vAlign w:val="center"/>
          </w:tcPr>
          <w:p>
            <w:pPr>
              <w:keepNext w:val="0"/>
              <w:keepLines w:val="0"/>
              <w:widowControl/>
              <w:suppressLineNumbers w:val="0"/>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征地拆迁</w:t>
            </w:r>
          </w:p>
        </w:tc>
        <w:tc>
          <w:tcPr>
            <w:tcW w:w="109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1252"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3186" w:type="dxa"/>
            <w:vAlign w:val="center"/>
          </w:tcPr>
          <w:p>
            <w:pPr>
              <w:keepNext w:val="0"/>
              <w:keepLines w:val="0"/>
              <w:widowControl/>
              <w:suppressLineNumbers w:val="0"/>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2910"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生态环境影响</w:t>
            </w:r>
          </w:p>
        </w:tc>
        <w:tc>
          <w:tcPr>
            <w:tcW w:w="109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1252"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大气污染物排放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252"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水体污染物排放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252"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噪声影响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252"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固体废弃物及其二次污染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w:t>
            </w:r>
          </w:p>
        </w:tc>
        <w:tc>
          <w:tcPr>
            <w:tcW w:w="2910"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项目管理</w:t>
            </w:r>
          </w:p>
        </w:tc>
        <w:tc>
          <w:tcPr>
            <w:tcW w:w="109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w:t>
            </w:r>
          </w:p>
        </w:tc>
        <w:tc>
          <w:tcPr>
            <w:tcW w:w="1252"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文明施工和质量管理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252"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工程款拖欠和</w:t>
            </w:r>
            <w:r>
              <w:rPr>
                <w:rFonts w:hint="eastAsia" w:ascii="仿宋" w:hAnsi="仿宋" w:eastAsia="仿宋" w:cs="仿宋"/>
                <w:color w:val="auto"/>
                <w:kern w:val="0"/>
                <w:sz w:val="21"/>
                <w:szCs w:val="21"/>
                <w:highlight w:val="none"/>
                <w:vertAlign w:val="baseline"/>
                <w:lang w:val="en-US" w:eastAsia="zh-CN" w:bidi="ar"/>
              </w:rPr>
              <w:t>农民工工资支付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2910"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经济社会影响</w:t>
            </w:r>
          </w:p>
        </w:tc>
        <w:tc>
          <w:tcPr>
            <w:tcW w:w="109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1252"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对周边交通影响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2910"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安全卫生</w:t>
            </w:r>
          </w:p>
        </w:tc>
        <w:tc>
          <w:tcPr>
            <w:tcW w:w="109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1252"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施工安全、卫生与职业健康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252"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社会治安和公共安全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8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p>
        </w:tc>
        <w:tc>
          <w:tcPr>
            <w:tcW w:w="291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合计</w:t>
            </w:r>
          </w:p>
        </w:tc>
        <w:tc>
          <w:tcPr>
            <w:tcW w:w="109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1252"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10</w:t>
            </w:r>
          </w:p>
        </w:tc>
        <w:tc>
          <w:tcPr>
            <w:tcW w:w="3186"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r>
    </w:tbl>
    <w:p>
      <w:pPr>
        <w:keepNext w:val="0"/>
        <w:keepLines w:val="0"/>
        <w:widowControl/>
        <w:suppressLineNumbers w:val="0"/>
        <w:ind w:firstLine="560" w:firstLineChars="20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主要风险因素识别汇总表 4-2</w:t>
      </w:r>
    </w:p>
    <w:p>
      <w:pPr>
        <w:rPr>
          <w:rFonts w:hint="eastAsia" w:ascii="黑体" w:hAnsi="宋体" w:eastAsia="黑体" w:cs="黑体"/>
          <w:b/>
          <w:color w:val="auto"/>
          <w:kern w:val="0"/>
          <w:sz w:val="28"/>
          <w:szCs w:val="28"/>
          <w:highlight w:val="none"/>
          <w:lang w:val="en-US" w:eastAsia="zh-CN" w:bidi="ar"/>
        </w:rPr>
      </w:pPr>
      <w:r>
        <w:rPr>
          <w:rFonts w:hint="eastAsia" w:ascii="黑体" w:hAnsi="宋体" w:eastAsia="黑体" w:cs="黑体"/>
          <w:b/>
          <w:color w:val="auto"/>
          <w:kern w:val="0"/>
          <w:sz w:val="28"/>
          <w:szCs w:val="28"/>
          <w:highlight w:val="none"/>
          <w:lang w:val="en-US" w:eastAsia="zh-CN" w:bidi="ar"/>
        </w:rPr>
        <w:br w:type="page"/>
      </w:r>
    </w:p>
    <w:p>
      <w:pPr>
        <w:pStyle w:val="2"/>
        <w:bidi w:val="0"/>
        <w:jc w:val="center"/>
        <w:rPr>
          <w:color w:val="auto"/>
          <w:highlight w:val="none"/>
        </w:rPr>
      </w:pPr>
      <w:bookmarkStart w:id="20" w:name="_Toc15994"/>
      <w:r>
        <w:rPr>
          <w:rFonts w:hint="eastAsia"/>
          <w:color w:val="auto"/>
          <w:highlight w:val="none"/>
          <w:lang w:val="en-US" w:eastAsia="zh-CN"/>
        </w:rPr>
        <w:t>第五章 风险估计与等级确定</w:t>
      </w:r>
      <w:bookmarkEnd w:id="20"/>
    </w:p>
    <w:p>
      <w:pPr>
        <w:keepNext w:val="0"/>
        <w:keepLines w:val="0"/>
        <w:widowControl/>
        <w:suppressLineNumbers w:val="0"/>
        <w:jc w:val="left"/>
        <w:outlineLvl w:val="1"/>
        <w:rPr>
          <w:color w:val="auto"/>
          <w:sz w:val="20"/>
          <w:szCs w:val="22"/>
          <w:highlight w:val="none"/>
        </w:rPr>
      </w:pPr>
      <w:bookmarkStart w:id="21" w:name="_Toc25695"/>
      <w:r>
        <w:rPr>
          <w:rFonts w:hint="eastAsia" w:ascii="仿宋" w:hAnsi="仿宋" w:eastAsia="仿宋" w:cs="仿宋"/>
          <w:b/>
          <w:color w:val="auto"/>
          <w:kern w:val="0"/>
          <w:sz w:val="28"/>
          <w:szCs w:val="28"/>
          <w:highlight w:val="none"/>
          <w:lang w:val="en-US" w:eastAsia="zh-CN" w:bidi="ar"/>
        </w:rPr>
        <w:t>5.1 风险估计方法</w:t>
      </w:r>
      <w:bookmarkEnd w:id="21"/>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本项目风险估计采用定性分析与定量分析相结合的方法，在定性分析中，根据项目特点，风险调查的情况及各领域专家的经验，分析引发风险的原因，根据可能引发的风险事件，判断风险发生的概率和影响程度。在定性分析的基础上逐一对风险因素进行多维度分析，估计其发生的概率和影响程度。单因素风险估计按照风险因素发生的可能性，将风险发生概率（p）划分为很高、较高、中等、较低、很低五档；按照风险发生后对项目的影响大小，将影响程度（q）划分为严重、较大、中等、较小、可忽略五档；对于风险程度分别按照标准进行赋值，并按“风险程度（R）=风险概率（p）×影响程度（q）”公式计算得出风险程度，每个单因素的风险程度可划分为重大、较大、一般、较小和微小共五个等级。对于风险概率、影响程度和风险程度采用风险概率影响矩阵（也称风险评价矩阵）进行定量的分析评判。风险概率－影响矩阵示意图如下：</w:t>
      </w:r>
    </w:p>
    <w:p>
      <w:pPr>
        <w:keepNext w:val="0"/>
        <w:keepLines w:val="0"/>
        <w:widowControl/>
        <w:suppressLineNumbers w:val="0"/>
        <w:jc w:val="center"/>
        <w:rPr>
          <w:rFonts w:hint="eastAsia" w:ascii="仿宋" w:hAnsi="仿宋" w:eastAsia="仿宋" w:cs="仿宋"/>
          <w:color w:val="auto"/>
          <w:kern w:val="0"/>
          <w:sz w:val="28"/>
          <w:szCs w:val="28"/>
          <w:highlight w:val="none"/>
          <w:lang w:val="en-US" w:eastAsia="zh-CN" w:bidi="ar"/>
        </w:rPr>
      </w:pPr>
      <w:r>
        <w:rPr>
          <w:color w:val="auto"/>
          <w:highlight w:val="none"/>
        </w:rPr>
        <w:drawing>
          <wp:inline distT="0" distB="0" distL="114300" distR="114300">
            <wp:extent cx="4908550" cy="2852420"/>
            <wp:effectExtent l="0" t="0" r="1397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a:stretch>
                      <a:fillRect/>
                    </a:stretch>
                  </pic:blipFill>
                  <pic:spPr>
                    <a:xfrm>
                      <a:off x="0" y="0"/>
                      <a:ext cx="4908550" cy="2852420"/>
                    </a:xfrm>
                    <a:prstGeom prst="rect">
                      <a:avLst/>
                    </a:prstGeom>
                    <a:noFill/>
                    <a:ln>
                      <a:noFill/>
                    </a:ln>
                  </pic:spPr>
                </pic:pic>
              </a:graphicData>
            </a:graphic>
          </wp:inline>
        </w:drawing>
      </w:r>
    </w:p>
    <w:p>
      <w:pPr>
        <w:keepNext w:val="0"/>
        <w:keepLines w:val="0"/>
        <w:widowControl/>
        <w:suppressLineNumbers w:val="0"/>
        <w:ind w:firstLine="560" w:firstLineChars="20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图 5-1 风险概率-影响矩阵示意图</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风险概率（p）：按照风险因素发生的可能性，划分为很高、较高、中等、较低、很低共五档，其发生概率分别为 81~100%、61~80%、41~60%、21~40%、0~20%。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影响程度（q）：风险发生后对项目的影响大小，划分为严重、较大、中等、较小、可忽略共五档，对应的定量断判标准分别为81~100%、61~80%、41~60%、21~40%、0~20%。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风险程度（R）：分为重大、较大、一般、较小和微小共五个等级，对应的定量判断标准分别为：R&gt;0.64、0.64≥R&gt;0.36、0.36≥R&gt;0.16、0.16≥R&gt;0.04、R≤0.04。 </w:t>
      </w:r>
    </w:p>
    <w:p>
      <w:pPr>
        <w:keepNext w:val="0"/>
        <w:keepLines w:val="0"/>
        <w:widowControl/>
        <w:suppressLineNumbers w:val="0"/>
        <w:jc w:val="left"/>
        <w:outlineLvl w:val="1"/>
        <w:rPr>
          <w:color w:val="auto"/>
          <w:sz w:val="20"/>
          <w:szCs w:val="22"/>
          <w:highlight w:val="none"/>
        </w:rPr>
      </w:pPr>
      <w:bookmarkStart w:id="22" w:name="_Toc12301"/>
      <w:r>
        <w:rPr>
          <w:rFonts w:hint="eastAsia" w:ascii="仿宋" w:hAnsi="仿宋" w:eastAsia="仿宋" w:cs="仿宋"/>
          <w:b/>
          <w:color w:val="auto"/>
          <w:kern w:val="0"/>
          <w:sz w:val="28"/>
          <w:szCs w:val="28"/>
          <w:highlight w:val="none"/>
          <w:lang w:val="en-US" w:eastAsia="zh-CN" w:bidi="ar"/>
        </w:rPr>
        <w:t>5.2 单因素风险估计</w:t>
      </w:r>
      <w:bookmarkEnd w:id="22"/>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5.2.1 单因素风险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1.管线搬迁及绿化迁移方案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施工期间，部分管道需要改变原有的走线方向，开挖原有的管道需要其破坏或迁移其上面的绿化植物，导致小区内的绿地面积减少，影响居民的休闲活动空间，也可能降低小区的整体美观度。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因此，项目管线搬迁及绿化迁移方案不合理，会给小区居民带来生活不便。在实施过程中可能会招致民众的质疑，会存在一定的风险。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该风险发生的概率较低，所以风险概率（p）取 0.45，但风险发生后对项目的影响中等，影响程度（q）取 0.5。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综上所述，该项风险一般，风险程度（R）为 0.225。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2.大气污染物排放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施工期对环境空气的影响来源主要是：</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 建设场地地表开拓、平整，临时弃土、物料的堆存，因风吹而造成的扬尘；</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 运输车辆产生的扬尘；</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（3） 施工机械、运输车辆燃油排放的废气。</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建设区域在大风时容易造成地表扬尘。施工期间，由于地表遭受不断的碾压和扰动，在有风条件下，将加重地表扬尘的产生，对场地附近的环境空气质量产生影响。在施工过程中，各种机械以及车辆燃油会产生一定量的废气，其主要成分为CO、NOX等。由于污染源较为分散，且每天排放的量相对较少，因此对区域大气环境影响较小。</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该风险发生概率较低，风险概率（p）取 0.4，风险发生后对项目的影响中等，影响程度（q）取 0.45。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综上所述，该项风险一般，风险程度（R）为 0.18。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3.水体污染物排放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期产生的废水主要为各种施工机械设备运转的冷却水及洗涤用水，这部分的废水含有一定的油污和泥沙。另外还有一部分建设期施工人员的生活污水，施工污水水量不大，但如果不经处理或处理不当，同样会危害环境。</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该风险发生的概率较低，风险概率（p）取 0.32，风险发生后对项目的影响较小，影响程度取（q）0.34。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综上所述，该项风险较小，风险程度（R）为 0.1088.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4.噪声影响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施工期：基础工程施工开挖管沟、运输车辆喇叭声、马达轰鸣等都属施工产生的噪声。</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该风险发生概率较低，风险概率（p）取 0.3，风险发生后会对周边民众生活产生影响，从而影响项目的顺利实施，对项目的影响较小，影响程度（q）取 0.25。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综上所述，该项风险较小，风险程度（R）为 0.075。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5.固废及其二次污染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施工期间产生的固体废物主要为施工场地的冲洗残渣、各类建筑材料的包装物及生活垃圾等。</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人员临时食宿地的水、电以及生活垃圾由市政部门负责处置，日产日清，对环境不利影响较轻。车辆装载建筑材料过多导致沿程泥土散落满地；车轮沾满泥土导致运输公路布满泥土；晴天尘土飞扬，雨天路面泥泞，影响空气质量。</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废弃物处置地不明确或无规划乱丢乱放，将影响土地利用、河流流畅，破坏自然、生态环境，影响城市的建设和整洁。施工废弃物的运输需要车辆，如在白天进行，必将影响本地区的交通，使路面交通变得更加拥挤。</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该风险发生概率较低，风险概率（p）取 0.3，风险发生后会对周边民众生活产生影响，从而影响项目的顺利实施，对项目的影响较小，影响程度（q）取 0.35。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综上所述，该项风险较小，风险程度（R）为 0.105。 </w:t>
      </w:r>
    </w:p>
    <w:p>
      <w:pPr>
        <w:keepNext w:val="0"/>
        <w:keepLines w:val="0"/>
        <w:widowControl/>
        <w:numPr>
          <w:ilvl w:val="0"/>
          <w:numId w:val="0"/>
        </w:numPr>
        <w:suppressLineNumbers w:val="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6.文明施工和质量管理</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en-US" w:bidi="ar"/>
        </w:rPr>
        <w:t>违反文明施工和质量管理的相关规定，造成环境污染，停水、停电、停气，影响交通灯突发情况等</w:t>
      </w:r>
      <w:r>
        <w:rPr>
          <w:rFonts w:hint="eastAsia" w:ascii="仿宋" w:hAnsi="仿宋" w:eastAsia="仿宋" w:cs="仿宋"/>
          <w:color w:val="auto"/>
          <w:kern w:val="0"/>
          <w:sz w:val="28"/>
          <w:szCs w:val="28"/>
          <w:highlight w:val="none"/>
          <w:lang w:val="en-US" w:eastAsia="zh-CN" w:bidi="ar"/>
        </w:rPr>
        <w:t>。</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该风险发生概率较低，风险概率（p）取 0.35，该风险发生后对项目的影响中等，影响程度（q）取 0.5。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综上所述，该项风险一般，风险程度（R）为 0.175。 </w:t>
      </w:r>
    </w:p>
    <w:p>
      <w:pPr>
        <w:keepNext w:val="0"/>
        <w:keepLines w:val="0"/>
        <w:widowControl/>
        <w:suppressLineNumbers w:val="0"/>
        <w:jc w:val="left"/>
        <w:rPr>
          <w:rFonts w:hint="eastAsia" w:ascii="仿宋" w:hAnsi="仿宋" w:eastAsia="仿宋" w:cs="仿宋"/>
          <w:b/>
          <w:color w:val="000000"/>
          <w:kern w:val="0"/>
          <w:sz w:val="28"/>
          <w:szCs w:val="28"/>
          <w:highlight w:val="none"/>
          <w:lang w:val="en-US" w:eastAsia="zh-CN" w:bidi="ar"/>
        </w:rPr>
      </w:pPr>
      <w:r>
        <w:rPr>
          <w:rFonts w:hint="eastAsia" w:ascii="仿宋" w:hAnsi="仿宋" w:eastAsia="仿宋" w:cs="仿宋"/>
          <w:b/>
          <w:color w:val="000000"/>
          <w:kern w:val="0"/>
          <w:sz w:val="28"/>
          <w:szCs w:val="28"/>
          <w:highlight w:val="none"/>
          <w:lang w:val="en-US" w:eastAsia="zh-CN" w:bidi="ar"/>
        </w:rPr>
        <w:t>7.工程款拖欠和农民工工资支付</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项目实施过程中工程款和农民工工资支付面临着信用不良风险、工程款超付风险、工程停工风险、专用账户被查封风险和农民工闹事风险。</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该风险发生概率较低，风险概率（p）取 0.41，该风险发生后对项目的影响中等，影响程度（q）取 0.62。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综上所述，该项风险一般，风险程度（R）为 0.2542。 </w:t>
      </w:r>
    </w:p>
    <w:p>
      <w:pPr>
        <w:keepNext w:val="0"/>
        <w:keepLines w:val="0"/>
        <w:widowControl/>
        <w:suppressLineNumbers w:val="0"/>
        <w:jc w:val="left"/>
        <w:rPr>
          <w:sz w:val="20"/>
          <w:szCs w:val="22"/>
          <w:highlight w:val="none"/>
        </w:rPr>
      </w:pPr>
      <w:r>
        <w:rPr>
          <w:rFonts w:hint="eastAsia" w:ascii="仿宋" w:hAnsi="仿宋" w:eastAsia="仿宋" w:cs="仿宋"/>
          <w:b/>
          <w:color w:val="000000"/>
          <w:kern w:val="0"/>
          <w:sz w:val="28"/>
          <w:szCs w:val="28"/>
          <w:highlight w:val="none"/>
          <w:lang w:val="en-US" w:eastAsia="zh-CN" w:bidi="ar"/>
        </w:rPr>
        <w:t xml:space="preserve">8.对周边交通的影响 </w:t>
      </w:r>
    </w:p>
    <w:p>
      <w:pPr>
        <w:keepNext w:val="0"/>
        <w:keepLines w:val="0"/>
        <w:widowControl/>
        <w:suppressLineNumbers w:val="0"/>
        <w:ind w:firstLine="560" w:firstLineChars="200"/>
        <w:jc w:val="left"/>
        <w:rPr>
          <w:sz w:val="20"/>
          <w:szCs w:val="22"/>
          <w:highlight w:val="none"/>
        </w:rPr>
      </w:pPr>
      <w:r>
        <w:rPr>
          <w:rFonts w:hint="eastAsia" w:ascii="仿宋" w:hAnsi="仿宋" w:eastAsia="仿宋" w:cs="仿宋"/>
          <w:color w:val="000000"/>
          <w:kern w:val="0"/>
          <w:sz w:val="28"/>
          <w:szCs w:val="28"/>
          <w:highlight w:val="none"/>
          <w:lang w:val="en-US" w:eastAsia="zh-CN" w:bidi="ar"/>
        </w:rPr>
        <w:t xml:space="preserve">项目建设期施工车辆及施工材料运输车辆进出，会导致项目周边交通流量大增，容易造成局部塞车，给当地交通环境带来一定压力。同时，设备运输过程中需要对小区道路临时拓宽，施工过程中会对沿线居民的出行带来多种不便。 </w:t>
      </w:r>
    </w:p>
    <w:p>
      <w:pPr>
        <w:keepNext w:val="0"/>
        <w:keepLines w:val="0"/>
        <w:widowControl/>
        <w:suppressLineNumbers w:val="0"/>
        <w:ind w:firstLine="560" w:firstLineChars="200"/>
        <w:jc w:val="left"/>
        <w:rPr>
          <w:sz w:val="20"/>
          <w:szCs w:val="22"/>
          <w:highlight w:val="none"/>
        </w:rPr>
      </w:pPr>
      <w:r>
        <w:rPr>
          <w:rFonts w:hint="eastAsia" w:ascii="仿宋" w:hAnsi="仿宋" w:eastAsia="仿宋" w:cs="仿宋"/>
          <w:color w:val="000000"/>
          <w:kern w:val="0"/>
          <w:sz w:val="28"/>
          <w:szCs w:val="28"/>
          <w:highlight w:val="none"/>
          <w:lang w:val="en-US" w:eastAsia="zh-CN" w:bidi="ar"/>
        </w:rPr>
        <w:t xml:space="preserve">该风险发生概率较低，风险概率（p）取 0.45，该风险发生后对项目的影响较大，影响程度（q）取 0.65。 </w:t>
      </w:r>
    </w:p>
    <w:p>
      <w:pPr>
        <w:keepNext w:val="0"/>
        <w:keepLines w:val="0"/>
        <w:widowControl/>
        <w:suppressLineNumbers w:val="0"/>
        <w:ind w:firstLine="560" w:firstLineChars="200"/>
        <w:jc w:val="left"/>
        <w:rPr>
          <w:sz w:val="20"/>
          <w:szCs w:val="22"/>
          <w:highlight w:val="none"/>
        </w:rPr>
      </w:pPr>
      <w:r>
        <w:rPr>
          <w:rFonts w:hint="eastAsia" w:ascii="仿宋" w:hAnsi="仿宋" w:eastAsia="仿宋" w:cs="仿宋"/>
          <w:color w:val="000000"/>
          <w:kern w:val="0"/>
          <w:sz w:val="28"/>
          <w:szCs w:val="28"/>
          <w:highlight w:val="none"/>
          <w:lang w:val="en-US" w:eastAsia="zh-CN" w:bidi="ar"/>
        </w:rPr>
        <w:t>综上所述，该项风险一般，风险程度（R）为 0.2925</w:t>
      </w:r>
      <w:r>
        <w:rPr>
          <w:rFonts w:hint="eastAsia" w:ascii="仿宋" w:hAnsi="仿宋" w:eastAsia="仿宋" w:cs="仿宋"/>
          <w:color w:val="auto"/>
          <w:kern w:val="0"/>
          <w:sz w:val="28"/>
          <w:szCs w:val="28"/>
          <w:highlight w:val="none"/>
          <w:lang w:val="en-US" w:eastAsia="zh-CN" w:bidi="ar"/>
        </w:rPr>
        <w:t>。</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9.施工安全、卫生与职业健康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在施工期主要的危害因素有高空作业、运输吊装作业、开挖作业、用电作业、易燃易爆作业等。 </w:t>
      </w:r>
    </w:p>
    <w:p>
      <w:pPr>
        <w:keepNext w:val="0"/>
        <w:keepLines w:val="0"/>
        <w:widowControl/>
        <w:suppressLineNumbers w:val="0"/>
        <w:ind w:firstLine="560" w:firstLineChars="200"/>
        <w:jc w:val="left"/>
        <w:rPr>
          <w:sz w:val="20"/>
          <w:szCs w:val="22"/>
          <w:highlight w:val="none"/>
        </w:rPr>
      </w:pPr>
      <w:r>
        <w:rPr>
          <w:rFonts w:hint="eastAsia" w:ascii="仿宋" w:hAnsi="仿宋" w:eastAsia="仿宋" w:cs="仿宋"/>
          <w:color w:val="000000"/>
          <w:kern w:val="0"/>
          <w:sz w:val="28"/>
          <w:szCs w:val="28"/>
          <w:highlight w:val="none"/>
          <w:lang w:val="en-US" w:eastAsia="zh-CN" w:bidi="ar"/>
        </w:rPr>
        <w:t xml:space="preserve">该风险发生概率较低，风险概率（p）取 0.45，该风险发生后对项目的影响中等，影响程度（q）取 0.40。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000000"/>
          <w:kern w:val="0"/>
          <w:sz w:val="28"/>
          <w:szCs w:val="28"/>
          <w:highlight w:val="none"/>
          <w:lang w:val="en-US" w:eastAsia="zh-CN" w:bidi="ar"/>
        </w:rPr>
        <w:t>综上所述，该项风险一般，风险程度（R）为 0.18</w:t>
      </w:r>
      <w:r>
        <w:rPr>
          <w:rFonts w:hint="eastAsia" w:ascii="仿宋" w:hAnsi="仿宋" w:eastAsia="仿宋" w:cs="仿宋"/>
          <w:color w:val="auto"/>
          <w:kern w:val="0"/>
          <w:sz w:val="28"/>
          <w:szCs w:val="28"/>
          <w:highlight w:val="none"/>
          <w:lang w:val="en-US" w:eastAsia="zh-CN" w:bidi="ar"/>
        </w:rPr>
        <w:t>。</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10.社会治安和公共安全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选择不正规的施工队伍或者管理不规范可能会发生治安和公共安全事件，因在项目施工和运营期间，会带来一部分的外来人口，给当地的社会治安带来一定的影响，选择正规的施工队伍和规范的管理，可以一定程度上避免社会治安和公共安全事件的发生。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该发生的概率较低，风险概率取（p）0.25，风险发生以后对项目的影响较小，（q）取 0.40。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综上所述，该项风险较小，风险程度（R）为 0.1。 </w:t>
      </w:r>
    </w:p>
    <w:p>
      <w:pPr>
        <w:keepNext w:val="0"/>
        <w:keepLines w:val="0"/>
        <w:widowControl/>
        <w:suppressLineNumbers w:val="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 xml:space="preserve">5.2.2 风险程度汇总表 </w:t>
      </w:r>
    </w:p>
    <w:tbl>
      <w:tblPr>
        <w:tblStyle w:val="13"/>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2910"/>
        <w:gridCol w:w="1090"/>
        <w:gridCol w:w="1013"/>
        <w:gridCol w:w="3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8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序号</w:t>
            </w:r>
          </w:p>
        </w:tc>
        <w:tc>
          <w:tcPr>
            <w:tcW w:w="291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风险类型</w:t>
            </w:r>
          </w:p>
        </w:tc>
        <w:tc>
          <w:tcPr>
            <w:tcW w:w="109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因素项</w:t>
            </w:r>
          </w:p>
        </w:tc>
        <w:tc>
          <w:tcPr>
            <w:tcW w:w="1013" w:type="dxa"/>
            <w:vAlign w:val="center"/>
          </w:tcPr>
          <w:p>
            <w:pPr>
              <w:keepNext w:val="0"/>
              <w:keepLines w:val="0"/>
              <w:widowControl/>
              <w:suppressLineNumbers w:val="0"/>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为该项目主要风险因素</w:t>
            </w:r>
          </w:p>
        </w:tc>
        <w:tc>
          <w:tcPr>
            <w:tcW w:w="3425"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风险因素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80" w:type="dxa"/>
            <w:vAlign w:val="center"/>
          </w:tcPr>
          <w:p>
            <w:pPr>
              <w:keepNext w:val="0"/>
              <w:keepLines w:val="0"/>
              <w:widowControl/>
              <w:suppressLineNumbers w:val="0"/>
              <w:jc w:val="center"/>
              <w:rPr>
                <w:rFonts w:hint="default"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b/>
                <w:bCs/>
                <w:color w:val="auto"/>
                <w:kern w:val="0"/>
                <w:sz w:val="24"/>
                <w:szCs w:val="24"/>
                <w:highlight w:val="none"/>
                <w:vertAlign w:val="baseline"/>
                <w:lang w:val="en-US" w:eastAsia="zh-CN" w:bidi="ar"/>
              </w:rPr>
              <w:t>1</w:t>
            </w:r>
          </w:p>
        </w:tc>
        <w:tc>
          <w:tcPr>
            <w:tcW w:w="2910" w:type="dxa"/>
            <w:vAlign w:val="center"/>
          </w:tcPr>
          <w:p>
            <w:pPr>
              <w:keepNext w:val="0"/>
              <w:keepLines w:val="0"/>
              <w:widowControl/>
              <w:suppressLineNumbers w:val="0"/>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征地拆迁</w:t>
            </w:r>
          </w:p>
        </w:tc>
        <w:tc>
          <w:tcPr>
            <w:tcW w:w="109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101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3425" w:type="dxa"/>
            <w:vAlign w:val="center"/>
          </w:tcPr>
          <w:p>
            <w:pPr>
              <w:keepNext w:val="0"/>
              <w:keepLines w:val="0"/>
              <w:widowControl/>
              <w:suppressLineNumbers w:val="0"/>
              <w:jc w:val="center"/>
              <w:rPr>
                <w:rFonts w:hint="eastAsia" w:ascii="仿宋" w:hAnsi="仿宋" w:eastAsia="仿宋" w:cs="仿宋"/>
                <w:b/>
                <w:bCs/>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2910"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生态环境影响</w:t>
            </w:r>
          </w:p>
        </w:tc>
        <w:tc>
          <w:tcPr>
            <w:tcW w:w="109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1013"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大气污染物排放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13"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水体污染物排放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13"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噪声影响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13"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固体废弃物及其二次污染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w:t>
            </w:r>
          </w:p>
        </w:tc>
        <w:tc>
          <w:tcPr>
            <w:tcW w:w="2910"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项目管理</w:t>
            </w:r>
          </w:p>
        </w:tc>
        <w:tc>
          <w:tcPr>
            <w:tcW w:w="109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3</w:t>
            </w:r>
          </w:p>
        </w:tc>
        <w:tc>
          <w:tcPr>
            <w:tcW w:w="1013"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文明施工和质量管理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13"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工程款拖欠和</w:t>
            </w:r>
            <w:r>
              <w:rPr>
                <w:rFonts w:hint="eastAsia" w:ascii="仿宋" w:hAnsi="仿宋" w:eastAsia="仿宋" w:cs="仿宋"/>
                <w:color w:val="auto"/>
                <w:kern w:val="0"/>
                <w:sz w:val="21"/>
                <w:szCs w:val="21"/>
                <w:highlight w:val="none"/>
                <w:vertAlign w:val="baseline"/>
                <w:lang w:val="en-US" w:eastAsia="zh-CN" w:bidi="ar"/>
              </w:rPr>
              <w:t>农民工工资支付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2910"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经济社会影响</w:t>
            </w:r>
          </w:p>
        </w:tc>
        <w:tc>
          <w:tcPr>
            <w:tcW w:w="109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4</w:t>
            </w:r>
          </w:p>
        </w:tc>
        <w:tc>
          <w:tcPr>
            <w:tcW w:w="101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w:t>
            </w: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对周边交通影响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2910" w:type="dxa"/>
            <w:vMerge w:val="restart"/>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安全卫生</w:t>
            </w:r>
          </w:p>
        </w:tc>
        <w:tc>
          <w:tcPr>
            <w:tcW w:w="1090"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1013" w:type="dxa"/>
            <w:vMerge w:val="restart"/>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2</w:t>
            </w: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施工安全、卫生与职业健康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291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90"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1013" w:type="dxa"/>
            <w:vMerge w:val="continue"/>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社会治安和公共安全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8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p>
        </w:tc>
        <w:tc>
          <w:tcPr>
            <w:tcW w:w="291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合计</w:t>
            </w:r>
          </w:p>
        </w:tc>
        <w:tc>
          <w:tcPr>
            <w:tcW w:w="1090"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5</w:t>
            </w:r>
          </w:p>
        </w:tc>
        <w:tc>
          <w:tcPr>
            <w:tcW w:w="1013" w:type="dxa"/>
            <w:vAlign w:val="center"/>
          </w:tcPr>
          <w:p>
            <w:pPr>
              <w:keepNext w:val="0"/>
              <w:keepLines w:val="0"/>
              <w:widowControl/>
              <w:suppressLineNumbers w:val="0"/>
              <w:jc w:val="center"/>
              <w:rPr>
                <w:rFonts w:hint="default"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10</w:t>
            </w:r>
          </w:p>
        </w:tc>
        <w:tc>
          <w:tcPr>
            <w:tcW w:w="3425"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p>
        </w:tc>
      </w:tr>
    </w:tbl>
    <w:p>
      <w:pPr>
        <w:keepNext w:val="0"/>
        <w:keepLines w:val="0"/>
        <w:widowControl/>
        <w:suppressLineNumbers w:val="0"/>
        <w:ind w:firstLine="560" w:firstLineChars="20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表 5-2 主要风险因素及其风险程度汇总表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3989"/>
        <w:gridCol w:w="1382"/>
        <w:gridCol w:w="1475"/>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926"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序号</w:t>
            </w:r>
          </w:p>
        </w:tc>
        <w:tc>
          <w:tcPr>
            <w:tcW w:w="3989"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风险因素（W）</w:t>
            </w:r>
          </w:p>
        </w:tc>
        <w:tc>
          <w:tcPr>
            <w:tcW w:w="1382"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风险概率（p）</w:t>
            </w:r>
          </w:p>
        </w:tc>
        <w:tc>
          <w:tcPr>
            <w:tcW w:w="1475"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影响程度(q)</w:t>
            </w:r>
          </w:p>
        </w:tc>
        <w:tc>
          <w:tcPr>
            <w:tcW w:w="1386"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风险程度（R）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1</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0.5</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大气污染物排放</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3</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水体污染物排放</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0.32</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0.34</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4</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噪声影响</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0.25</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5</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固体废弃物及其二次污染</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0.35</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6</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文明施工和质量管理</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0.35</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0.5</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7</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工程款拖欠和农民工工资支付</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0.41</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0.62</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8</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对周边交通影响</w:t>
            </w:r>
          </w:p>
        </w:tc>
        <w:tc>
          <w:tcPr>
            <w:tcW w:w="138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147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0.65</w:t>
            </w:r>
          </w:p>
        </w:tc>
        <w:tc>
          <w:tcPr>
            <w:tcW w:w="1386"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9</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施工安全、卫生与职业健康</w:t>
            </w:r>
          </w:p>
        </w:tc>
        <w:tc>
          <w:tcPr>
            <w:tcW w:w="138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147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1386"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10</w:t>
            </w:r>
          </w:p>
        </w:tc>
        <w:tc>
          <w:tcPr>
            <w:tcW w:w="3989" w:type="dxa"/>
            <w:shd w:val="clear" w:color="auto" w:fill="auto"/>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社会治安和公共安全</w:t>
            </w:r>
          </w:p>
        </w:tc>
        <w:tc>
          <w:tcPr>
            <w:tcW w:w="138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0.25</w:t>
            </w:r>
          </w:p>
        </w:tc>
        <w:tc>
          <w:tcPr>
            <w:tcW w:w="147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0.4</w:t>
            </w:r>
          </w:p>
        </w:tc>
        <w:tc>
          <w:tcPr>
            <w:tcW w:w="1386"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0.1</w:t>
            </w:r>
          </w:p>
        </w:tc>
      </w:tr>
    </w:tbl>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注：</w:t>
      </w:r>
      <w:r>
        <w:rPr>
          <w:rFonts w:hint="eastAsia" w:ascii="仿宋" w:hAnsi="仿宋" w:eastAsia="仿宋" w:cs="仿宋"/>
          <w:color w:val="auto"/>
          <w:kern w:val="0"/>
          <w:sz w:val="28"/>
          <w:szCs w:val="28"/>
          <w:highlight w:val="none"/>
          <w:lang w:val="en-US" w:eastAsia="zh-CN" w:bidi="ar"/>
        </w:rPr>
        <w:t xml:space="preserve">风险程度（R）：分为重大、较大、一般、较小和微小共五个等 </w:t>
      </w:r>
    </w:p>
    <w:p>
      <w:pPr>
        <w:keepNext w:val="0"/>
        <w:keepLines w:val="0"/>
        <w:widowControl/>
        <w:suppressLineNumbers w:val="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级，对应的定量判断标准分别为：R&gt;0.64、0.64≥R&gt;0.36、0.36≥ </w:t>
      </w:r>
    </w:p>
    <w:p>
      <w:pPr>
        <w:keepNext w:val="0"/>
        <w:keepLines w:val="0"/>
        <w:widowControl/>
        <w:suppressLineNumbers w:val="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R&gt;0.16、0.16≥R&gt;0.04、R≤0.04。</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5.2.3 单因素风险估计结论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从上述分析可以看出，本项目风险程度有6个一般风险，分别为：“管线搬迁及绿化迁移方案 ”“大气污染物排放”“文明施工和质量管理”“工程款拖欠和农民工工资支付”“对周边交通的影响”“施工安全、卫生与职业健康”。其余为较小风险和微小风险。 </w:t>
      </w:r>
    </w:p>
    <w:p>
      <w:pPr>
        <w:keepNext w:val="0"/>
        <w:keepLines w:val="0"/>
        <w:widowControl/>
        <w:suppressLineNumbers w:val="0"/>
        <w:jc w:val="left"/>
        <w:outlineLvl w:val="1"/>
        <w:rPr>
          <w:color w:val="auto"/>
          <w:sz w:val="20"/>
          <w:szCs w:val="22"/>
          <w:highlight w:val="none"/>
        </w:rPr>
      </w:pPr>
      <w:bookmarkStart w:id="23" w:name="_Toc18655"/>
      <w:r>
        <w:rPr>
          <w:rFonts w:hint="eastAsia" w:ascii="仿宋" w:hAnsi="仿宋" w:eastAsia="仿宋" w:cs="仿宋"/>
          <w:b/>
          <w:color w:val="auto"/>
          <w:kern w:val="0"/>
          <w:sz w:val="28"/>
          <w:szCs w:val="28"/>
          <w:highlight w:val="none"/>
          <w:lang w:val="en-US" w:eastAsia="zh-CN" w:bidi="ar"/>
        </w:rPr>
        <w:t>5.3 风险等级分析与确定</w:t>
      </w:r>
      <w:bookmarkEnd w:id="23"/>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5.3.1 主要风险因素及其风险程度分析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按照风险概率影响矩阵进行定量分析评判后，对单因素风险进行权重分配并进行叠加汇总，获得整个项目的风险估计，风险指数定量计算表见表5-3。</w:t>
      </w:r>
    </w:p>
    <w:p>
      <w:pPr>
        <w:keepNext w:val="0"/>
        <w:keepLines w:val="0"/>
        <w:widowControl/>
        <w:suppressLineNumbers w:val="0"/>
        <w:ind w:firstLine="560" w:firstLineChars="200"/>
        <w:jc w:val="cente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表 5-3 拟建项目综合风险指数定量计算表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409"/>
        <w:gridCol w:w="833"/>
        <w:gridCol w:w="910"/>
        <w:gridCol w:w="936"/>
        <w:gridCol w:w="936"/>
        <w:gridCol w:w="810"/>
        <w:gridCol w:w="697"/>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787"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序号</w:t>
            </w:r>
          </w:p>
        </w:tc>
        <w:tc>
          <w:tcPr>
            <w:tcW w:w="2409"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风险因素</w:t>
            </w:r>
          </w:p>
        </w:tc>
        <w:tc>
          <w:tcPr>
            <w:tcW w:w="833"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权重(I)</w:t>
            </w:r>
          </w:p>
        </w:tc>
        <w:tc>
          <w:tcPr>
            <w:tcW w:w="4279" w:type="dxa"/>
            <w:gridSpan w:val="5"/>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风险程度(R)</w:t>
            </w:r>
          </w:p>
        </w:tc>
        <w:tc>
          <w:tcPr>
            <w:tcW w:w="1170"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风险指数(T)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2409"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833"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910"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微小</w:t>
            </w:r>
          </w:p>
        </w:tc>
        <w:tc>
          <w:tcPr>
            <w:tcW w:w="931"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较小</w:t>
            </w:r>
          </w:p>
        </w:tc>
        <w:tc>
          <w:tcPr>
            <w:tcW w:w="931"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一般</w:t>
            </w:r>
          </w:p>
        </w:tc>
        <w:tc>
          <w:tcPr>
            <w:tcW w:w="810"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较大</w:t>
            </w:r>
          </w:p>
        </w:tc>
        <w:tc>
          <w:tcPr>
            <w:tcW w:w="697"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重大</w:t>
            </w:r>
          </w:p>
        </w:tc>
        <w:tc>
          <w:tcPr>
            <w:tcW w:w="1170"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T=I*R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w:t>
            </w:r>
          </w:p>
        </w:tc>
        <w:tc>
          <w:tcPr>
            <w:tcW w:w="91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0.225</w:t>
            </w: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大气污染物排放</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0.07</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c>
          <w:tcPr>
            <w:tcW w:w="81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水体污染物排放</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0.05</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0.1088</w:t>
            </w: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81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噪声影响</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0.075</w:t>
            </w: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固体废弃物及其二次污染</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0.16</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0.105</w:t>
            </w: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文明施工和质量管理</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0.12</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0.175</w:t>
            </w: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87" w:type="dxa"/>
            <w:shd w:val="clear" w:color="auto" w:fill="auto"/>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工程款拖欠和农民工工资支付</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0.12</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0.2542</w:t>
            </w: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0.030504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对周边交通影响</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0.09</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0.2925</w:t>
            </w: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0.026325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87"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施工安全、卫生与职业健康</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0.12</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87"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w:t>
            </w:r>
          </w:p>
        </w:tc>
        <w:tc>
          <w:tcPr>
            <w:tcW w:w="2409"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社会治安和公共安全</w:t>
            </w:r>
          </w:p>
        </w:tc>
        <w:tc>
          <w:tcPr>
            <w:tcW w:w="83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0.11</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w:t>
            </w: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7" w:type="dxa"/>
            <w:vAlign w:val="center"/>
          </w:tcPr>
          <w:p>
            <w:pPr>
              <w:jc w:val="center"/>
              <w:rPr>
                <w:rFonts w:hint="eastAsia" w:ascii="仿宋" w:hAnsi="仿宋" w:eastAsia="仿宋" w:cs="仿宋"/>
                <w:b w:val="0"/>
                <w:bCs/>
                <w:color w:val="auto"/>
                <w:kern w:val="0"/>
                <w:sz w:val="24"/>
                <w:szCs w:val="24"/>
                <w:highlight w:val="none"/>
                <w:vertAlign w:val="baseline"/>
                <w:lang w:val="en-US" w:eastAsia="zh-CN" w:bidi="ar"/>
              </w:rPr>
            </w:pPr>
          </w:p>
        </w:tc>
        <w:tc>
          <w:tcPr>
            <w:tcW w:w="2409"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汇总</w:t>
            </w:r>
          </w:p>
        </w:tc>
        <w:tc>
          <w:tcPr>
            <w:tcW w:w="83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1.000 </w:t>
            </w:r>
          </w:p>
        </w:tc>
        <w:tc>
          <w:tcPr>
            <w:tcW w:w="9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31"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810"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69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70" w:type="dxa"/>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0.169269</w:t>
            </w:r>
          </w:p>
        </w:tc>
      </w:tr>
    </w:tbl>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5.3.2 判断风险等级 </w:t>
      </w:r>
    </w:p>
    <w:p>
      <w:pPr>
        <w:keepNext w:val="0"/>
        <w:keepLines w:val="0"/>
        <w:widowControl/>
        <w:suppressLineNumbers w:val="0"/>
        <w:jc w:val="center"/>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表 5-4 风险等级评判参考标准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2556"/>
        <w:gridCol w:w="2496"/>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925"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风险等级</w:t>
            </w:r>
          </w:p>
        </w:tc>
        <w:tc>
          <w:tcPr>
            <w:tcW w:w="2556"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高（重大负面影响）</w:t>
            </w:r>
          </w:p>
        </w:tc>
        <w:tc>
          <w:tcPr>
            <w:tcW w:w="2496"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中（较大负面影响）</w:t>
            </w:r>
          </w:p>
        </w:tc>
        <w:tc>
          <w:tcPr>
            <w:tcW w:w="2560"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低（一般负面影响）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总体评判标准</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大部分群众对项目建设实施有意见、反应特别强烈，可能引发大规模事件</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部分群众对项目建设实施有意见、反应特别强烈，可能引发大规模事件</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多数群众理解支持，但少部分群众对项目建设实施有意见 群体性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可能引发风险事件评判标准</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如冲击、围攻党政机关、要害部门及重点地区、部位、场所，发生打、砸、抢、烧等集体械斗、聚众闹事、人员伤亡事件，非法集合、示威、课等</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如集体上访、请愿、发生极端个人事件，围堵施工现场，堵塞、阻断交通，媒体（网络）出现负面舆情等游行、罢工、罢市</w:t>
            </w:r>
            <w:r>
              <w:rPr>
                <w:rFonts w:hint="eastAsia" w:ascii="仿宋" w:hAnsi="仿宋" w:eastAsia="仿宋" w:cs="仿宋"/>
                <w:b w:val="0"/>
                <w:bCs/>
                <w:color w:val="auto"/>
                <w:kern w:val="0"/>
                <w:sz w:val="24"/>
                <w:szCs w:val="24"/>
                <w:highlight w:val="none"/>
                <w:vertAlign w:val="baseline"/>
                <w:lang w:val="en-US" w:eastAsia="zh-CN" w:bidi="ar"/>
              </w:rPr>
              <w:t>等</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如个人非正常上访、静坐、拉横幅、喊口号、散发宣传品，散布有害信息等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风险事件参与人数评判标准</w:t>
            </w:r>
          </w:p>
        </w:tc>
        <w:tc>
          <w:tcPr>
            <w:tcW w:w="255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200人以上</w:t>
            </w:r>
          </w:p>
        </w:tc>
        <w:tc>
          <w:tcPr>
            <w:tcW w:w="249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20—200人</w:t>
            </w:r>
          </w:p>
        </w:tc>
        <w:tc>
          <w:tcPr>
            <w:tcW w:w="2560"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20人以下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风险程度</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2 个及以上重大或 5 个以上较大单因素风险</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1 个重大或者 2 到 4 个较大单因素风险</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1 个较大或者 1 到 4 个一般单因素风险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综合风险指数评判标准</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3</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3</w:t>
            </w: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1（含）</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1</w:t>
            </w:r>
          </w:p>
        </w:tc>
      </w:tr>
    </w:tbl>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通过以上定性分析和定量计算，综合风险指数为0.169269，对照评判参考标准，属于中风险等级范围。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综合上述，本项目风险等级为中风险等级。</w:t>
      </w:r>
    </w:p>
    <w:p>
      <w:pPr>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br w:type="page"/>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 </w:t>
      </w:r>
    </w:p>
    <w:p>
      <w:pPr>
        <w:pStyle w:val="2"/>
        <w:bidi w:val="0"/>
        <w:jc w:val="center"/>
        <w:rPr>
          <w:color w:val="auto"/>
          <w:highlight w:val="none"/>
        </w:rPr>
      </w:pPr>
      <w:bookmarkStart w:id="24" w:name="_Toc30960"/>
      <w:bookmarkStart w:id="25" w:name="_Toc12039"/>
      <w:r>
        <w:rPr>
          <w:rFonts w:hint="eastAsia"/>
          <w:color w:val="auto"/>
          <w:highlight w:val="none"/>
          <w:lang w:val="en-US" w:eastAsia="zh-CN"/>
        </w:rPr>
        <w:t>第六章 风险防范和化解措施</w:t>
      </w:r>
      <w:bookmarkEnd w:id="24"/>
      <w:bookmarkEnd w:id="25"/>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针对主要的风险因素应当研究制定综合和专项风险防范和化解措施，真正把社会稳定风险化解在萌芽状态，最大限度地减少不和谐因素。本项目具体的风险防范和化解措施如下：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施工期间，部分管道需要改变原有的走线方向，开挖原有的管道需要其破坏或迁移其上面的绿化植物，导致小区内的绿地面积减少，影响居民的休闲活动空间，也可能降低小区的整体美观度。 </w:t>
      </w:r>
    </w:p>
    <w:p>
      <w:pPr>
        <w:keepNext w:val="0"/>
        <w:keepLines w:val="0"/>
        <w:widowControl/>
        <w:suppressLineNumbers w:val="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因此，项目管线搬迁及绿化迁移方案不合理，会给小区居民带来生活不便。在实施过程中可能会招致民众的质疑，会存在一定的风险。</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1.管线搬迁及绿化迁移方案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施工单位应该提前实地详细勘测改造施工的管道及地上附着物的具体情况，根据工程现场的施工情况、听取周围居民的实际意见，制定切实可行的管线搬迁及绿化迁移方案 。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同时，定期组织由项目建设单位、施工单位、项目涉及的各社区工作人员和小区居民代表参加的项目建设推进会，相关信息及时公布。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2.大气污染 </w:t>
      </w:r>
    </w:p>
    <w:p>
      <w:pPr>
        <w:keepNext w:val="0"/>
        <w:keepLines w:val="0"/>
        <w:widowControl/>
        <w:suppressLineNumbers w:val="0"/>
        <w:ind w:firstLine="562" w:firstLineChars="20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施工期间，建议：</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施工过程的机械设施多为燃油设施，施工过程中施工机械、运输车辆会产生较多燃油废气，由于技改工程区域地形开阔，废气扩散条件较好，施工机械的燃油尾气能够及时迅速的进行扩散，因此对周围大气环境造成的影响较小。 </w:t>
      </w:r>
    </w:p>
    <w:p>
      <w:pPr>
        <w:keepNext w:val="0"/>
        <w:keepLines w:val="0"/>
        <w:widowControl/>
        <w:numPr>
          <w:ilvl w:val="0"/>
          <w:numId w:val="0"/>
        </w:numPr>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3.水污染</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施工期废水不能随意直排。其防治措施主要有:</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（1)施工污水未经处理严禁直接排入城市污水管道或河流中。</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（2)现场存放油料，必须对库房地面进行防渗处理，如采用防渗混凝土地面、铺油毡等。</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（3)施工现场 100 人以上的临时食堂,污水排放时可设置简易有效的隔油池,定期掏油和杂物，防止污染。</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（4)工地临时厕所、化粪池应采取防渗漏措施，可采用水冲式厕所，蹲坑上加盖，并有防蝇、灭蝇措施，防止污染水体和环境。</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（5)水泥、黄砂、石灰类的建筑材料需集中堆放，并采取一定的防雨措施，及时清扫施工运输过程中抛洒的上述建筑材料,以免这些物质随雨水冲刷污染附近水体。</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4.噪音 </w:t>
      </w:r>
    </w:p>
    <w:p>
      <w:pPr>
        <w:keepNext w:val="0"/>
        <w:keepLines w:val="0"/>
        <w:widowControl/>
        <w:suppressLineNumbers w:val="0"/>
        <w:ind w:firstLine="562" w:firstLineChars="20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在施工期间，建议：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 施工单位必须选用符合国家有关环境保护标准的施工机械，如运输车辆噪声符合《汽车定置噪声限制》(GB16170-1996)和《机动车辆允许噪声》(GB1495-79)，其它施工机械符合 GB12523-2011《建筑施工场界限值》，从根本上降低噪声源强度；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 尽量缩短高噪声施工作业、机械设备的使用时间，配备、使用减震坐垫和隔音装置，减低噪声源的声级强度；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 施工中，加强各种机械设备的维修和保养，做好机械设备使用前的检修，使设备性能处于良好状态，运行时可减少噪声；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4) 为减少施工运输车辆对运输道路两侧居民的影响，夜间应尽量减少车流量，在居民密集的路段设置限速、限鸣笛的标志牌；加强道路养护和车辆的维修保养，降低机动车辆行驶的振动速度；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5) 应加强施工管理措施，要求该区域施工发包合同条款中具有声环境质量保护条款，同时进行噪声监测，并受环境保护工程监理和政府及社会各界的监督。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5.固废及其二次污染 </w:t>
      </w:r>
    </w:p>
    <w:p>
      <w:pPr>
        <w:keepNext w:val="0"/>
        <w:keepLines w:val="0"/>
        <w:widowControl/>
        <w:suppressLineNumbers w:val="0"/>
        <w:ind w:firstLine="560" w:firstLineChars="20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落实固废污染防治措施。按照“减量化、资源化、无害化”的处置原则，做好固体废物的处置、贮存和综合利用工作。</w:t>
      </w:r>
    </w:p>
    <w:p>
      <w:pPr>
        <w:keepNext w:val="0"/>
        <w:keepLines w:val="0"/>
        <w:widowControl/>
        <w:suppressLineNumbers w:val="0"/>
        <w:ind w:firstLine="562" w:firstLineChars="20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施工固废：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①车辆运土时避免土的洒落，车辆驶出工地前应将轮子的泥土去除干净，防止沿程弃土满地，影响环境整洁。</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②施工过程中产生的建筑垃圾要严格实行定点堆放，并及时清运处理，建设单位应与运输部门做好驾驶员的职业道德教育，按规定路线运输，并不定期地检查计划执行情况。</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③生活垃圾应分类回收，做到日产日清，严禁随地丢弃。</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④施工中如遇到有毒有害废弃物应暂时停止施工并及时与地方环保部门联系，经采取措施处理后方能继续施工。</w:t>
      </w:r>
    </w:p>
    <w:p>
      <w:pPr>
        <w:keepNext w:val="0"/>
        <w:keepLines w:val="0"/>
        <w:widowControl/>
        <w:suppressLineNumbers w:val="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6.文明施工和质量管理</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严格遵守</w:t>
      </w:r>
      <w:r>
        <w:rPr>
          <w:rFonts w:hint="eastAsia" w:ascii="仿宋" w:hAnsi="仿宋" w:eastAsia="仿宋" w:cs="仿宋"/>
          <w:color w:val="auto"/>
          <w:kern w:val="0"/>
          <w:sz w:val="28"/>
          <w:szCs w:val="28"/>
          <w:highlight w:val="none"/>
          <w:lang w:val="en-US" w:eastAsia="en-US" w:bidi="ar"/>
        </w:rPr>
        <w:t>文明施工和质量管理的相关规定，</w:t>
      </w:r>
      <w:r>
        <w:rPr>
          <w:rFonts w:hint="eastAsia" w:ascii="仿宋" w:hAnsi="仿宋" w:eastAsia="仿宋" w:cs="仿宋"/>
          <w:color w:val="auto"/>
          <w:kern w:val="0"/>
          <w:sz w:val="28"/>
          <w:szCs w:val="28"/>
          <w:highlight w:val="none"/>
          <w:lang w:val="en-US" w:eastAsia="zh-CN" w:bidi="ar"/>
        </w:rPr>
        <w:t>提前评估可能</w:t>
      </w:r>
      <w:r>
        <w:rPr>
          <w:rFonts w:hint="eastAsia" w:ascii="仿宋" w:hAnsi="仿宋" w:eastAsia="仿宋" w:cs="仿宋"/>
          <w:color w:val="auto"/>
          <w:kern w:val="0"/>
          <w:sz w:val="28"/>
          <w:szCs w:val="28"/>
          <w:highlight w:val="none"/>
          <w:lang w:val="en-US" w:eastAsia="en-US" w:bidi="ar"/>
        </w:rPr>
        <w:t>造成环境污染</w:t>
      </w:r>
      <w:r>
        <w:rPr>
          <w:rFonts w:hint="eastAsia" w:ascii="仿宋" w:hAnsi="仿宋" w:eastAsia="仿宋" w:cs="仿宋"/>
          <w:color w:val="auto"/>
          <w:kern w:val="0"/>
          <w:sz w:val="28"/>
          <w:szCs w:val="28"/>
          <w:highlight w:val="none"/>
          <w:lang w:val="en-US" w:eastAsia="zh-CN" w:bidi="ar"/>
        </w:rPr>
        <w:t>的可能性并作出预防措施</w:t>
      </w:r>
      <w:r>
        <w:rPr>
          <w:rFonts w:hint="eastAsia" w:ascii="仿宋" w:hAnsi="仿宋" w:eastAsia="仿宋" w:cs="仿宋"/>
          <w:color w:val="auto"/>
          <w:kern w:val="0"/>
          <w:sz w:val="28"/>
          <w:szCs w:val="28"/>
          <w:highlight w:val="none"/>
          <w:lang w:val="en-US" w:eastAsia="en-US" w:bidi="ar"/>
        </w:rPr>
        <w:t>，</w:t>
      </w:r>
      <w:r>
        <w:rPr>
          <w:rFonts w:hint="eastAsia" w:ascii="仿宋" w:hAnsi="仿宋" w:eastAsia="仿宋" w:cs="仿宋"/>
          <w:color w:val="auto"/>
          <w:kern w:val="0"/>
          <w:sz w:val="28"/>
          <w:szCs w:val="28"/>
          <w:highlight w:val="none"/>
          <w:lang w:val="en-US" w:eastAsia="zh-CN" w:bidi="ar"/>
        </w:rPr>
        <w:t>对发生</w:t>
      </w:r>
      <w:r>
        <w:rPr>
          <w:rFonts w:hint="eastAsia" w:ascii="仿宋" w:hAnsi="仿宋" w:eastAsia="仿宋" w:cs="仿宋"/>
          <w:color w:val="auto"/>
          <w:kern w:val="0"/>
          <w:sz w:val="28"/>
          <w:szCs w:val="28"/>
          <w:highlight w:val="none"/>
          <w:lang w:val="en-US" w:eastAsia="en-US" w:bidi="ar"/>
        </w:rPr>
        <w:t>停水、停电、停气</w:t>
      </w:r>
      <w:r>
        <w:rPr>
          <w:rFonts w:hint="eastAsia" w:ascii="仿宋" w:hAnsi="仿宋" w:eastAsia="仿宋" w:cs="仿宋"/>
          <w:color w:val="auto"/>
          <w:kern w:val="0"/>
          <w:sz w:val="28"/>
          <w:szCs w:val="28"/>
          <w:highlight w:val="none"/>
          <w:lang w:val="en-US" w:eastAsia="zh-CN" w:bidi="ar"/>
        </w:rPr>
        <w:t>及</w:t>
      </w:r>
      <w:r>
        <w:rPr>
          <w:rFonts w:hint="eastAsia" w:ascii="仿宋" w:hAnsi="仿宋" w:eastAsia="仿宋" w:cs="仿宋"/>
          <w:color w:val="auto"/>
          <w:kern w:val="0"/>
          <w:sz w:val="28"/>
          <w:szCs w:val="28"/>
          <w:highlight w:val="none"/>
          <w:lang w:val="en-US" w:eastAsia="en-US" w:bidi="ar"/>
        </w:rPr>
        <w:t>影响交通灯</w:t>
      </w:r>
      <w:r>
        <w:rPr>
          <w:rFonts w:hint="eastAsia" w:ascii="仿宋" w:hAnsi="仿宋" w:eastAsia="仿宋" w:cs="仿宋"/>
          <w:color w:val="auto"/>
          <w:kern w:val="0"/>
          <w:sz w:val="28"/>
          <w:szCs w:val="28"/>
          <w:highlight w:val="none"/>
          <w:lang w:val="en-US" w:eastAsia="zh-CN" w:bidi="ar"/>
        </w:rPr>
        <w:t>等</w:t>
      </w:r>
      <w:r>
        <w:rPr>
          <w:rFonts w:hint="eastAsia" w:ascii="仿宋" w:hAnsi="仿宋" w:eastAsia="仿宋" w:cs="仿宋"/>
          <w:color w:val="auto"/>
          <w:kern w:val="0"/>
          <w:sz w:val="28"/>
          <w:szCs w:val="28"/>
          <w:highlight w:val="none"/>
          <w:lang w:val="en-US" w:eastAsia="en-US" w:bidi="ar"/>
        </w:rPr>
        <w:t>突发情况</w:t>
      </w:r>
      <w:r>
        <w:rPr>
          <w:rFonts w:hint="eastAsia" w:ascii="仿宋" w:hAnsi="仿宋" w:eastAsia="仿宋" w:cs="仿宋"/>
          <w:color w:val="auto"/>
          <w:kern w:val="0"/>
          <w:sz w:val="28"/>
          <w:szCs w:val="28"/>
          <w:highlight w:val="none"/>
          <w:lang w:val="en-US" w:eastAsia="zh-CN" w:bidi="ar"/>
        </w:rPr>
        <w:t>作出应急预案并定期进行演练</w:t>
      </w:r>
      <w:r>
        <w:rPr>
          <w:rFonts w:hint="eastAsia" w:ascii="仿宋" w:hAnsi="仿宋" w:eastAsia="仿宋" w:cs="仿宋"/>
          <w:color w:val="auto"/>
          <w:kern w:val="0"/>
          <w:sz w:val="28"/>
          <w:szCs w:val="28"/>
          <w:highlight w:val="none"/>
          <w:lang w:val="en-US" w:eastAsia="en-US" w:bidi="ar"/>
        </w:rPr>
        <w:t>等</w:t>
      </w:r>
      <w:r>
        <w:rPr>
          <w:rFonts w:hint="eastAsia" w:ascii="仿宋" w:hAnsi="仿宋" w:eastAsia="仿宋" w:cs="仿宋"/>
          <w:color w:val="auto"/>
          <w:kern w:val="0"/>
          <w:sz w:val="28"/>
          <w:szCs w:val="28"/>
          <w:highlight w:val="none"/>
          <w:lang w:val="en-US" w:eastAsia="zh-CN" w:bidi="ar"/>
        </w:rPr>
        <w:t xml:space="preserve">。 </w:t>
      </w:r>
    </w:p>
    <w:p>
      <w:pPr>
        <w:keepNext w:val="0"/>
        <w:keepLines w:val="0"/>
        <w:widowControl/>
        <w:suppressLineNumbers w:val="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7.工程款拖欠和农民工工资支付</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1)工程款支付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确保工程款支付到承包方的指定账户，并保留票据以便于追踪和取证，如果工程款需要支付给个人，务必与该指定人员履行正规的委托授权手续，并开具规范的收款凭据。</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使用第三方支付时，需签订书面协议，并在行政机关或司法机关的组织协调下进行，以防止第三方诈骗。</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在资金不足时，若采用房屋抵债的方式，需确保开发商与购房人签订合同并开具有效发票，以避免未来可能出现的纠纷。</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2)农民工工资支付</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实行劳动用工实名制管理，确保每位农民工的身份得到核实。及时记录农民工的工作量和应付工资，并由农民工本人确认，开设并使用农民工工资专用账户，按规定存储工资保证金或提供金融机构保函。防范分包单位破产、包工头跑路等情况导致的工资拖欠问题。综上所述，在处理工程款和农民工工资支付时，必须严格遵守相关法律法规，确保支付流程透明、合规，并采取措施防范潜在的风险。</w:t>
      </w:r>
    </w:p>
    <w:p>
      <w:pPr>
        <w:keepNext w:val="0"/>
        <w:keepLines w:val="0"/>
        <w:widowControl/>
        <w:suppressLineNumbers w:val="0"/>
        <w:jc w:val="left"/>
        <w:rPr>
          <w:rFonts w:hint="default"/>
          <w:color w:val="auto"/>
          <w:sz w:val="20"/>
          <w:szCs w:val="22"/>
          <w:highlight w:val="none"/>
          <w:lang w:val="en-US"/>
        </w:rPr>
      </w:pPr>
      <w:r>
        <w:rPr>
          <w:rFonts w:hint="eastAsia" w:ascii="仿宋" w:hAnsi="仿宋" w:eastAsia="仿宋" w:cs="仿宋"/>
          <w:b/>
          <w:color w:val="auto"/>
          <w:kern w:val="0"/>
          <w:sz w:val="28"/>
          <w:szCs w:val="28"/>
          <w:highlight w:val="none"/>
          <w:lang w:val="en-US" w:eastAsia="zh-CN" w:bidi="ar"/>
        </w:rPr>
        <w:t>8.对周边交通影响</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1）对于重要的通行路段如果封闭施工要设计好临时通道，同时做好绕行公告并设置好警示标志，确保附近居民的日常出行不受影响；</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2）对居民主要通行的坑洼地段应当覆盖工程板或钢板，确保居民安全通行，防止意外事故的发生；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3）施工期合理安排运输时间，尽量避开车流量大的日期和高峰期，缓解道路拥挤。</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9.施工安全卫生与职业健康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1）施工单位对机械操作人员进行岗前培训，确保操作人员熟悉机械设备及其操作程序，并要求操作人员严格遵守相关操作规程，保证施工安全；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2）敦促施工单位完善各项安全生产管理制度，文明施工、安全施工，设备在安装过程中，要确保安装工程的规范化和科学化，有效做好风险管理工作，确保风电项目的顺利进行。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3）严禁建设施工单位压缩工期、突击生产，将合理定额工期作为不可逾越的“红线”；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4)要制定规范的管理制度，应制定有效的管理制度来加强设备管理，确保设备的及时维护，避免停产现象的出现。 </w:t>
      </w:r>
    </w:p>
    <w:p>
      <w:pPr>
        <w:keepNext w:val="0"/>
        <w:keepLines w:val="0"/>
        <w:widowControl/>
        <w:suppressLineNumbers w:val="0"/>
        <w:jc w:val="left"/>
        <w:rPr>
          <w:color w:val="auto"/>
          <w:sz w:val="20"/>
          <w:szCs w:val="22"/>
          <w:highlight w:val="none"/>
        </w:rPr>
      </w:pPr>
      <w:r>
        <w:rPr>
          <w:rFonts w:hint="eastAsia" w:ascii="仿宋" w:hAnsi="仿宋" w:eastAsia="仿宋" w:cs="仿宋"/>
          <w:b/>
          <w:color w:val="auto"/>
          <w:kern w:val="0"/>
          <w:sz w:val="28"/>
          <w:szCs w:val="28"/>
          <w:highlight w:val="none"/>
          <w:lang w:val="en-US" w:eastAsia="zh-CN" w:bidi="ar"/>
        </w:rPr>
        <w:t xml:space="preserve">10.社会治安和公共安全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1）项目方与当地有关部门配合，加强村民和施工人员法制教育；施工单位对施工外来人员的教育管理工作，充分尊重当地群众的生活习惯、宗教信仰和风俗特点；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在项目施工过程中，对外来务工人员要统一严格管理，工人信息要明细登记，工人的详细情况包括身份证号、电话号码、家庭住址都要登记，从根本上杜绝违法犯罪案件，保障建设人员和项目所在地村民的人身财产安全；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打击违法犯罪活动，营造良好环境；施工单位及时兑现工人工资，若出现拖欠问题，工人在劳动部门的配合下，有权代扣施工单位的工程结算款用于发放施工人员尤其是民工工资；开展形式多样、内容丰富的“地企共建”活动，增进了解与友谊，共建和谐社会。 </w:t>
      </w:r>
    </w:p>
    <w:p>
      <w:pPr>
        <w:rPr>
          <w:rFonts w:hint="eastAsia"/>
          <w:color w:val="auto"/>
          <w:highlight w:val="none"/>
          <w:lang w:val="en-US" w:eastAsia="zh-CN"/>
        </w:rPr>
      </w:pPr>
      <w:r>
        <w:rPr>
          <w:rFonts w:hint="eastAsia"/>
          <w:color w:val="auto"/>
          <w:highlight w:val="none"/>
          <w:lang w:val="en-US" w:eastAsia="zh-CN"/>
        </w:rPr>
        <w:br w:type="page"/>
      </w:r>
    </w:p>
    <w:p>
      <w:pPr>
        <w:pStyle w:val="2"/>
        <w:bidi w:val="0"/>
        <w:jc w:val="center"/>
        <w:rPr>
          <w:color w:val="auto"/>
          <w:highlight w:val="none"/>
        </w:rPr>
      </w:pPr>
      <w:bookmarkStart w:id="26" w:name="_Toc15908"/>
      <w:bookmarkStart w:id="27" w:name="_Toc20678"/>
      <w:r>
        <w:rPr>
          <w:rFonts w:hint="eastAsia"/>
          <w:color w:val="auto"/>
          <w:highlight w:val="none"/>
          <w:lang w:val="en-US" w:eastAsia="zh-CN"/>
        </w:rPr>
        <w:t>第七章 风 险 等 级</w:t>
      </w:r>
      <w:bookmarkEnd w:id="26"/>
      <w:bookmarkEnd w:id="27"/>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通过采取风险防范和化解措施后，本项目的风险影响程度将进一步降低，影响范围将进一步缩小，发生风险的概率将进一步减小。落实措施前后各风险因素的风险程度如下表。 </w:t>
      </w:r>
    </w:p>
    <w:p>
      <w:pPr>
        <w:keepNext w:val="0"/>
        <w:keepLines w:val="0"/>
        <w:widowControl/>
        <w:suppressLineNumbers w:val="0"/>
        <w:jc w:val="center"/>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表 7-1 措施前后各因素风险变化对比表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2876"/>
        <w:gridCol w:w="1053"/>
        <w:gridCol w:w="995"/>
        <w:gridCol w:w="922"/>
        <w:gridCol w:w="947"/>
        <w:gridCol w:w="948"/>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序号</w:t>
            </w:r>
          </w:p>
        </w:tc>
        <w:tc>
          <w:tcPr>
            <w:tcW w:w="2876"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风险因素（W）</w:t>
            </w:r>
          </w:p>
        </w:tc>
        <w:tc>
          <w:tcPr>
            <w:tcW w:w="2048" w:type="dxa"/>
            <w:gridSpan w:val="2"/>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风险概率（p）</w:t>
            </w:r>
          </w:p>
        </w:tc>
        <w:tc>
          <w:tcPr>
            <w:tcW w:w="1869" w:type="dxa"/>
            <w:gridSpan w:val="2"/>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影响程度（q）</w:t>
            </w:r>
          </w:p>
        </w:tc>
        <w:tc>
          <w:tcPr>
            <w:tcW w:w="1912" w:type="dxa"/>
            <w:gridSpan w:val="2"/>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风险程度（R）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13"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2876"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1053"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措施前</w:t>
            </w:r>
          </w:p>
        </w:tc>
        <w:tc>
          <w:tcPr>
            <w:tcW w:w="995"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措施后</w:t>
            </w:r>
          </w:p>
        </w:tc>
        <w:tc>
          <w:tcPr>
            <w:tcW w:w="922"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措施前</w:t>
            </w:r>
          </w:p>
        </w:tc>
        <w:tc>
          <w:tcPr>
            <w:tcW w:w="947"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措施后</w:t>
            </w:r>
          </w:p>
        </w:tc>
        <w:tc>
          <w:tcPr>
            <w:tcW w:w="948"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措施前</w:t>
            </w:r>
          </w:p>
        </w:tc>
        <w:tc>
          <w:tcPr>
            <w:tcW w:w="964"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措施后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287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0.5</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0.225</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287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大气污染物排放</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0.32</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947"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0.35</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287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水体污染物排放</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0.32</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0.34</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0.17</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0.1088</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p>
        </w:tc>
        <w:tc>
          <w:tcPr>
            <w:tcW w:w="28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噪声影响</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0.22</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0.25</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0.075</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28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固体废弃物及其二次污染</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0.28</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0.35</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0.105</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w:t>
            </w:r>
          </w:p>
        </w:tc>
        <w:tc>
          <w:tcPr>
            <w:tcW w:w="28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文明施工和质量管理</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0.35</w:t>
            </w:r>
          </w:p>
        </w:tc>
        <w:tc>
          <w:tcPr>
            <w:tcW w:w="995"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0.16</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0.5</w:t>
            </w:r>
          </w:p>
        </w:tc>
        <w:tc>
          <w:tcPr>
            <w:tcW w:w="947"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0.30 </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0.175</w:t>
            </w:r>
          </w:p>
        </w:tc>
        <w:tc>
          <w:tcPr>
            <w:tcW w:w="964"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w:t>
            </w:r>
          </w:p>
        </w:tc>
        <w:tc>
          <w:tcPr>
            <w:tcW w:w="28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工程款拖欠和农民工工资支付</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0.41</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0.38</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0.62</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0.57 </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0.2542</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2876"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对周边交通影响</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0.65</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0.2925</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w:t>
            </w:r>
          </w:p>
        </w:tc>
        <w:tc>
          <w:tcPr>
            <w:tcW w:w="2876"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施工安全、卫生与职业健康</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0.45</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0.21</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0.32</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3"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w:t>
            </w:r>
          </w:p>
        </w:tc>
        <w:tc>
          <w:tcPr>
            <w:tcW w:w="2876"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社会治安和公共安全</w:t>
            </w:r>
          </w:p>
        </w:tc>
        <w:tc>
          <w:tcPr>
            <w:tcW w:w="105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0.25</w:t>
            </w:r>
          </w:p>
        </w:tc>
        <w:tc>
          <w:tcPr>
            <w:tcW w:w="995"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0.22</w:t>
            </w:r>
          </w:p>
        </w:tc>
        <w:tc>
          <w:tcPr>
            <w:tcW w:w="92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0.4</w:t>
            </w:r>
          </w:p>
        </w:tc>
        <w:tc>
          <w:tcPr>
            <w:tcW w:w="947"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0.23</w:t>
            </w:r>
          </w:p>
        </w:tc>
        <w:tc>
          <w:tcPr>
            <w:tcW w:w="948"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w:t>
            </w:r>
          </w:p>
        </w:tc>
        <w:tc>
          <w:tcPr>
            <w:tcW w:w="96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0.0506</w:t>
            </w:r>
          </w:p>
        </w:tc>
      </w:tr>
    </w:tbl>
    <w:p>
      <w:pPr>
        <w:keepNext w:val="0"/>
        <w:keepLines w:val="0"/>
        <w:widowControl/>
        <w:suppressLineNumbers w:val="0"/>
        <w:jc w:val="center"/>
        <w:rPr>
          <w:rFonts w:ascii="仿宋" w:hAnsi="仿宋" w:eastAsia="仿宋" w:cs="仿宋"/>
          <w:b/>
          <w:color w:val="auto"/>
          <w:kern w:val="0"/>
          <w:sz w:val="28"/>
          <w:szCs w:val="28"/>
          <w:highlight w:val="none"/>
          <w:lang w:val="en-US" w:eastAsia="zh-CN" w:bidi="ar"/>
        </w:rPr>
      </w:pPr>
      <w:r>
        <w:rPr>
          <w:rFonts w:ascii="仿宋" w:hAnsi="仿宋" w:eastAsia="仿宋" w:cs="仿宋"/>
          <w:b/>
          <w:color w:val="auto"/>
          <w:kern w:val="0"/>
          <w:sz w:val="28"/>
          <w:szCs w:val="28"/>
          <w:highlight w:val="none"/>
          <w:lang w:val="en-US" w:eastAsia="zh-CN" w:bidi="ar"/>
        </w:rPr>
        <w:t>表 7-2 拟建项目风险化解后的综合风险指数计算表</w:t>
      </w:r>
    </w:p>
    <w:tbl>
      <w:tblPr>
        <w:tblStyle w:val="13"/>
        <w:tblW w:w="9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493"/>
        <w:gridCol w:w="852"/>
        <w:gridCol w:w="942"/>
        <w:gridCol w:w="942"/>
        <w:gridCol w:w="942"/>
        <w:gridCol w:w="702"/>
        <w:gridCol w:w="712"/>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809"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序号</w:t>
            </w:r>
          </w:p>
        </w:tc>
        <w:tc>
          <w:tcPr>
            <w:tcW w:w="2493"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风险因素</w:t>
            </w:r>
          </w:p>
        </w:tc>
        <w:tc>
          <w:tcPr>
            <w:tcW w:w="852" w:type="dxa"/>
            <w:vMerge w:val="restart"/>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权重(I)</w:t>
            </w:r>
          </w:p>
        </w:tc>
        <w:tc>
          <w:tcPr>
            <w:tcW w:w="4240" w:type="dxa"/>
            <w:gridSpan w:val="5"/>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风险程度(R)</w:t>
            </w:r>
          </w:p>
        </w:tc>
        <w:tc>
          <w:tcPr>
            <w:tcW w:w="1043"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风险指数(T)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2493"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852" w:type="dxa"/>
            <w:vMerge w:val="continue"/>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p>
        </w:tc>
        <w:tc>
          <w:tcPr>
            <w:tcW w:w="942"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微小</w:t>
            </w:r>
          </w:p>
        </w:tc>
        <w:tc>
          <w:tcPr>
            <w:tcW w:w="942"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较小</w:t>
            </w:r>
          </w:p>
        </w:tc>
        <w:tc>
          <w:tcPr>
            <w:tcW w:w="942"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一般</w:t>
            </w:r>
          </w:p>
        </w:tc>
        <w:tc>
          <w:tcPr>
            <w:tcW w:w="702"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较大</w:t>
            </w:r>
          </w:p>
        </w:tc>
        <w:tc>
          <w:tcPr>
            <w:tcW w:w="712" w:type="dxa"/>
            <w:vAlign w:val="center"/>
          </w:tcPr>
          <w:p>
            <w:pPr>
              <w:keepNext w:val="0"/>
              <w:keepLines w:val="0"/>
              <w:widowControl/>
              <w:suppressLineNumbers w:val="0"/>
              <w:jc w:val="center"/>
              <w:rPr>
                <w:rFonts w:hint="default"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重大</w:t>
            </w:r>
          </w:p>
        </w:tc>
        <w:tc>
          <w:tcPr>
            <w:tcW w:w="1043"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T=I*R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809" w:type="dxa"/>
            <w:vAlign w:val="center"/>
          </w:tcPr>
          <w:p>
            <w:pPr>
              <w:keepNext w:val="0"/>
              <w:keepLines w:val="0"/>
              <w:widowControl/>
              <w:suppressLineNumbers w:val="0"/>
              <w:jc w:val="center"/>
              <w:textAlignment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管线搬迁及绿化迁移方案</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0.18</w:t>
            </w: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大气污染物排放</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0.07</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0.112</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水体污染物排放</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0.05</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0.034</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噪声影响</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0.088</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5</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固体废弃物及其二次污染</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0.16</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0.084</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0.01344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6</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文明施工和质量管理</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0.12</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0.048</w:t>
            </w: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7</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工程款拖欠和农民工工资支付</w:t>
            </w:r>
          </w:p>
        </w:tc>
        <w:tc>
          <w:tcPr>
            <w:tcW w:w="85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0.12</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0.2166</w:t>
            </w: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0.025992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8</w:t>
            </w:r>
          </w:p>
        </w:tc>
        <w:tc>
          <w:tcPr>
            <w:tcW w:w="2493"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对周边交通影响</w:t>
            </w:r>
          </w:p>
        </w:tc>
        <w:tc>
          <w:tcPr>
            <w:tcW w:w="85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0.09</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0.09</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9</w:t>
            </w:r>
          </w:p>
        </w:tc>
        <w:tc>
          <w:tcPr>
            <w:tcW w:w="2493" w:type="dxa"/>
            <w:vAlign w:val="center"/>
          </w:tcPr>
          <w:p>
            <w:pPr>
              <w:keepNext w:val="0"/>
              <w:keepLines w:val="0"/>
              <w:widowControl/>
              <w:suppressLineNumbers w:val="0"/>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施工安全、卫生与职业健康</w:t>
            </w:r>
          </w:p>
        </w:tc>
        <w:tc>
          <w:tcPr>
            <w:tcW w:w="85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0.12</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0.0506</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0.008064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09" w:type="dxa"/>
            <w:vAlign w:val="center"/>
          </w:tcPr>
          <w:p>
            <w:pPr>
              <w:keepNext w:val="0"/>
              <w:keepLines w:val="0"/>
              <w:widowControl/>
              <w:suppressLineNumbers w:val="0"/>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10</w:t>
            </w:r>
          </w:p>
        </w:tc>
        <w:tc>
          <w:tcPr>
            <w:tcW w:w="249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社会治安和公共安全</w:t>
            </w:r>
          </w:p>
        </w:tc>
        <w:tc>
          <w:tcPr>
            <w:tcW w:w="85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0.11</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0.0506</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0.005566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9"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p>
        </w:tc>
        <w:tc>
          <w:tcPr>
            <w:tcW w:w="2493" w:type="dxa"/>
            <w:vAlign w:val="center"/>
          </w:tcPr>
          <w:p>
            <w:pPr>
              <w:keepNext w:val="0"/>
              <w:keepLines w:val="0"/>
              <w:widowControl/>
              <w:suppressLineNumbers w:val="0"/>
              <w:jc w:val="center"/>
              <w:rPr>
                <w:rFonts w:hint="eastAsia" w:ascii="仿宋" w:hAnsi="仿宋" w:eastAsia="仿宋" w:cs="仿宋"/>
                <w:color w:val="auto"/>
                <w:kern w:val="0"/>
                <w:sz w:val="24"/>
                <w:szCs w:val="24"/>
                <w:highlight w:val="none"/>
                <w:vertAlign w:val="baseline"/>
                <w:lang w:val="en-US" w:eastAsia="zh-CN" w:bidi="ar"/>
              </w:rPr>
            </w:pPr>
            <w:r>
              <w:rPr>
                <w:rFonts w:hint="eastAsia" w:ascii="仿宋" w:hAnsi="仿宋" w:eastAsia="仿宋" w:cs="仿宋"/>
                <w:color w:val="auto"/>
                <w:kern w:val="0"/>
                <w:sz w:val="24"/>
                <w:szCs w:val="24"/>
                <w:highlight w:val="none"/>
                <w:vertAlign w:val="baseline"/>
                <w:lang w:val="en-US" w:eastAsia="zh-CN" w:bidi="ar"/>
              </w:rPr>
              <w:t>汇总</w:t>
            </w:r>
          </w:p>
        </w:tc>
        <w:tc>
          <w:tcPr>
            <w:tcW w:w="85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 xml:space="preserve">1.000 </w:t>
            </w: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94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0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712"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043" w:type="dxa"/>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0.097902</w:t>
            </w:r>
          </w:p>
        </w:tc>
      </w:tr>
    </w:tbl>
    <w:p>
      <w:pPr>
        <w:keepNext w:val="0"/>
        <w:keepLines w:val="0"/>
        <w:widowControl/>
        <w:suppressLineNumbers w:val="0"/>
        <w:jc w:val="center"/>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表 7-3 风险等级评判参考标准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2556"/>
        <w:gridCol w:w="2496"/>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25"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风险等级</w:t>
            </w:r>
          </w:p>
        </w:tc>
        <w:tc>
          <w:tcPr>
            <w:tcW w:w="2556"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高（重大负面影响）</w:t>
            </w:r>
          </w:p>
        </w:tc>
        <w:tc>
          <w:tcPr>
            <w:tcW w:w="2496"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中（较大负面影响）</w:t>
            </w:r>
          </w:p>
        </w:tc>
        <w:tc>
          <w:tcPr>
            <w:tcW w:w="2560" w:type="dxa"/>
            <w:vAlign w:val="center"/>
          </w:tcPr>
          <w:p>
            <w:pPr>
              <w:keepNext w:val="0"/>
              <w:keepLines w:val="0"/>
              <w:widowControl/>
              <w:suppressLineNumbers w:val="0"/>
              <w:jc w:val="center"/>
              <w:rPr>
                <w:rFonts w:hint="eastAsia" w:ascii="仿宋" w:hAnsi="仿宋" w:eastAsia="仿宋" w:cs="仿宋"/>
                <w:b/>
                <w:bCs w:val="0"/>
                <w:color w:val="auto"/>
                <w:kern w:val="0"/>
                <w:sz w:val="24"/>
                <w:szCs w:val="24"/>
                <w:highlight w:val="none"/>
                <w:vertAlign w:val="baseline"/>
                <w:lang w:val="en-US" w:eastAsia="zh-CN" w:bidi="ar"/>
              </w:rPr>
            </w:pPr>
            <w:r>
              <w:rPr>
                <w:rFonts w:hint="eastAsia" w:ascii="仿宋" w:hAnsi="仿宋" w:eastAsia="仿宋" w:cs="仿宋"/>
                <w:b/>
                <w:bCs w:val="0"/>
                <w:color w:val="auto"/>
                <w:kern w:val="0"/>
                <w:sz w:val="24"/>
                <w:szCs w:val="24"/>
                <w:highlight w:val="none"/>
                <w:vertAlign w:val="baseline"/>
                <w:lang w:val="en-US" w:eastAsia="zh-CN" w:bidi="ar"/>
              </w:rPr>
              <w:t>低（一般负面影响）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总体评判标准</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大部分群众对项目建设实施有意见、反应特别强烈，可能引发大规模事件</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部分群众对项目建设实施有意见、反应特别强烈，可能引发大规模事件</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多数群众理解支持，但少部分群众对项目建设实施有意见 群体性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可能引发风险事件评判标准</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如冲击、围攻党政机关、要害部门及重点地区、部位、场所，发生打、砸、抢、烧等集体械斗、聚众闹事、人员伤亡事件，非法集合、示威、课等</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如集体上访、请愿、发生极端个人事件，围堵施工现场，堵塞、阻断交通，媒体（网络）出现负面舆情等游行、罢工、罢市</w:t>
            </w:r>
            <w:r>
              <w:rPr>
                <w:rFonts w:hint="eastAsia" w:ascii="仿宋" w:hAnsi="仿宋" w:eastAsia="仿宋" w:cs="仿宋"/>
                <w:b w:val="0"/>
                <w:bCs/>
                <w:color w:val="auto"/>
                <w:kern w:val="0"/>
                <w:sz w:val="24"/>
                <w:szCs w:val="24"/>
                <w:highlight w:val="none"/>
                <w:vertAlign w:val="baseline"/>
                <w:lang w:val="en-US" w:eastAsia="zh-CN" w:bidi="ar"/>
              </w:rPr>
              <w:t>等</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如个人非正常上访、静坐、拉横幅、喊口号、散发宣传品，散布有害信息等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风险事件参与人数评判标准</w:t>
            </w:r>
          </w:p>
        </w:tc>
        <w:tc>
          <w:tcPr>
            <w:tcW w:w="255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200人以上</w:t>
            </w:r>
          </w:p>
        </w:tc>
        <w:tc>
          <w:tcPr>
            <w:tcW w:w="2496"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20—200人</w:t>
            </w:r>
          </w:p>
        </w:tc>
        <w:tc>
          <w:tcPr>
            <w:tcW w:w="2560" w:type="dxa"/>
            <w:vAlign w:val="center"/>
          </w:tcPr>
          <w:p>
            <w:pPr>
              <w:keepNext w:val="0"/>
              <w:keepLines w:val="0"/>
              <w:widowControl/>
              <w:suppressLineNumbers w:val="0"/>
              <w:jc w:val="center"/>
              <w:rPr>
                <w:rFonts w:hint="default"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20人以下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zh-CN" w:bidi="ar"/>
              </w:rPr>
              <w:t>风险程度</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2 个及以上重大或 5 个以上较大单因素风险</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1 个重大或者 2 到 4 个较大单因素风险</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1 个较大或者 1 到 4 个一般单因素风险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5"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综合风险指数评判标准</w:t>
            </w:r>
          </w:p>
        </w:tc>
        <w:tc>
          <w:tcPr>
            <w:tcW w:w="255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3</w:t>
            </w:r>
          </w:p>
        </w:tc>
        <w:tc>
          <w:tcPr>
            <w:tcW w:w="2496"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3</w:t>
            </w: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1（含）</w:t>
            </w:r>
          </w:p>
        </w:tc>
        <w:tc>
          <w:tcPr>
            <w:tcW w:w="2560" w:type="dxa"/>
            <w:vAlign w:val="center"/>
          </w:tcPr>
          <w:p>
            <w:pPr>
              <w:keepNext w:val="0"/>
              <w:keepLines w:val="0"/>
              <w:widowControl/>
              <w:suppressLineNumbers w:val="0"/>
              <w:jc w:val="center"/>
              <w:rPr>
                <w:rFonts w:hint="eastAsia" w:ascii="仿宋" w:hAnsi="仿宋" w:eastAsia="仿宋" w:cs="仿宋"/>
                <w:b w:val="0"/>
                <w:bCs/>
                <w:color w:val="auto"/>
                <w:kern w:val="0"/>
                <w:sz w:val="24"/>
                <w:szCs w:val="24"/>
                <w:highlight w:val="none"/>
                <w:vertAlign w:val="baseline"/>
                <w:lang w:val="en-US" w:eastAsia="zh-CN" w:bidi="ar"/>
              </w:rPr>
            </w:pPr>
            <w:r>
              <w:rPr>
                <w:rFonts w:hint="eastAsia" w:ascii="仿宋" w:hAnsi="仿宋" w:eastAsia="仿宋" w:cs="仿宋"/>
                <w:b w:val="0"/>
                <w:bCs/>
                <w:color w:val="auto"/>
                <w:kern w:val="0"/>
                <w:sz w:val="24"/>
                <w:szCs w:val="24"/>
                <w:highlight w:val="none"/>
                <w:vertAlign w:val="baseline"/>
                <w:lang w:val="en-US" w:eastAsia="en-US" w:bidi="ar"/>
              </w:rPr>
              <w:t>＜0.</w:t>
            </w:r>
            <w:r>
              <w:rPr>
                <w:rFonts w:hint="eastAsia" w:ascii="仿宋" w:hAnsi="仿宋" w:eastAsia="仿宋" w:cs="仿宋"/>
                <w:b w:val="0"/>
                <w:bCs/>
                <w:color w:val="auto"/>
                <w:kern w:val="0"/>
                <w:sz w:val="24"/>
                <w:szCs w:val="24"/>
                <w:highlight w:val="none"/>
                <w:vertAlign w:val="baseline"/>
                <w:lang w:val="en-US" w:eastAsia="zh-CN" w:bidi="ar"/>
              </w:rPr>
              <w:t>1</w:t>
            </w:r>
          </w:p>
        </w:tc>
      </w:tr>
    </w:tbl>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通过上述分析，落实风险防范和化解措施后，从单风险因素定量计算可知，本项目无较大风险，有2个一般风险，有 7个较小单风险因素，其余为微风险因素，对照单因素风险程度评判标准属于低风险等级。通过定性分析和定量计算，本项目综合风险指数为0.097902，对照评判参考标准，属于低风险等级范围。 </w:t>
      </w:r>
    </w:p>
    <w:p>
      <w:pPr>
        <w:keepNext w:val="0"/>
        <w:keepLines w:val="0"/>
        <w:widowControl/>
        <w:suppressLineNumbers w:val="0"/>
        <w:ind w:firstLine="562" w:firstLineChars="200"/>
        <w:jc w:val="left"/>
        <w:rPr>
          <w:rFonts w:hint="eastAsia" w:ascii="仿宋" w:hAnsi="仿宋" w:eastAsia="仿宋" w:cs="仿宋"/>
          <w:b/>
          <w:color w:val="auto"/>
          <w:kern w:val="0"/>
          <w:sz w:val="28"/>
          <w:szCs w:val="28"/>
          <w:highlight w:val="none"/>
          <w:lang w:val="en-US" w:eastAsia="zh-CN" w:bidi="ar"/>
        </w:rPr>
      </w:pPr>
      <w:r>
        <w:rPr>
          <w:rFonts w:hint="eastAsia" w:ascii="仿宋" w:hAnsi="仿宋" w:eastAsia="仿宋" w:cs="仿宋"/>
          <w:b/>
          <w:color w:val="auto"/>
          <w:kern w:val="0"/>
          <w:sz w:val="28"/>
          <w:szCs w:val="28"/>
          <w:highlight w:val="none"/>
          <w:lang w:val="en-US" w:eastAsia="zh-CN" w:bidi="ar"/>
        </w:rPr>
        <w:t>落实风险防范和化解措施后，本项目风险等级为低风险等级。</w:t>
      </w:r>
    </w:p>
    <w:p>
      <w:pPr>
        <w:rPr>
          <w:rFonts w:hint="eastAsia"/>
          <w:color w:val="auto"/>
          <w:highlight w:val="none"/>
          <w:lang w:val="en-US" w:eastAsia="zh-CN"/>
        </w:rPr>
      </w:pPr>
    </w:p>
    <w:p>
      <w:pPr>
        <w:rPr>
          <w:rFonts w:hint="eastAsia"/>
          <w:color w:val="auto"/>
          <w:highlight w:val="none"/>
          <w:lang w:val="en-US" w:eastAsia="zh-CN"/>
        </w:rPr>
      </w:pPr>
      <w:bookmarkStart w:id="28" w:name="_Toc4540"/>
      <w:r>
        <w:rPr>
          <w:rFonts w:hint="eastAsia"/>
          <w:color w:val="auto"/>
          <w:highlight w:val="none"/>
          <w:lang w:val="en-US" w:eastAsia="zh-CN"/>
        </w:rPr>
        <w:br w:type="page"/>
      </w:r>
      <w:bookmarkEnd w:id="28"/>
    </w:p>
    <w:p>
      <w:pPr>
        <w:pStyle w:val="2"/>
        <w:bidi w:val="0"/>
        <w:jc w:val="center"/>
        <w:rPr>
          <w:color w:val="auto"/>
          <w:highlight w:val="none"/>
        </w:rPr>
      </w:pPr>
      <w:bookmarkStart w:id="29" w:name="_Toc1525"/>
      <w:r>
        <w:rPr>
          <w:rFonts w:hint="eastAsia"/>
          <w:color w:val="auto"/>
          <w:highlight w:val="none"/>
          <w:lang w:val="en-US" w:eastAsia="zh-CN"/>
        </w:rPr>
        <w:t>第八章 项目评估结论</w:t>
      </w:r>
      <w:bookmarkEnd w:id="29"/>
    </w:p>
    <w:p>
      <w:pPr>
        <w:keepNext w:val="0"/>
        <w:keepLines w:val="0"/>
        <w:widowControl/>
        <w:suppressLineNumbers w:val="0"/>
        <w:jc w:val="left"/>
        <w:outlineLvl w:val="1"/>
        <w:rPr>
          <w:color w:val="auto"/>
          <w:sz w:val="20"/>
          <w:szCs w:val="22"/>
          <w:highlight w:val="none"/>
        </w:rPr>
      </w:pPr>
      <w:bookmarkStart w:id="30" w:name="_Toc25134"/>
      <w:r>
        <w:rPr>
          <w:rFonts w:hint="eastAsia" w:ascii="仿宋" w:hAnsi="仿宋" w:eastAsia="仿宋" w:cs="仿宋"/>
          <w:b/>
          <w:color w:val="auto"/>
          <w:kern w:val="0"/>
          <w:sz w:val="28"/>
          <w:szCs w:val="28"/>
          <w:highlight w:val="none"/>
          <w:lang w:val="en-US" w:eastAsia="zh-CN" w:bidi="ar"/>
        </w:rPr>
        <w:t>8.1 评估结论</w:t>
      </w:r>
      <w:bookmarkEnd w:id="30"/>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经过对2025年荣成市区输配电设备更新改造项目土建工程项目合法性、合理性、可行性、可控性的论证，按照定量定性分析，发生风险的可能较小，</w:t>
      </w:r>
      <w:r>
        <w:rPr>
          <w:rFonts w:hint="eastAsia" w:ascii="仿宋" w:hAnsi="仿宋" w:eastAsia="仿宋" w:cs="仿宋"/>
          <w:b/>
          <w:color w:val="auto"/>
          <w:kern w:val="0"/>
          <w:sz w:val="28"/>
          <w:szCs w:val="28"/>
          <w:highlight w:val="none"/>
          <w:lang w:val="en-US" w:eastAsia="zh-CN" w:bidi="ar"/>
        </w:rPr>
        <w:t xml:space="preserve">确定风险等级为低风险。 </w:t>
      </w:r>
    </w:p>
    <w:p>
      <w:pPr>
        <w:keepNext w:val="0"/>
        <w:keepLines w:val="0"/>
        <w:widowControl/>
        <w:suppressLineNumbers w:val="0"/>
        <w:jc w:val="left"/>
        <w:outlineLvl w:val="1"/>
        <w:rPr>
          <w:color w:val="auto"/>
          <w:sz w:val="20"/>
          <w:szCs w:val="22"/>
          <w:highlight w:val="none"/>
        </w:rPr>
      </w:pPr>
      <w:bookmarkStart w:id="31" w:name="_Toc30193"/>
      <w:r>
        <w:rPr>
          <w:rFonts w:hint="eastAsia" w:ascii="仿宋" w:hAnsi="仿宋" w:eastAsia="仿宋" w:cs="仿宋"/>
          <w:b/>
          <w:color w:val="auto"/>
          <w:kern w:val="0"/>
          <w:sz w:val="28"/>
          <w:szCs w:val="28"/>
          <w:highlight w:val="none"/>
          <w:lang w:val="en-US" w:eastAsia="zh-CN" w:bidi="ar"/>
        </w:rPr>
        <w:t>8.2 拟建项目主要风险防范措施</w:t>
      </w:r>
      <w:bookmarkEnd w:id="31"/>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（1）在项目施工阶段制定周密的施工计划，合理安排施工，采取有效的措施减少对周边环境影响。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（2）加强宣传和与居民的沟通，了解小区居民所担忧的问题，针对小区居民所提意见和关心的问题，项目单位及时答疑解惑，消除误解解决民众心理排斥问题。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（3）加强防范意识。项目单位在工程进行过程中要始终保持防范意识，针对可能出现的风险及时采取相关的防范措施；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4）属地政府应根据该项目特点，成立维稳领导小组，及时处理在项目建设和运营期间出现的问题，增强相关人员化解矛盾、应对风险的处置能力，以便发生社会稳定事件时能够快速反应、及时处理，使事件影响控制在最小范围内、危害降至最低。 </w:t>
      </w:r>
    </w:p>
    <w:p>
      <w:pPr>
        <w:keepNext w:val="0"/>
        <w:keepLines w:val="0"/>
        <w:widowControl/>
        <w:suppressLineNumbers w:val="0"/>
        <w:jc w:val="left"/>
        <w:outlineLvl w:val="1"/>
        <w:rPr>
          <w:color w:val="auto"/>
          <w:sz w:val="20"/>
          <w:szCs w:val="22"/>
          <w:highlight w:val="none"/>
        </w:rPr>
      </w:pPr>
      <w:bookmarkStart w:id="32" w:name="_Toc17683"/>
      <w:r>
        <w:rPr>
          <w:rFonts w:hint="eastAsia" w:ascii="仿宋" w:hAnsi="仿宋" w:eastAsia="仿宋" w:cs="仿宋"/>
          <w:b/>
          <w:color w:val="auto"/>
          <w:kern w:val="0"/>
          <w:sz w:val="28"/>
          <w:szCs w:val="28"/>
          <w:highlight w:val="none"/>
          <w:lang w:val="en-US" w:eastAsia="zh-CN" w:bidi="ar"/>
        </w:rPr>
        <w:t>8.3 应急预案</w:t>
      </w:r>
      <w:bookmarkEnd w:id="32"/>
      <w:r>
        <w:rPr>
          <w:rFonts w:hint="eastAsia" w:ascii="仿宋" w:hAnsi="仿宋" w:eastAsia="仿宋" w:cs="仿宋"/>
          <w:b/>
          <w:color w:val="auto"/>
          <w:kern w:val="0"/>
          <w:sz w:val="28"/>
          <w:szCs w:val="28"/>
          <w:highlight w:val="none"/>
          <w:lang w:val="en-US" w:eastAsia="zh-CN" w:bidi="ar"/>
        </w:rPr>
        <w:t xml:space="preserve">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在该项目实施的整个阶段，存在多种风险因素，为了控制社会稳定风险，最大限度的降低风险事件的危害，建议当地政府及建设单位应成立维稳工作组织机构，明确维稳组织机构的工作职责；各单位可以各司其职、有条不紊的开展风险应对，及时化解矛盾，将事件危害控制在最小程度内。风险应急预案主要内容：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（1）指导思想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以习近平新时代中国特色社会主义思想和党的二十大精神</w:t>
      </w:r>
      <w:bookmarkStart w:id="33" w:name="_GoBack"/>
      <w:bookmarkEnd w:id="33"/>
      <w:r>
        <w:rPr>
          <w:rFonts w:hint="eastAsia" w:ascii="仿宋" w:hAnsi="仿宋" w:eastAsia="仿宋" w:cs="仿宋"/>
          <w:color w:val="auto"/>
          <w:kern w:val="0"/>
          <w:sz w:val="28"/>
          <w:szCs w:val="28"/>
          <w:highlight w:val="none"/>
          <w:lang w:val="en-US" w:eastAsia="zh-CN" w:bidi="ar"/>
        </w:rPr>
        <w:t xml:space="preserve">为指导，构建“集中领导、统一指挥、结构完整、功能全面、反应灵敏、运转迅速”的突发事件应急体系，全面提高应对突发事件的能力，有效预防、及时控制和消除发生的紧急突发事件，维护正常的社会秩序。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（2）处置突发事件遵循的原则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1）坚持“部门管理、分级负责”和“谁主管、谁负责”的原则。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2）坚持宜散不宜聚、宜解不宜结、宜快不宜慢、宜缓不宜激的原则，讲究策略，注意方式，正确做好上访事件现场处理工作。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3）坚持事前预防与事后应急相结合的原则。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4）坚持快速反应、科学应对的原则，及时就地依法解决问题与思想疏导教育相结合的原则。 </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5）坚持内紧外松、内外有别的原则。对内要及时掌握信息迅速研判，做好正面教育疏导工作，尽最大努力化解矛盾；对外要把握正确舆论导向，严格控制报道程序和范围，统一口径，避免事态无序扩大。</w:t>
      </w:r>
    </w:p>
    <w:p>
      <w:pPr>
        <w:keepNext w:val="0"/>
        <w:keepLines w:val="0"/>
        <w:widowControl/>
        <w:suppressLineNumbers w:val="0"/>
        <w:ind w:firstLine="560" w:firstLineChars="200"/>
        <w:jc w:val="left"/>
        <w:rPr>
          <w:color w:val="auto"/>
          <w:sz w:val="20"/>
          <w:szCs w:val="22"/>
          <w:highlight w:val="none"/>
        </w:rPr>
      </w:pPr>
      <w:r>
        <w:rPr>
          <w:rFonts w:hint="eastAsia" w:ascii="仿宋" w:hAnsi="仿宋" w:eastAsia="仿宋" w:cs="仿宋"/>
          <w:color w:val="auto"/>
          <w:kern w:val="0"/>
          <w:sz w:val="28"/>
          <w:szCs w:val="28"/>
          <w:highlight w:val="none"/>
          <w:lang w:val="en-US" w:eastAsia="zh-CN" w:bidi="ar"/>
        </w:rPr>
        <w:t xml:space="preserve">（3）组织机构及职责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 xml:space="preserve">建议属地政府应成立包括各相关职能部门在内的维稳工作领导小组，并明确各部门职责。建设单位应成立维稳工作组织机构，明确机构组成及其相应的维稳工作职责。 </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（4）预防预警机制</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 建立快速的情报信息网络，加强对征地可能引发的社会不稳定因素的掌握和研判，逐步形成完善的预警工作机制。对可能引发群体性事件的信息，特别是苗头性信息进行全面评估和预测，做到早发现、早报告、早控制、早解决。要特别强化情报信息工作，扩大信息收集的范围，增强信息分析的深度和广度，提高信息传报的效率。及时、客观、全面、准确的向项目单位、区政府等部门报送信息；不得瞒报、谎报、缓报。</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接到预警信息后迅速核实情况，情况属实的，在迅速上报信息的同时，要根据职责和规定的权限启动各自的应急预案，并考虑事件可能的方式、规模、影响，立即拟订相应工作措施，及时、有效地开展先期处置，控制事态发展，将事件消除在萌芽状态。同时，根据防控情况及时调整措施，并视情况安排人员、物资、资金和技术装备，防止事态扩大。</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（5）应急响应</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1）现场应急指挥机构到位，应急处置人员进入事发现场后，按职责分工迅速投入处置工作。</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2）主要负责人迅速赶赴现场，了解引发事件的起因和有关情况，提出工作方案，直接组织现场处置工作，并带头与政府和有关部门的负责人面对面地做群众工作，及时疏导化解矛盾冲突，尽快平息事态。</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3）对群众提出的要求，符合法规和政策规定的，当场表明解决问题的态度；无法当场明确表态解决的，责成有关工程评估主体限期研究解决；对确定因侵害群众利益的，据实向群众讲明情况，公开承认失误；对群众提出的不合理要求，讲清道理，有针对性地向上级相关主管部门汇报，积极引导群众支持征地。</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4）事件平息后，要继续做好群众工作，对承诺解决的问题必须尽快兑现，消除可能导致事件反复的不安定因素，进一步做好化解工作，并加强跟踪和督查，防止事件反复。</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（6）应急保障</w:t>
      </w:r>
    </w:p>
    <w:p>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积极组织开展群体性事件现场指挥人员及队伍的指挥和技术培训，增强对群体性事件的预防和应急处置能力，形成比较完善和规范的处置群体性事件的工作机制。</w:t>
      </w:r>
    </w:p>
    <w:p>
      <w:pPr>
        <w:rPr>
          <w:rFonts w:hint="eastAsia"/>
          <w:color w:val="auto"/>
          <w:highlight w:val="none"/>
          <w:lang w:val="en-US" w:eastAsia="zh-CN"/>
        </w:rPr>
      </w:pPr>
    </w:p>
    <w:sectPr>
      <w:footerReference r:id="rId3" w:type="default"/>
      <w:pgSz w:w="11906" w:h="16838"/>
      <w:pgMar w:top="1157" w:right="1179" w:bottom="1157" w:left="1406"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423023-6AA8-46A1-A468-BB2ABADE41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A519B68-A808-4909-8005-12AE6E41F3EF}"/>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B1167064-CAA8-4E3E-A67D-8D696AD3AB81}"/>
  </w:font>
  <w:font w:name="仿宋">
    <w:panose1 w:val="02010609060101010101"/>
    <w:charset w:val="86"/>
    <w:family w:val="auto"/>
    <w:pitch w:val="default"/>
    <w:sig w:usb0="800002BF" w:usb1="38CF7CFA" w:usb2="00000016" w:usb3="00000000" w:csb0="00040001" w:csb1="00000000"/>
    <w:embedRegular r:id="rId4" w:fontKey="{626057A6-DE24-4C4C-9849-F2E79C6D71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5ZjZlMWFiNjIyYjRmMGM0MjQ1MTUxYjIyNzkyOWQifQ=="/>
  </w:docVars>
  <w:rsids>
    <w:rsidRoot w:val="00000000"/>
    <w:rsid w:val="001F1D2C"/>
    <w:rsid w:val="00226402"/>
    <w:rsid w:val="002E5BCE"/>
    <w:rsid w:val="00627E6B"/>
    <w:rsid w:val="007F6C6F"/>
    <w:rsid w:val="00F76805"/>
    <w:rsid w:val="010264C8"/>
    <w:rsid w:val="01657609"/>
    <w:rsid w:val="018D3A93"/>
    <w:rsid w:val="019109E7"/>
    <w:rsid w:val="01B841E6"/>
    <w:rsid w:val="01BF5979"/>
    <w:rsid w:val="021610B0"/>
    <w:rsid w:val="02175523"/>
    <w:rsid w:val="0223605E"/>
    <w:rsid w:val="02423187"/>
    <w:rsid w:val="0243792C"/>
    <w:rsid w:val="02727C59"/>
    <w:rsid w:val="02783976"/>
    <w:rsid w:val="02AF46C6"/>
    <w:rsid w:val="02B7624C"/>
    <w:rsid w:val="02BF3353"/>
    <w:rsid w:val="02C32FE5"/>
    <w:rsid w:val="02C80BC3"/>
    <w:rsid w:val="02EA3A26"/>
    <w:rsid w:val="02EA4873"/>
    <w:rsid w:val="02EB4148"/>
    <w:rsid w:val="02F024E4"/>
    <w:rsid w:val="02FB568D"/>
    <w:rsid w:val="03000486"/>
    <w:rsid w:val="032A2EC2"/>
    <w:rsid w:val="03351867"/>
    <w:rsid w:val="03962305"/>
    <w:rsid w:val="03CA6453"/>
    <w:rsid w:val="03DD6186"/>
    <w:rsid w:val="04041965"/>
    <w:rsid w:val="040C7CA3"/>
    <w:rsid w:val="040D6E95"/>
    <w:rsid w:val="042F286F"/>
    <w:rsid w:val="04310280"/>
    <w:rsid w:val="043930DC"/>
    <w:rsid w:val="04406715"/>
    <w:rsid w:val="046643CE"/>
    <w:rsid w:val="047E3E3B"/>
    <w:rsid w:val="048A4AE6"/>
    <w:rsid w:val="048B7990"/>
    <w:rsid w:val="04BF6852"/>
    <w:rsid w:val="04CB2483"/>
    <w:rsid w:val="04CD7DC7"/>
    <w:rsid w:val="04E7176F"/>
    <w:rsid w:val="051B6ABC"/>
    <w:rsid w:val="052B7684"/>
    <w:rsid w:val="053174D2"/>
    <w:rsid w:val="05656433"/>
    <w:rsid w:val="05880374"/>
    <w:rsid w:val="058A7C48"/>
    <w:rsid w:val="059D3E1F"/>
    <w:rsid w:val="05A36F5B"/>
    <w:rsid w:val="05B60993"/>
    <w:rsid w:val="05DE61E6"/>
    <w:rsid w:val="060B6A3A"/>
    <w:rsid w:val="060D18C8"/>
    <w:rsid w:val="06420269"/>
    <w:rsid w:val="06966729"/>
    <w:rsid w:val="06BE334A"/>
    <w:rsid w:val="0701218C"/>
    <w:rsid w:val="07021CF2"/>
    <w:rsid w:val="070E6657"/>
    <w:rsid w:val="074C7458"/>
    <w:rsid w:val="074E2C2B"/>
    <w:rsid w:val="076444C8"/>
    <w:rsid w:val="076E3506"/>
    <w:rsid w:val="07B74F40"/>
    <w:rsid w:val="07D15F41"/>
    <w:rsid w:val="07E13D6B"/>
    <w:rsid w:val="07F86E1A"/>
    <w:rsid w:val="085A705F"/>
    <w:rsid w:val="087D3A94"/>
    <w:rsid w:val="08986B20"/>
    <w:rsid w:val="08A073E9"/>
    <w:rsid w:val="08A915C9"/>
    <w:rsid w:val="08B03E69"/>
    <w:rsid w:val="08D05773"/>
    <w:rsid w:val="08F24482"/>
    <w:rsid w:val="090A30E0"/>
    <w:rsid w:val="09257863"/>
    <w:rsid w:val="09364257"/>
    <w:rsid w:val="096D2029"/>
    <w:rsid w:val="09724120"/>
    <w:rsid w:val="09C0632E"/>
    <w:rsid w:val="09F977AC"/>
    <w:rsid w:val="0A1421D6"/>
    <w:rsid w:val="0A2A1F06"/>
    <w:rsid w:val="0A3D797F"/>
    <w:rsid w:val="0A4D480C"/>
    <w:rsid w:val="0A5627EE"/>
    <w:rsid w:val="0AC072B3"/>
    <w:rsid w:val="0AE82CF1"/>
    <w:rsid w:val="0AF34CBF"/>
    <w:rsid w:val="0AF70356"/>
    <w:rsid w:val="0B21104E"/>
    <w:rsid w:val="0B603F11"/>
    <w:rsid w:val="0B633415"/>
    <w:rsid w:val="0B641597"/>
    <w:rsid w:val="0B6E3B68"/>
    <w:rsid w:val="0B784132"/>
    <w:rsid w:val="0B7910E7"/>
    <w:rsid w:val="0B882C2D"/>
    <w:rsid w:val="0B941820"/>
    <w:rsid w:val="0B9E64BB"/>
    <w:rsid w:val="0BA17A99"/>
    <w:rsid w:val="0BB2614A"/>
    <w:rsid w:val="0BD705D9"/>
    <w:rsid w:val="0BF52FA0"/>
    <w:rsid w:val="0C133958"/>
    <w:rsid w:val="0C2C1AA3"/>
    <w:rsid w:val="0C3C5A1F"/>
    <w:rsid w:val="0C4214EC"/>
    <w:rsid w:val="0C4B1A54"/>
    <w:rsid w:val="0C564B9B"/>
    <w:rsid w:val="0C664AFA"/>
    <w:rsid w:val="0C7B6009"/>
    <w:rsid w:val="0CA228D6"/>
    <w:rsid w:val="0CBB186B"/>
    <w:rsid w:val="0CD143AE"/>
    <w:rsid w:val="0CD32E34"/>
    <w:rsid w:val="0CE03143"/>
    <w:rsid w:val="0D171E03"/>
    <w:rsid w:val="0D3327B5"/>
    <w:rsid w:val="0D526CAA"/>
    <w:rsid w:val="0D906017"/>
    <w:rsid w:val="0D95362E"/>
    <w:rsid w:val="0DE0513C"/>
    <w:rsid w:val="0DE40111"/>
    <w:rsid w:val="0E034A3B"/>
    <w:rsid w:val="0E0C3E36"/>
    <w:rsid w:val="0E0E51EC"/>
    <w:rsid w:val="0E176739"/>
    <w:rsid w:val="0E4B1F3E"/>
    <w:rsid w:val="0E605293"/>
    <w:rsid w:val="0E8F4521"/>
    <w:rsid w:val="0EA578A0"/>
    <w:rsid w:val="0EC23F1F"/>
    <w:rsid w:val="0ED80853"/>
    <w:rsid w:val="0ED97B98"/>
    <w:rsid w:val="0EF80318"/>
    <w:rsid w:val="0F26498A"/>
    <w:rsid w:val="0F2C7FC2"/>
    <w:rsid w:val="0F421593"/>
    <w:rsid w:val="0F706100"/>
    <w:rsid w:val="0F7068E8"/>
    <w:rsid w:val="0F735BF1"/>
    <w:rsid w:val="0F73799F"/>
    <w:rsid w:val="0F763B12"/>
    <w:rsid w:val="0F8F59FD"/>
    <w:rsid w:val="0F9351FD"/>
    <w:rsid w:val="0FBC1346"/>
    <w:rsid w:val="0FBF1763"/>
    <w:rsid w:val="0FF26FBD"/>
    <w:rsid w:val="10070F3C"/>
    <w:rsid w:val="100D1BA1"/>
    <w:rsid w:val="102A5457"/>
    <w:rsid w:val="10330CA8"/>
    <w:rsid w:val="10717692"/>
    <w:rsid w:val="108B0D18"/>
    <w:rsid w:val="10A143C7"/>
    <w:rsid w:val="10AD6EE0"/>
    <w:rsid w:val="10BB300D"/>
    <w:rsid w:val="10C761F4"/>
    <w:rsid w:val="10CC55B8"/>
    <w:rsid w:val="10F104E6"/>
    <w:rsid w:val="1106458A"/>
    <w:rsid w:val="11090198"/>
    <w:rsid w:val="1111746F"/>
    <w:rsid w:val="113B2880"/>
    <w:rsid w:val="11542778"/>
    <w:rsid w:val="11727009"/>
    <w:rsid w:val="1182036D"/>
    <w:rsid w:val="11887FE2"/>
    <w:rsid w:val="11A10294"/>
    <w:rsid w:val="11A53DD0"/>
    <w:rsid w:val="11B934E8"/>
    <w:rsid w:val="11CC0F45"/>
    <w:rsid w:val="11E46932"/>
    <w:rsid w:val="11E507BB"/>
    <w:rsid w:val="120B2110"/>
    <w:rsid w:val="12282CC2"/>
    <w:rsid w:val="1229395B"/>
    <w:rsid w:val="12515BD7"/>
    <w:rsid w:val="12630539"/>
    <w:rsid w:val="126C4F60"/>
    <w:rsid w:val="12701E1F"/>
    <w:rsid w:val="127C2EF1"/>
    <w:rsid w:val="12891287"/>
    <w:rsid w:val="12AC208B"/>
    <w:rsid w:val="12AF5663"/>
    <w:rsid w:val="12C624DB"/>
    <w:rsid w:val="12EF6F01"/>
    <w:rsid w:val="12F232D0"/>
    <w:rsid w:val="12F56902"/>
    <w:rsid w:val="12F72695"/>
    <w:rsid w:val="131359A0"/>
    <w:rsid w:val="1337349D"/>
    <w:rsid w:val="13391E64"/>
    <w:rsid w:val="1354060D"/>
    <w:rsid w:val="13817162"/>
    <w:rsid w:val="13854144"/>
    <w:rsid w:val="138546A5"/>
    <w:rsid w:val="138C4BAC"/>
    <w:rsid w:val="138C7281"/>
    <w:rsid w:val="13AA753A"/>
    <w:rsid w:val="13B74DFE"/>
    <w:rsid w:val="13BD2CCB"/>
    <w:rsid w:val="13C93DCD"/>
    <w:rsid w:val="13E64BE3"/>
    <w:rsid w:val="13EA56DA"/>
    <w:rsid w:val="13EB21F9"/>
    <w:rsid w:val="14426DCA"/>
    <w:rsid w:val="144B583E"/>
    <w:rsid w:val="145A112D"/>
    <w:rsid w:val="14740441"/>
    <w:rsid w:val="1474385A"/>
    <w:rsid w:val="14A01E6E"/>
    <w:rsid w:val="14C447F8"/>
    <w:rsid w:val="14C62012"/>
    <w:rsid w:val="14E86739"/>
    <w:rsid w:val="14F30E2B"/>
    <w:rsid w:val="150936FD"/>
    <w:rsid w:val="15175270"/>
    <w:rsid w:val="15210B5F"/>
    <w:rsid w:val="152B4878"/>
    <w:rsid w:val="1537146E"/>
    <w:rsid w:val="15785D0F"/>
    <w:rsid w:val="15AC0C45"/>
    <w:rsid w:val="15B01759"/>
    <w:rsid w:val="15B825AF"/>
    <w:rsid w:val="15D87EFC"/>
    <w:rsid w:val="15F276FA"/>
    <w:rsid w:val="15F31839"/>
    <w:rsid w:val="1606156C"/>
    <w:rsid w:val="16082424"/>
    <w:rsid w:val="16307EC6"/>
    <w:rsid w:val="16362638"/>
    <w:rsid w:val="163A2FC4"/>
    <w:rsid w:val="1669131F"/>
    <w:rsid w:val="166E7112"/>
    <w:rsid w:val="166F37E9"/>
    <w:rsid w:val="16946F9D"/>
    <w:rsid w:val="16F47617"/>
    <w:rsid w:val="175D4FCA"/>
    <w:rsid w:val="17654071"/>
    <w:rsid w:val="17B62B1E"/>
    <w:rsid w:val="17CC6382"/>
    <w:rsid w:val="17D74C3C"/>
    <w:rsid w:val="18023FB5"/>
    <w:rsid w:val="182F7A05"/>
    <w:rsid w:val="18316649"/>
    <w:rsid w:val="18463EA2"/>
    <w:rsid w:val="184A0C6F"/>
    <w:rsid w:val="1882328F"/>
    <w:rsid w:val="189158E2"/>
    <w:rsid w:val="18925DC7"/>
    <w:rsid w:val="18A256D9"/>
    <w:rsid w:val="18A53CA7"/>
    <w:rsid w:val="18B31317"/>
    <w:rsid w:val="18BC07E1"/>
    <w:rsid w:val="18D23988"/>
    <w:rsid w:val="18D97C85"/>
    <w:rsid w:val="18EB2C9C"/>
    <w:rsid w:val="18F52418"/>
    <w:rsid w:val="192135E1"/>
    <w:rsid w:val="19286DB6"/>
    <w:rsid w:val="192C753C"/>
    <w:rsid w:val="19361319"/>
    <w:rsid w:val="19704F75"/>
    <w:rsid w:val="19BB441C"/>
    <w:rsid w:val="19CA10C7"/>
    <w:rsid w:val="19CC03D7"/>
    <w:rsid w:val="19CF1C75"/>
    <w:rsid w:val="19D2736C"/>
    <w:rsid w:val="19D63004"/>
    <w:rsid w:val="19F76AFA"/>
    <w:rsid w:val="1A4A5BF4"/>
    <w:rsid w:val="1A591A4A"/>
    <w:rsid w:val="1A6B4094"/>
    <w:rsid w:val="1A7222BA"/>
    <w:rsid w:val="1A88072D"/>
    <w:rsid w:val="1A9A04D5"/>
    <w:rsid w:val="1AA511D8"/>
    <w:rsid w:val="1AA94F5A"/>
    <w:rsid w:val="1AAC0209"/>
    <w:rsid w:val="1AC76DF0"/>
    <w:rsid w:val="1AE52E9A"/>
    <w:rsid w:val="1B1A3CCD"/>
    <w:rsid w:val="1B5607E3"/>
    <w:rsid w:val="1B924C3E"/>
    <w:rsid w:val="1BAF5950"/>
    <w:rsid w:val="1C00080C"/>
    <w:rsid w:val="1C025840"/>
    <w:rsid w:val="1C584099"/>
    <w:rsid w:val="1C984FF1"/>
    <w:rsid w:val="1CA06021"/>
    <w:rsid w:val="1CA70C88"/>
    <w:rsid w:val="1CB47CD2"/>
    <w:rsid w:val="1CB80D9A"/>
    <w:rsid w:val="1CF57C45"/>
    <w:rsid w:val="1CF83838"/>
    <w:rsid w:val="1D102CD1"/>
    <w:rsid w:val="1D1C5FD1"/>
    <w:rsid w:val="1D330389"/>
    <w:rsid w:val="1D436D26"/>
    <w:rsid w:val="1D51622E"/>
    <w:rsid w:val="1D6B6EF8"/>
    <w:rsid w:val="1DB16262"/>
    <w:rsid w:val="1DB92157"/>
    <w:rsid w:val="1DD12460"/>
    <w:rsid w:val="1E153C46"/>
    <w:rsid w:val="1E232B15"/>
    <w:rsid w:val="1E4744D0"/>
    <w:rsid w:val="1E4946EC"/>
    <w:rsid w:val="1E54535D"/>
    <w:rsid w:val="1E5C21C5"/>
    <w:rsid w:val="1EB16B64"/>
    <w:rsid w:val="1EC45EB8"/>
    <w:rsid w:val="1ECD169F"/>
    <w:rsid w:val="1EDF7BC4"/>
    <w:rsid w:val="1EE066D3"/>
    <w:rsid w:val="1EE12B77"/>
    <w:rsid w:val="1EEE2126"/>
    <w:rsid w:val="1F010B23"/>
    <w:rsid w:val="1F1F369F"/>
    <w:rsid w:val="1F235512"/>
    <w:rsid w:val="1F3F789D"/>
    <w:rsid w:val="1F486C75"/>
    <w:rsid w:val="1F532A46"/>
    <w:rsid w:val="1F8B5B11"/>
    <w:rsid w:val="1F8D1239"/>
    <w:rsid w:val="1F95570F"/>
    <w:rsid w:val="1FB723C0"/>
    <w:rsid w:val="1FB931AC"/>
    <w:rsid w:val="1FBE4C66"/>
    <w:rsid w:val="1FBF278C"/>
    <w:rsid w:val="1FE612D2"/>
    <w:rsid w:val="1FE8583F"/>
    <w:rsid w:val="1FF7400E"/>
    <w:rsid w:val="20062169"/>
    <w:rsid w:val="20117C39"/>
    <w:rsid w:val="201821AD"/>
    <w:rsid w:val="203F7EE7"/>
    <w:rsid w:val="20686518"/>
    <w:rsid w:val="2073362B"/>
    <w:rsid w:val="20C4797B"/>
    <w:rsid w:val="2100305C"/>
    <w:rsid w:val="21731117"/>
    <w:rsid w:val="218F706E"/>
    <w:rsid w:val="21AE3327"/>
    <w:rsid w:val="21CF315A"/>
    <w:rsid w:val="21E55BA0"/>
    <w:rsid w:val="21EB7868"/>
    <w:rsid w:val="21F06CDE"/>
    <w:rsid w:val="22162B37"/>
    <w:rsid w:val="223E0582"/>
    <w:rsid w:val="22573150"/>
    <w:rsid w:val="22673393"/>
    <w:rsid w:val="22677462"/>
    <w:rsid w:val="22924031"/>
    <w:rsid w:val="22B90228"/>
    <w:rsid w:val="22D16A5E"/>
    <w:rsid w:val="22E53D56"/>
    <w:rsid w:val="22EA5D72"/>
    <w:rsid w:val="22EC147D"/>
    <w:rsid w:val="22F7738D"/>
    <w:rsid w:val="230806C2"/>
    <w:rsid w:val="23201794"/>
    <w:rsid w:val="23421599"/>
    <w:rsid w:val="2347257A"/>
    <w:rsid w:val="23853782"/>
    <w:rsid w:val="239857CE"/>
    <w:rsid w:val="23A128D5"/>
    <w:rsid w:val="23B54593"/>
    <w:rsid w:val="240F3CE2"/>
    <w:rsid w:val="2441528D"/>
    <w:rsid w:val="244F4B24"/>
    <w:rsid w:val="24504F9C"/>
    <w:rsid w:val="245A2A83"/>
    <w:rsid w:val="245E1034"/>
    <w:rsid w:val="2468691C"/>
    <w:rsid w:val="247104F9"/>
    <w:rsid w:val="24B122DF"/>
    <w:rsid w:val="24C543A1"/>
    <w:rsid w:val="24C6060B"/>
    <w:rsid w:val="24E1012D"/>
    <w:rsid w:val="24EE1B49"/>
    <w:rsid w:val="2507142F"/>
    <w:rsid w:val="251C7384"/>
    <w:rsid w:val="25292B82"/>
    <w:rsid w:val="25700957"/>
    <w:rsid w:val="25743246"/>
    <w:rsid w:val="258233F2"/>
    <w:rsid w:val="258D60D3"/>
    <w:rsid w:val="25901034"/>
    <w:rsid w:val="25A81561"/>
    <w:rsid w:val="25A87CDC"/>
    <w:rsid w:val="25B508B9"/>
    <w:rsid w:val="25BD38A4"/>
    <w:rsid w:val="25CB1E8B"/>
    <w:rsid w:val="25DE7F65"/>
    <w:rsid w:val="25F56254"/>
    <w:rsid w:val="261E0C5E"/>
    <w:rsid w:val="262306F1"/>
    <w:rsid w:val="263F310B"/>
    <w:rsid w:val="26AB5818"/>
    <w:rsid w:val="26AC3A6A"/>
    <w:rsid w:val="26B0659B"/>
    <w:rsid w:val="27090EBD"/>
    <w:rsid w:val="27180ABF"/>
    <w:rsid w:val="27313F6F"/>
    <w:rsid w:val="2751016E"/>
    <w:rsid w:val="275E7C11"/>
    <w:rsid w:val="276205CD"/>
    <w:rsid w:val="27693709"/>
    <w:rsid w:val="276E7F9A"/>
    <w:rsid w:val="27AA7D16"/>
    <w:rsid w:val="27C14F42"/>
    <w:rsid w:val="27C43035"/>
    <w:rsid w:val="27E468E5"/>
    <w:rsid w:val="27E64D5A"/>
    <w:rsid w:val="27F751B9"/>
    <w:rsid w:val="28133675"/>
    <w:rsid w:val="284B55ED"/>
    <w:rsid w:val="285048C9"/>
    <w:rsid w:val="28672165"/>
    <w:rsid w:val="28695261"/>
    <w:rsid w:val="28AD3ACA"/>
    <w:rsid w:val="28BC5ABB"/>
    <w:rsid w:val="28D42E04"/>
    <w:rsid w:val="28FD3667"/>
    <w:rsid w:val="290F75E7"/>
    <w:rsid w:val="29226266"/>
    <w:rsid w:val="29394057"/>
    <w:rsid w:val="29477A7A"/>
    <w:rsid w:val="2948680B"/>
    <w:rsid w:val="298365D8"/>
    <w:rsid w:val="29DC3327"/>
    <w:rsid w:val="2A077209"/>
    <w:rsid w:val="2A0A0E9F"/>
    <w:rsid w:val="2A410A4F"/>
    <w:rsid w:val="2A5A71A5"/>
    <w:rsid w:val="2A5C1303"/>
    <w:rsid w:val="2A6308E4"/>
    <w:rsid w:val="2A6F54DA"/>
    <w:rsid w:val="2A8450D8"/>
    <w:rsid w:val="2AA77572"/>
    <w:rsid w:val="2AD4533E"/>
    <w:rsid w:val="2AD969CC"/>
    <w:rsid w:val="2ADC41F2"/>
    <w:rsid w:val="2AE05406"/>
    <w:rsid w:val="2B0D29CE"/>
    <w:rsid w:val="2B1047FC"/>
    <w:rsid w:val="2B1C4F36"/>
    <w:rsid w:val="2B4029D3"/>
    <w:rsid w:val="2B452AA7"/>
    <w:rsid w:val="2B465B0F"/>
    <w:rsid w:val="2B533D00"/>
    <w:rsid w:val="2B637126"/>
    <w:rsid w:val="2B6E0932"/>
    <w:rsid w:val="2B717030"/>
    <w:rsid w:val="2B772D87"/>
    <w:rsid w:val="2B7A6BFE"/>
    <w:rsid w:val="2B8E192F"/>
    <w:rsid w:val="2BC41856"/>
    <w:rsid w:val="2BD31A99"/>
    <w:rsid w:val="2BD34AB9"/>
    <w:rsid w:val="2BDF043E"/>
    <w:rsid w:val="2BFA4EE8"/>
    <w:rsid w:val="2C02452C"/>
    <w:rsid w:val="2C105EB2"/>
    <w:rsid w:val="2C1F0A81"/>
    <w:rsid w:val="2C412EA7"/>
    <w:rsid w:val="2C421054"/>
    <w:rsid w:val="2C5A6534"/>
    <w:rsid w:val="2C5A7AC4"/>
    <w:rsid w:val="2C5E7FEE"/>
    <w:rsid w:val="2CA60866"/>
    <w:rsid w:val="2CB928AC"/>
    <w:rsid w:val="2CC90B65"/>
    <w:rsid w:val="2CD0422B"/>
    <w:rsid w:val="2CD25D73"/>
    <w:rsid w:val="2CD94E8D"/>
    <w:rsid w:val="2CE83322"/>
    <w:rsid w:val="2D126D46"/>
    <w:rsid w:val="2D291A52"/>
    <w:rsid w:val="2D4A18E7"/>
    <w:rsid w:val="2DB07653"/>
    <w:rsid w:val="2DC77C2F"/>
    <w:rsid w:val="2DC94822"/>
    <w:rsid w:val="2DCA6ECC"/>
    <w:rsid w:val="2DDD2280"/>
    <w:rsid w:val="2DEC6E42"/>
    <w:rsid w:val="2E0C3A22"/>
    <w:rsid w:val="2E6E5185"/>
    <w:rsid w:val="2E7B4232"/>
    <w:rsid w:val="2E945DCC"/>
    <w:rsid w:val="2F083808"/>
    <w:rsid w:val="2F0E221C"/>
    <w:rsid w:val="2F1C04D2"/>
    <w:rsid w:val="2F266D26"/>
    <w:rsid w:val="2F6742F3"/>
    <w:rsid w:val="2F6F4675"/>
    <w:rsid w:val="2F792957"/>
    <w:rsid w:val="2F8513C2"/>
    <w:rsid w:val="2F8F078D"/>
    <w:rsid w:val="2F8F6204"/>
    <w:rsid w:val="2FBE65BC"/>
    <w:rsid w:val="2FC765BF"/>
    <w:rsid w:val="2FCE5392"/>
    <w:rsid w:val="2FDF4715"/>
    <w:rsid w:val="3092157C"/>
    <w:rsid w:val="309377A9"/>
    <w:rsid w:val="30A73141"/>
    <w:rsid w:val="30C160DA"/>
    <w:rsid w:val="30C776F3"/>
    <w:rsid w:val="30DF00E9"/>
    <w:rsid w:val="30FA3624"/>
    <w:rsid w:val="31030681"/>
    <w:rsid w:val="311A41DA"/>
    <w:rsid w:val="313A3321"/>
    <w:rsid w:val="31466869"/>
    <w:rsid w:val="314A45AB"/>
    <w:rsid w:val="314B0324"/>
    <w:rsid w:val="314C520D"/>
    <w:rsid w:val="31533610"/>
    <w:rsid w:val="316D3DF6"/>
    <w:rsid w:val="317D5475"/>
    <w:rsid w:val="318106B7"/>
    <w:rsid w:val="319E2212"/>
    <w:rsid w:val="31C51E84"/>
    <w:rsid w:val="31D769B3"/>
    <w:rsid w:val="31F369F1"/>
    <w:rsid w:val="3209173E"/>
    <w:rsid w:val="320927FD"/>
    <w:rsid w:val="3212499D"/>
    <w:rsid w:val="3233513D"/>
    <w:rsid w:val="3255145A"/>
    <w:rsid w:val="327B69E7"/>
    <w:rsid w:val="32891103"/>
    <w:rsid w:val="3293788C"/>
    <w:rsid w:val="329448A6"/>
    <w:rsid w:val="32AC6BA0"/>
    <w:rsid w:val="32BA306B"/>
    <w:rsid w:val="32BF490D"/>
    <w:rsid w:val="32D43E3A"/>
    <w:rsid w:val="32E80B3C"/>
    <w:rsid w:val="33052904"/>
    <w:rsid w:val="334039A9"/>
    <w:rsid w:val="334D37BD"/>
    <w:rsid w:val="3364747B"/>
    <w:rsid w:val="336865C8"/>
    <w:rsid w:val="33751688"/>
    <w:rsid w:val="337E1556"/>
    <w:rsid w:val="33811DDB"/>
    <w:rsid w:val="33AF4B9A"/>
    <w:rsid w:val="33B51A84"/>
    <w:rsid w:val="33CA38C0"/>
    <w:rsid w:val="34006D54"/>
    <w:rsid w:val="343F5DC2"/>
    <w:rsid w:val="346040E6"/>
    <w:rsid w:val="34607C42"/>
    <w:rsid w:val="34616631"/>
    <w:rsid w:val="349124F1"/>
    <w:rsid w:val="349B0E24"/>
    <w:rsid w:val="34A915E9"/>
    <w:rsid w:val="34C45F6E"/>
    <w:rsid w:val="34CF1DAC"/>
    <w:rsid w:val="35020CF9"/>
    <w:rsid w:val="35076310"/>
    <w:rsid w:val="350F32FF"/>
    <w:rsid w:val="35170EC1"/>
    <w:rsid w:val="351C1834"/>
    <w:rsid w:val="35345715"/>
    <w:rsid w:val="354D356F"/>
    <w:rsid w:val="358F4C83"/>
    <w:rsid w:val="35E0728C"/>
    <w:rsid w:val="35FA5E74"/>
    <w:rsid w:val="36172C1C"/>
    <w:rsid w:val="36215C95"/>
    <w:rsid w:val="36415851"/>
    <w:rsid w:val="36775087"/>
    <w:rsid w:val="36A71B58"/>
    <w:rsid w:val="36AC41FB"/>
    <w:rsid w:val="36BA52C5"/>
    <w:rsid w:val="36BC40FA"/>
    <w:rsid w:val="36E72755"/>
    <w:rsid w:val="36E85169"/>
    <w:rsid w:val="36F154C9"/>
    <w:rsid w:val="371F0112"/>
    <w:rsid w:val="37490E97"/>
    <w:rsid w:val="374D04FD"/>
    <w:rsid w:val="3773189E"/>
    <w:rsid w:val="37B07204"/>
    <w:rsid w:val="3824387A"/>
    <w:rsid w:val="38337BE0"/>
    <w:rsid w:val="386C3059"/>
    <w:rsid w:val="387D5266"/>
    <w:rsid w:val="388471E0"/>
    <w:rsid w:val="389D76B7"/>
    <w:rsid w:val="38B4055C"/>
    <w:rsid w:val="38CC58A6"/>
    <w:rsid w:val="38F36A4F"/>
    <w:rsid w:val="38FB43DD"/>
    <w:rsid w:val="390946FB"/>
    <w:rsid w:val="391A7A78"/>
    <w:rsid w:val="39287A9D"/>
    <w:rsid w:val="395932D4"/>
    <w:rsid w:val="395F1C11"/>
    <w:rsid w:val="396E350D"/>
    <w:rsid w:val="398822C3"/>
    <w:rsid w:val="398E1956"/>
    <w:rsid w:val="39A045B9"/>
    <w:rsid w:val="39AE31F8"/>
    <w:rsid w:val="39AE4B35"/>
    <w:rsid w:val="39D33736"/>
    <w:rsid w:val="39E15381"/>
    <w:rsid w:val="3A080BE1"/>
    <w:rsid w:val="3A1514CF"/>
    <w:rsid w:val="3A1A5C49"/>
    <w:rsid w:val="3A270789"/>
    <w:rsid w:val="3A292B5E"/>
    <w:rsid w:val="3A2C5376"/>
    <w:rsid w:val="3A36772A"/>
    <w:rsid w:val="3A5C70FE"/>
    <w:rsid w:val="3A677AF9"/>
    <w:rsid w:val="3A6D30B9"/>
    <w:rsid w:val="3AA125CE"/>
    <w:rsid w:val="3ABC15E5"/>
    <w:rsid w:val="3AE47278"/>
    <w:rsid w:val="3B271FEC"/>
    <w:rsid w:val="3B4C7172"/>
    <w:rsid w:val="3B623128"/>
    <w:rsid w:val="3B9023D9"/>
    <w:rsid w:val="3BAE7642"/>
    <w:rsid w:val="3BD57167"/>
    <w:rsid w:val="3BD60F5B"/>
    <w:rsid w:val="3C236125"/>
    <w:rsid w:val="3C577B7C"/>
    <w:rsid w:val="3C7F2998"/>
    <w:rsid w:val="3CD25455"/>
    <w:rsid w:val="3CD47F2D"/>
    <w:rsid w:val="3CE95BCD"/>
    <w:rsid w:val="3CF7276F"/>
    <w:rsid w:val="3D334223"/>
    <w:rsid w:val="3D350701"/>
    <w:rsid w:val="3D352955"/>
    <w:rsid w:val="3D5256BC"/>
    <w:rsid w:val="3D5B4A55"/>
    <w:rsid w:val="3DAD6A22"/>
    <w:rsid w:val="3DD75855"/>
    <w:rsid w:val="3DF064DB"/>
    <w:rsid w:val="3E120A3D"/>
    <w:rsid w:val="3E175815"/>
    <w:rsid w:val="3E524A9F"/>
    <w:rsid w:val="3E704F26"/>
    <w:rsid w:val="3EA82232"/>
    <w:rsid w:val="3EB1380D"/>
    <w:rsid w:val="3EBA2645"/>
    <w:rsid w:val="3EBE3EE3"/>
    <w:rsid w:val="3EE25C2D"/>
    <w:rsid w:val="3EF32C54"/>
    <w:rsid w:val="3F185CE9"/>
    <w:rsid w:val="3F28637F"/>
    <w:rsid w:val="3F621BB4"/>
    <w:rsid w:val="3F6A0792"/>
    <w:rsid w:val="3F730586"/>
    <w:rsid w:val="3F7E3672"/>
    <w:rsid w:val="3F850EA5"/>
    <w:rsid w:val="3F95711E"/>
    <w:rsid w:val="3FB377C0"/>
    <w:rsid w:val="3FE47979"/>
    <w:rsid w:val="403812D5"/>
    <w:rsid w:val="40526FD9"/>
    <w:rsid w:val="406D0556"/>
    <w:rsid w:val="40884086"/>
    <w:rsid w:val="408E0203"/>
    <w:rsid w:val="40AB7E88"/>
    <w:rsid w:val="40D003DC"/>
    <w:rsid w:val="40FD201B"/>
    <w:rsid w:val="410F79AD"/>
    <w:rsid w:val="411D1605"/>
    <w:rsid w:val="41524DB6"/>
    <w:rsid w:val="41742F7F"/>
    <w:rsid w:val="41807B75"/>
    <w:rsid w:val="41913B31"/>
    <w:rsid w:val="41A01BC2"/>
    <w:rsid w:val="41B97D34"/>
    <w:rsid w:val="41C2018E"/>
    <w:rsid w:val="41CF726D"/>
    <w:rsid w:val="41F36599"/>
    <w:rsid w:val="42023E45"/>
    <w:rsid w:val="42044303"/>
    <w:rsid w:val="422624CB"/>
    <w:rsid w:val="422C6789"/>
    <w:rsid w:val="4246491B"/>
    <w:rsid w:val="42813BA5"/>
    <w:rsid w:val="42C075BD"/>
    <w:rsid w:val="42D547FA"/>
    <w:rsid w:val="42F66EE2"/>
    <w:rsid w:val="43476DEC"/>
    <w:rsid w:val="4356703A"/>
    <w:rsid w:val="43741014"/>
    <w:rsid w:val="43972ECA"/>
    <w:rsid w:val="43CA6669"/>
    <w:rsid w:val="43CC0E50"/>
    <w:rsid w:val="43CF691E"/>
    <w:rsid w:val="44064F96"/>
    <w:rsid w:val="44116669"/>
    <w:rsid w:val="4414208C"/>
    <w:rsid w:val="441E71D2"/>
    <w:rsid w:val="44732BFD"/>
    <w:rsid w:val="447F4114"/>
    <w:rsid w:val="44803319"/>
    <w:rsid w:val="449B6B77"/>
    <w:rsid w:val="449D459A"/>
    <w:rsid w:val="44AA390E"/>
    <w:rsid w:val="44BE30C3"/>
    <w:rsid w:val="44CE6E4A"/>
    <w:rsid w:val="44F20D8A"/>
    <w:rsid w:val="44F82621"/>
    <w:rsid w:val="45163CE2"/>
    <w:rsid w:val="45231058"/>
    <w:rsid w:val="452E0648"/>
    <w:rsid w:val="45300F58"/>
    <w:rsid w:val="458F0387"/>
    <w:rsid w:val="45927399"/>
    <w:rsid w:val="45EC7588"/>
    <w:rsid w:val="460074D7"/>
    <w:rsid w:val="46207231"/>
    <w:rsid w:val="46367005"/>
    <w:rsid w:val="463A4AED"/>
    <w:rsid w:val="464E3D9E"/>
    <w:rsid w:val="4652034E"/>
    <w:rsid w:val="46676936"/>
    <w:rsid w:val="46B61944"/>
    <w:rsid w:val="46C01F36"/>
    <w:rsid w:val="46D87B0C"/>
    <w:rsid w:val="46ED1809"/>
    <w:rsid w:val="46F72688"/>
    <w:rsid w:val="46FF32EA"/>
    <w:rsid w:val="47281A42"/>
    <w:rsid w:val="47A6272B"/>
    <w:rsid w:val="47B6609F"/>
    <w:rsid w:val="47C702AC"/>
    <w:rsid w:val="47F60B91"/>
    <w:rsid w:val="47FB2415"/>
    <w:rsid w:val="480F57AF"/>
    <w:rsid w:val="48221986"/>
    <w:rsid w:val="48CF69C3"/>
    <w:rsid w:val="48D3531E"/>
    <w:rsid w:val="48F0102C"/>
    <w:rsid w:val="48FF75D2"/>
    <w:rsid w:val="49157A48"/>
    <w:rsid w:val="492359B6"/>
    <w:rsid w:val="493233E2"/>
    <w:rsid w:val="49380D49"/>
    <w:rsid w:val="493F0316"/>
    <w:rsid w:val="49417BEA"/>
    <w:rsid w:val="4942445E"/>
    <w:rsid w:val="494D1A92"/>
    <w:rsid w:val="495711BC"/>
    <w:rsid w:val="49644E71"/>
    <w:rsid w:val="499A051B"/>
    <w:rsid w:val="499E386C"/>
    <w:rsid w:val="49A40179"/>
    <w:rsid w:val="49BC1967"/>
    <w:rsid w:val="49D13366"/>
    <w:rsid w:val="49EF5898"/>
    <w:rsid w:val="4A0330F2"/>
    <w:rsid w:val="4A1B3E1A"/>
    <w:rsid w:val="4A296BD1"/>
    <w:rsid w:val="4A2C5F83"/>
    <w:rsid w:val="4A372D9B"/>
    <w:rsid w:val="4A4516B3"/>
    <w:rsid w:val="4A6242BC"/>
    <w:rsid w:val="4A6F69D9"/>
    <w:rsid w:val="4A8125E5"/>
    <w:rsid w:val="4A8428D0"/>
    <w:rsid w:val="4AD545BE"/>
    <w:rsid w:val="4B0940A8"/>
    <w:rsid w:val="4B0949E0"/>
    <w:rsid w:val="4B215F25"/>
    <w:rsid w:val="4B247F5B"/>
    <w:rsid w:val="4B2B6DA4"/>
    <w:rsid w:val="4B386DCB"/>
    <w:rsid w:val="4B3D0885"/>
    <w:rsid w:val="4B52399A"/>
    <w:rsid w:val="4B756271"/>
    <w:rsid w:val="4B7F49FA"/>
    <w:rsid w:val="4BB23021"/>
    <w:rsid w:val="4BD87725"/>
    <w:rsid w:val="4C2C4B19"/>
    <w:rsid w:val="4C2F0342"/>
    <w:rsid w:val="4C3464BF"/>
    <w:rsid w:val="4C40062D"/>
    <w:rsid w:val="4C575977"/>
    <w:rsid w:val="4C7D362F"/>
    <w:rsid w:val="4CA9681B"/>
    <w:rsid w:val="4CB34E03"/>
    <w:rsid w:val="4CD04AF6"/>
    <w:rsid w:val="4CE114E8"/>
    <w:rsid w:val="4CF002F2"/>
    <w:rsid w:val="4CF732BC"/>
    <w:rsid w:val="4D04074B"/>
    <w:rsid w:val="4D0E24D9"/>
    <w:rsid w:val="4D511BDF"/>
    <w:rsid w:val="4D706CF0"/>
    <w:rsid w:val="4D9E34F4"/>
    <w:rsid w:val="4DB845B0"/>
    <w:rsid w:val="4DEC0901"/>
    <w:rsid w:val="4DFC6FAF"/>
    <w:rsid w:val="4E466169"/>
    <w:rsid w:val="4E4F6761"/>
    <w:rsid w:val="4E516E85"/>
    <w:rsid w:val="4E574689"/>
    <w:rsid w:val="4E726A98"/>
    <w:rsid w:val="4E872543"/>
    <w:rsid w:val="4E8C5DAC"/>
    <w:rsid w:val="4EA866C7"/>
    <w:rsid w:val="4EDF51AA"/>
    <w:rsid w:val="4F09615C"/>
    <w:rsid w:val="4F0E056F"/>
    <w:rsid w:val="4F2C520F"/>
    <w:rsid w:val="4F3C647C"/>
    <w:rsid w:val="4F4D0768"/>
    <w:rsid w:val="4F7D3709"/>
    <w:rsid w:val="4F9A5B2C"/>
    <w:rsid w:val="4FAB0AD3"/>
    <w:rsid w:val="4FCA5312"/>
    <w:rsid w:val="4FD33566"/>
    <w:rsid w:val="4FF9121F"/>
    <w:rsid w:val="502B19B2"/>
    <w:rsid w:val="50940F47"/>
    <w:rsid w:val="509C604E"/>
    <w:rsid w:val="50AE34C0"/>
    <w:rsid w:val="50B36711"/>
    <w:rsid w:val="50C81ABE"/>
    <w:rsid w:val="50D21A70"/>
    <w:rsid w:val="50E41A3B"/>
    <w:rsid w:val="50FB2119"/>
    <w:rsid w:val="51110678"/>
    <w:rsid w:val="51375D22"/>
    <w:rsid w:val="51403F5D"/>
    <w:rsid w:val="514E7348"/>
    <w:rsid w:val="51521D10"/>
    <w:rsid w:val="51526EA5"/>
    <w:rsid w:val="517646F9"/>
    <w:rsid w:val="5176747F"/>
    <w:rsid w:val="51DA6087"/>
    <w:rsid w:val="51E77260"/>
    <w:rsid w:val="51FF2662"/>
    <w:rsid w:val="520236A5"/>
    <w:rsid w:val="521B2B7E"/>
    <w:rsid w:val="52373722"/>
    <w:rsid w:val="52734B8D"/>
    <w:rsid w:val="52E87329"/>
    <w:rsid w:val="531719BC"/>
    <w:rsid w:val="531C6FD2"/>
    <w:rsid w:val="534D3630"/>
    <w:rsid w:val="535D3B3B"/>
    <w:rsid w:val="537312E8"/>
    <w:rsid w:val="5394125E"/>
    <w:rsid w:val="53945715"/>
    <w:rsid w:val="53A65BF5"/>
    <w:rsid w:val="53BF4FF5"/>
    <w:rsid w:val="53C30F5D"/>
    <w:rsid w:val="53C37CE4"/>
    <w:rsid w:val="54036A69"/>
    <w:rsid w:val="540A3665"/>
    <w:rsid w:val="54260108"/>
    <w:rsid w:val="54A86D6F"/>
    <w:rsid w:val="54B55930"/>
    <w:rsid w:val="54D97871"/>
    <w:rsid w:val="54DB68A5"/>
    <w:rsid w:val="54DC110F"/>
    <w:rsid w:val="55202A7C"/>
    <w:rsid w:val="556C7CE6"/>
    <w:rsid w:val="55724D74"/>
    <w:rsid w:val="557721A9"/>
    <w:rsid w:val="5579517E"/>
    <w:rsid w:val="558D42CE"/>
    <w:rsid w:val="5594433F"/>
    <w:rsid w:val="55B25EBB"/>
    <w:rsid w:val="55BD38FB"/>
    <w:rsid w:val="55F8498A"/>
    <w:rsid w:val="56161B95"/>
    <w:rsid w:val="56260894"/>
    <w:rsid w:val="562827DA"/>
    <w:rsid w:val="56336B0D"/>
    <w:rsid w:val="56353ACA"/>
    <w:rsid w:val="56643D7E"/>
    <w:rsid w:val="567F49C3"/>
    <w:rsid w:val="569961E5"/>
    <w:rsid w:val="56A31EE4"/>
    <w:rsid w:val="56D93B58"/>
    <w:rsid w:val="56DC53F6"/>
    <w:rsid w:val="570B0C0B"/>
    <w:rsid w:val="57201787"/>
    <w:rsid w:val="57686C8A"/>
    <w:rsid w:val="578C2978"/>
    <w:rsid w:val="578D049F"/>
    <w:rsid w:val="57946E25"/>
    <w:rsid w:val="57C007E4"/>
    <w:rsid w:val="57D52571"/>
    <w:rsid w:val="57E24C8E"/>
    <w:rsid w:val="57FD1BB1"/>
    <w:rsid w:val="581E3EC3"/>
    <w:rsid w:val="581F60C8"/>
    <w:rsid w:val="583E0F9F"/>
    <w:rsid w:val="58521C51"/>
    <w:rsid w:val="587E5B38"/>
    <w:rsid w:val="589D0BB5"/>
    <w:rsid w:val="58CD7F0E"/>
    <w:rsid w:val="58DF11CE"/>
    <w:rsid w:val="5939737D"/>
    <w:rsid w:val="59861649"/>
    <w:rsid w:val="598D15CB"/>
    <w:rsid w:val="59A26C47"/>
    <w:rsid w:val="59FE5684"/>
    <w:rsid w:val="5A0A227A"/>
    <w:rsid w:val="5A0C5FF2"/>
    <w:rsid w:val="5A0E7640"/>
    <w:rsid w:val="5A1A5670"/>
    <w:rsid w:val="5A1F445D"/>
    <w:rsid w:val="5A315FE3"/>
    <w:rsid w:val="5A7D0C9E"/>
    <w:rsid w:val="5A906066"/>
    <w:rsid w:val="5AAF5B5F"/>
    <w:rsid w:val="5ABD553F"/>
    <w:rsid w:val="5ABF12B7"/>
    <w:rsid w:val="5AD05272"/>
    <w:rsid w:val="5AD3266C"/>
    <w:rsid w:val="5AD90C28"/>
    <w:rsid w:val="5AF53479"/>
    <w:rsid w:val="5B281909"/>
    <w:rsid w:val="5B2B24A8"/>
    <w:rsid w:val="5B4320F5"/>
    <w:rsid w:val="5B637E94"/>
    <w:rsid w:val="5B660D40"/>
    <w:rsid w:val="5BA26C0E"/>
    <w:rsid w:val="5BB866D0"/>
    <w:rsid w:val="5BC16F36"/>
    <w:rsid w:val="5BC21E58"/>
    <w:rsid w:val="5BC41CC4"/>
    <w:rsid w:val="5BCE7A78"/>
    <w:rsid w:val="5BD12303"/>
    <w:rsid w:val="5C1A05F6"/>
    <w:rsid w:val="5C7C3BE2"/>
    <w:rsid w:val="5C8C341B"/>
    <w:rsid w:val="5C9F1F05"/>
    <w:rsid w:val="5CAE3391"/>
    <w:rsid w:val="5CC16308"/>
    <w:rsid w:val="5CF50FC0"/>
    <w:rsid w:val="5CF51716"/>
    <w:rsid w:val="5D2704AC"/>
    <w:rsid w:val="5D415FB3"/>
    <w:rsid w:val="5D47477D"/>
    <w:rsid w:val="5D555A4A"/>
    <w:rsid w:val="5D9B1B67"/>
    <w:rsid w:val="5DAA7A9B"/>
    <w:rsid w:val="5DB81EF7"/>
    <w:rsid w:val="5DBE1329"/>
    <w:rsid w:val="5DF36A6B"/>
    <w:rsid w:val="5E2A339A"/>
    <w:rsid w:val="5E51181A"/>
    <w:rsid w:val="5E6F6B50"/>
    <w:rsid w:val="5E773771"/>
    <w:rsid w:val="5E891FC0"/>
    <w:rsid w:val="5EB81E49"/>
    <w:rsid w:val="5EC46E9C"/>
    <w:rsid w:val="5ED56E00"/>
    <w:rsid w:val="5EF75FBF"/>
    <w:rsid w:val="5F300033"/>
    <w:rsid w:val="5F6B3BF2"/>
    <w:rsid w:val="5F706527"/>
    <w:rsid w:val="5F871FEB"/>
    <w:rsid w:val="5F9268E0"/>
    <w:rsid w:val="5FB13BB3"/>
    <w:rsid w:val="5FCA04E2"/>
    <w:rsid w:val="5FD35B6B"/>
    <w:rsid w:val="5FFA3AEF"/>
    <w:rsid w:val="60123C37"/>
    <w:rsid w:val="60124A00"/>
    <w:rsid w:val="60363DC9"/>
    <w:rsid w:val="604A1D39"/>
    <w:rsid w:val="60617033"/>
    <w:rsid w:val="60AE1BB1"/>
    <w:rsid w:val="60B766E2"/>
    <w:rsid w:val="60DB2E53"/>
    <w:rsid w:val="60F467D4"/>
    <w:rsid w:val="612229D9"/>
    <w:rsid w:val="61444F38"/>
    <w:rsid w:val="614D188C"/>
    <w:rsid w:val="6156331E"/>
    <w:rsid w:val="6187214C"/>
    <w:rsid w:val="618D7A19"/>
    <w:rsid w:val="61932B55"/>
    <w:rsid w:val="61CF5B63"/>
    <w:rsid w:val="61E87F33"/>
    <w:rsid w:val="621A7C2A"/>
    <w:rsid w:val="624018AE"/>
    <w:rsid w:val="629152E7"/>
    <w:rsid w:val="62D60F4C"/>
    <w:rsid w:val="62D97532"/>
    <w:rsid w:val="630E06E5"/>
    <w:rsid w:val="631C6C06"/>
    <w:rsid w:val="631F6D97"/>
    <w:rsid w:val="6321508F"/>
    <w:rsid w:val="63303B02"/>
    <w:rsid w:val="635F1A4F"/>
    <w:rsid w:val="637413C6"/>
    <w:rsid w:val="6375205F"/>
    <w:rsid w:val="637569B7"/>
    <w:rsid w:val="63D07143"/>
    <w:rsid w:val="63E458E8"/>
    <w:rsid w:val="63EB0A27"/>
    <w:rsid w:val="63FA3207"/>
    <w:rsid w:val="64154300"/>
    <w:rsid w:val="64471B5F"/>
    <w:rsid w:val="644F7CDD"/>
    <w:rsid w:val="645B0E27"/>
    <w:rsid w:val="646968E0"/>
    <w:rsid w:val="64746C6E"/>
    <w:rsid w:val="64C533DE"/>
    <w:rsid w:val="65140FF0"/>
    <w:rsid w:val="652A1A23"/>
    <w:rsid w:val="655C523D"/>
    <w:rsid w:val="656E7B61"/>
    <w:rsid w:val="65AE4402"/>
    <w:rsid w:val="65CD0D2C"/>
    <w:rsid w:val="65E16585"/>
    <w:rsid w:val="65E676F8"/>
    <w:rsid w:val="661701F9"/>
    <w:rsid w:val="66241EB8"/>
    <w:rsid w:val="662F72F1"/>
    <w:rsid w:val="66553ED3"/>
    <w:rsid w:val="66A204A7"/>
    <w:rsid w:val="66EC2C5B"/>
    <w:rsid w:val="66EE3E39"/>
    <w:rsid w:val="66FE4F15"/>
    <w:rsid w:val="671D183F"/>
    <w:rsid w:val="6736645D"/>
    <w:rsid w:val="673C3DA6"/>
    <w:rsid w:val="674314E8"/>
    <w:rsid w:val="677015D3"/>
    <w:rsid w:val="67746238"/>
    <w:rsid w:val="67A5667A"/>
    <w:rsid w:val="67A77626"/>
    <w:rsid w:val="67CC4524"/>
    <w:rsid w:val="67ED2A04"/>
    <w:rsid w:val="68256783"/>
    <w:rsid w:val="68294213"/>
    <w:rsid w:val="685079F2"/>
    <w:rsid w:val="686554F2"/>
    <w:rsid w:val="68780C13"/>
    <w:rsid w:val="6884144A"/>
    <w:rsid w:val="689478DF"/>
    <w:rsid w:val="68B0223F"/>
    <w:rsid w:val="68B118E3"/>
    <w:rsid w:val="68BA4E6C"/>
    <w:rsid w:val="68BC0BE4"/>
    <w:rsid w:val="68C232CC"/>
    <w:rsid w:val="68C43F87"/>
    <w:rsid w:val="68EA39A3"/>
    <w:rsid w:val="68EF4B15"/>
    <w:rsid w:val="68FB775B"/>
    <w:rsid w:val="69194288"/>
    <w:rsid w:val="69472BA3"/>
    <w:rsid w:val="696F20FA"/>
    <w:rsid w:val="69884197"/>
    <w:rsid w:val="699C1AFA"/>
    <w:rsid w:val="69D15D20"/>
    <w:rsid w:val="69D44AD6"/>
    <w:rsid w:val="69FB2DF3"/>
    <w:rsid w:val="69FF2D3D"/>
    <w:rsid w:val="6A1046F0"/>
    <w:rsid w:val="6A356EA0"/>
    <w:rsid w:val="6A6371F8"/>
    <w:rsid w:val="6A753111"/>
    <w:rsid w:val="6A8B2F63"/>
    <w:rsid w:val="6A9A7A42"/>
    <w:rsid w:val="6AA54025"/>
    <w:rsid w:val="6AF37E7F"/>
    <w:rsid w:val="6B08049E"/>
    <w:rsid w:val="6B221EFB"/>
    <w:rsid w:val="6B3F5820"/>
    <w:rsid w:val="6B4348AE"/>
    <w:rsid w:val="6B713F07"/>
    <w:rsid w:val="6B785296"/>
    <w:rsid w:val="6B8C3000"/>
    <w:rsid w:val="6B9B0F84"/>
    <w:rsid w:val="6B9E2D3C"/>
    <w:rsid w:val="6BA0659B"/>
    <w:rsid w:val="6BBA3B00"/>
    <w:rsid w:val="6C1A0813"/>
    <w:rsid w:val="6C223454"/>
    <w:rsid w:val="6C223664"/>
    <w:rsid w:val="6C5555D7"/>
    <w:rsid w:val="6C785397"/>
    <w:rsid w:val="6CB32611"/>
    <w:rsid w:val="6CC21AA7"/>
    <w:rsid w:val="6CED3A62"/>
    <w:rsid w:val="6D0D1A0E"/>
    <w:rsid w:val="6D3645F9"/>
    <w:rsid w:val="6D4A1E45"/>
    <w:rsid w:val="6D6261FE"/>
    <w:rsid w:val="6D633D24"/>
    <w:rsid w:val="6D785D03"/>
    <w:rsid w:val="6DC94A86"/>
    <w:rsid w:val="6DD15131"/>
    <w:rsid w:val="6DEE183F"/>
    <w:rsid w:val="6DF42BCE"/>
    <w:rsid w:val="6DFD600B"/>
    <w:rsid w:val="6E06332E"/>
    <w:rsid w:val="6E105C5A"/>
    <w:rsid w:val="6E2C24ED"/>
    <w:rsid w:val="6E3A6C5B"/>
    <w:rsid w:val="6E587601"/>
    <w:rsid w:val="6E5E0BA2"/>
    <w:rsid w:val="6E6C3CF3"/>
    <w:rsid w:val="6E9D41BE"/>
    <w:rsid w:val="6EC71266"/>
    <w:rsid w:val="6ED924EF"/>
    <w:rsid w:val="6F173BAB"/>
    <w:rsid w:val="6F1B681C"/>
    <w:rsid w:val="6F3A7DCF"/>
    <w:rsid w:val="6F3C65DA"/>
    <w:rsid w:val="6F432F72"/>
    <w:rsid w:val="6F6D3F5B"/>
    <w:rsid w:val="6F926B42"/>
    <w:rsid w:val="6F9B1553"/>
    <w:rsid w:val="6F9B172B"/>
    <w:rsid w:val="6FCF56A0"/>
    <w:rsid w:val="6FDC5F5A"/>
    <w:rsid w:val="6FE32EFA"/>
    <w:rsid w:val="70883119"/>
    <w:rsid w:val="708D1DA0"/>
    <w:rsid w:val="70960D72"/>
    <w:rsid w:val="709E256A"/>
    <w:rsid w:val="709F453F"/>
    <w:rsid w:val="70A0215F"/>
    <w:rsid w:val="70B21401"/>
    <w:rsid w:val="70FD7FEB"/>
    <w:rsid w:val="70FF40A2"/>
    <w:rsid w:val="711E24EB"/>
    <w:rsid w:val="716361E9"/>
    <w:rsid w:val="71691581"/>
    <w:rsid w:val="71723F4D"/>
    <w:rsid w:val="71A00ED1"/>
    <w:rsid w:val="71A339C3"/>
    <w:rsid w:val="71A861A9"/>
    <w:rsid w:val="71D10A6E"/>
    <w:rsid w:val="71D14134"/>
    <w:rsid w:val="71D451F0"/>
    <w:rsid w:val="71F92EA9"/>
    <w:rsid w:val="72255A4C"/>
    <w:rsid w:val="726200BA"/>
    <w:rsid w:val="728E091D"/>
    <w:rsid w:val="72C8544C"/>
    <w:rsid w:val="72C9287B"/>
    <w:rsid w:val="72D37256"/>
    <w:rsid w:val="72F241FA"/>
    <w:rsid w:val="72F3139E"/>
    <w:rsid w:val="73010DCF"/>
    <w:rsid w:val="733A20BA"/>
    <w:rsid w:val="73441F01"/>
    <w:rsid w:val="735C148B"/>
    <w:rsid w:val="73644352"/>
    <w:rsid w:val="738B0D99"/>
    <w:rsid w:val="738D5634"/>
    <w:rsid w:val="73B54BAD"/>
    <w:rsid w:val="73B61051"/>
    <w:rsid w:val="73C82B32"/>
    <w:rsid w:val="73CF2113"/>
    <w:rsid w:val="73EC1EDB"/>
    <w:rsid w:val="73F33CEF"/>
    <w:rsid w:val="740042FF"/>
    <w:rsid w:val="742C4357"/>
    <w:rsid w:val="7464622B"/>
    <w:rsid w:val="74647000"/>
    <w:rsid w:val="746A6B94"/>
    <w:rsid w:val="74867B90"/>
    <w:rsid w:val="74943A3D"/>
    <w:rsid w:val="74BA0FB1"/>
    <w:rsid w:val="74D6127F"/>
    <w:rsid w:val="74F17E67"/>
    <w:rsid w:val="750C702A"/>
    <w:rsid w:val="75340C7E"/>
    <w:rsid w:val="75785D7C"/>
    <w:rsid w:val="7589486C"/>
    <w:rsid w:val="758A675F"/>
    <w:rsid w:val="75BA5512"/>
    <w:rsid w:val="75CD7A52"/>
    <w:rsid w:val="75CE013B"/>
    <w:rsid w:val="75CE1F56"/>
    <w:rsid w:val="75D237F5"/>
    <w:rsid w:val="75E11C8A"/>
    <w:rsid w:val="75F852F8"/>
    <w:rsid w:val="75F93477"/>
    <w:rsid w:val="76171B4F"/>
    <w:rsid w:val="763B3A90"/>
    <w:rsid w:val="76867FA6"/>
    <w:rsid w:val="768A0573"/>
    <w:rsid w:val="76A71125"/>
    <w:rsid w:val="76AA651F"/>
    <w:rsid w:val="76BD2CEF"/>
    <w:rsid w:val="76CE66B2"/>
    <w:rsid w:val="76EE2AC2"/>
    <w:rsid w:val="76FF686B"/>
    <w:rsid w:val="77154C42"/>
    <w:rsid w:val="7718792D"/>
    <w:rsid w:val="771D69C1"/>
    <w:rsid w:val="77297CCB"/>
    <w:rsid w:val="772C76E0"/>
    <w:rsid w:val="77444BC6"/>
    <w:rsid w:val="774E76A8"/>
    <w:rsid w:val="775E5C88"/>
    <w:rsid w:val="777803CC"/>
    <w:rsid w:val="777C7EBC"/>
    <w:rsid w:val="777F7331"/>
    <w:rsid w:val="778C5026"/>
    <w:rsid w:val="77A85AA3"/>
    <w:rsid w:val="77B70472"/>
    <w:rsid w:val="77B75398"/>
    <w:rsid w:val="77C31810"/>
    <w:rsid w:val="77D40A93"/>
    <w:rsid w:val="785B3F75"/>
    <w:rsid w:val="78647FAB"/>
    <w:rsid w:val="78811502"/>
    <w:rsid w:val="78DE0994"/>
    <w:rsid w:val="79570BE0"/>
    <w:rsid w:val="79845D81"/>
    <w:rsid w:val="79924211"/>
    <w:rsid w:val="79A55419"/>
    <w:rsid w:val="79B96795"/>
    <w:rsid w:val="79C36276"/>
    <w:rsid w:val="79D023C2"/>
    <w:rsid w:val="79D42231"/>
    <w:rsid w:val="7A107A66"/>
    <w:rsid w:val="7A301431"/>
    <w:rsid w:val="7A3A5831"/>
    <w:rsid w:val="7A41363F"/>
    <w:rsid w:val="7A57269A"/>
    <w:rsid w:val="7A5E7D4D"/>
    <w:rsid w:val="7A6F1C1C"/>
    <w:rsid w:val="7A7F418C"/>
    <w:rsid w:val="7A802B37"/>
    <w:rsid w:val="7A8157E9"/>
    <w:rsid w:val="7A8226A9"/>
    <w:rsid w:val="7A8C44D3"/>
    <w:rsid w:val="7AB11B64"/>
    <w:rsid w:val="7AB43E11"/>
    <w:rsid w:val="7AC202DC"/>
    <w:rsid w:val="7ACC3649"/>
    <w:rsid w:val="7AE669D4"/>
    <w:rsid w:val="7B087AB9"/>
    <w:rsid w:val="7B4C2C1E"/>
    <w:rsid w:val="7B62487C"/>
    <w:rsid w:val="7B754E72"/>
    <w:rsid w:val="7B9B6704"/>
    <w:rsid w:val="7BB73927"/>
    <w:rsid w:val="7BC934AC"/>
    <w:rsid w:val="7BD36518"/>
    <w:rsid w:val="7BF15AE6"/>
    <w:rsid w:val="7BF86A4E"/>
    <w:rsid w:val="7BFD5426"/>
    <w:rsid w:val="7C030B41"/>
    <w:rsid w:val="7C1D0F37"/>
    <w:rsid w:val="7C2E374F"/>
    <w:rsid w:val="7C387586"/>
    <w:rsid w:val="7C4556FF"/>
    <w:rsid w:val="7C460A98"/>
    <w:rsid w:val="7C4B16F9"/>
    <w:rsid w:val="7C4D42B1"/>
    <w:rsid w:val="7C52743D"/>
    <w:rsid w:val="7C541895"/>
    <w:rsid w:val="7C5C1303"/>
    <w:rsid w:val="7C9C3942"/>
    <w:rsid w:val="7CA35EEB"/>
    <w:rsid w:val="7CC540B3"/>
    <w:rsid w:val="7CF577D7"/>
    <w:rsid w:val="7D333C5A"/>
    <w:rsid w:val="7D3E5C13"/>
    <w:rsid w:val="7D4B2908"/>
    <w:rsid w:val="7D4D5E56"/>
    <w:rsid w:val="7D504F93"/>
    <w:rsid w:val="7D823D52"/>
    <w:rsid w:val="7D891584"/>
    <w:rsid w:val="7DC51E91"/>
    <w:rsid w:val="7DCE2527"/>
    <w:rsid w:val="7DE71E07"/>
    <w:rsid w:val="7DFF1847"/>
    <w:rsid w:val="7E0B68D2"/>
    <w:rsid w:val="7E0D7C07"/>
    <w:rsid w:val="7E2F6F7A"/>
    <w:rsid w:val="7E336C84"/>
    <w:rsid w:val="7E687FB6"/>
    <w:rsid w:val="7E690458"/>
    <w:rsid w:val="7E815F22"/>
    <w:rsid w:val="7E8624BD"/>
    <w:rsid w:val="7EB37758"/>
    <w:rsid w:val="7ECA3C03"/>
    <w:rsid w:val="7EDC33FA"/>
    <w:rsid w:val="7EE71E5E"/>
    <w:rsid w:val="7F0E1788"/>
    <w:rsid w:val="7F4C4618"/>
    <w:rsid w:val="7F6A2E74"/>
    <w:rsid w:val="7FA10B60"/>
    <w:rsid w:val="7FA80771"/>
    <w:rsid w:val="7FAA12BB"/>
    <w:rsid w:val="7FBF4528"/>
    <w:rsid w:val="7FDF0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3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Subtitle"/>
    <w:basedOn w:val="1"/>
    <w:next w:val="1"/>
    <w:qFormat/>
    <w:uiPriority w:val="0"/>
    <w:pPr>
      <w:spacing w:line="700" w:lineRule="exact"/>
      <w:jc w:val="left"/>
    </w:pPr>
    <w:rPr>
      <w:rFonts w:ascii="方正小标宋简体" w:hAnsi="Times New Roman" w:eastAsia="方正小标宋简体"/>
      <w:color w:val="000000"/>
      <w:sz w:val="44"/>
      <w:szCs w:val="44"/>
    </w:rPr>
  </w:style>
  <w:style w:type="paragraph" w:styleId="10">
    <w:name w:val="toc 2"/>
    <w:basedOn w:val="1"/>
    <w:next w:val="1"/>
    <w:qFormat/>
    <w:uiPriority w:val="0"/>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标题 2 Char"/>
    <w:link w:val="3"/>
    <w:qFormat/>
    <w:uiPriority w:val="0"/>
    <w:rPr>
      <w:rFonts w:ascii="Arial" w:hAnsi="Arial" w:eastAsia="黑体"/>
      <w:b/>
      <w:sz w:val="32"/>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 w:type="paragraph" w:customStyle="1" w:styleId="18">
    <w:name w:val="仿宋国标"/>
    <w:basedOn w:val="1"/>
    <w:link w:val="19"/>
    <w:qFormat/>
    <w:uiPriority w:val="0"/>
    <w:pPr>
      <w:spacing w:line="600" w:lineRule="exact"/>
      <w:ind w:firstLine="640" w:firstLineChars="200"/>
    </w:pPr>
    <w:rPr>
      <w:rFonts w:ascii="仿宋_GB2312" w:hAnsi="黑体" w:eastAsia="仿宋_GB2312"/>
      <w:color w:val="020202"/>
      <w:kern w:val="0"/>
      <w:sz w:val="32"/>
      <w:szCs w:val="32"/>
    </w:rPr>
  </w:style>
  <w:style w:type="character" w:customStyle="1" w:styleId="19">
    <w:name w:val="仿宋国标 Char"/>
    <w:link w:val="18"/>
    <w:qFormat/>
    <w:locked/>
    <w:uiPriority w:val="0"/>
    <w:rPr>
      <w:rFonts w:ascii="仿宋_GB2312" w:hAnsi="黑体" w:eastAsia="仿宋_GB2312"/>
      <w:color w:val="020202"/>
      <w:kern w:val="0"/>
      <w:sz w:val="32"/>
      <w:szCs w:val="32"/>
    </w:rPr>
  </w:style>
  <w:style w:type="character" w:customStyle="1" w:styleId="20">
    <w:name w:val="fontstyle01"/>
    <w:basedOn w:val="14"/>
    <w:qFormat/>
    <w:uiPriority w:val="0"/>
    <w:rPr>
      <w:rFonts w:hint="eastAsia" w:ascii="宋体" w:hAnsi="宋体" w:eastAsia="宋体" w:cs="宋体"/>
      <w:color w:val="000000"/>
      <w:sz w:val="24"/>
      <w:szCs w:val="24"/>
    </w:rPr>
  </w:style>
  <w:style w:type="character" w:customStyle="1" w:styleId="21">
    <w:name w:val="fontstyle11"/>
    <w:basedOn w:val="14"/>
    <w:qFormat/>
    <w:uiPriority w:val="0"/>
    <w:rPr>
      <w:rFonts w:ascii="Calibri" w:hAnsi="Calibri" w:cs="Calibri"/>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E:\3&#12304;&#32500;&#31283;&#35780;&#20272;&#25253;&#21578;&#12305;\13-2025&#24180;&#33635;&#25104;&#24066;&#21306;&#36755;&#37197;&#30005;&#35774;&#22791;&#26356;&#26032;&#25913;&#36896;&#39033;&#30446;&#22303;&#24314;&#24037;&#31243;\&#26032;&#24314;&#25991;&#20214;&#22841;\3-&#35843;&#26597;&#38382;&#21367;&#21517;&#2133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12304;&#32500;&#31283;&#35780;&#20272;&#25253;&#21578;&#12305;\13-2025&#24180;&#33635;&#25104;&#24066;&#21306;&#36755;&#37197;&#30005;&#35774;&#22791;&#26356;&#26032;&#25913;&#36896;&#39033;&#30446;&#22303;&#24314;&#24037;&#31243;\&#26032;&#24314;&#25991;&#20214;&#22841;\3-&#35843;&#26597;&#38382;&#21367;&#21517;&#2133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12304;&#32500;&#31283;&#35780;&#20272;&#25253;&#21578;&#12305;\13-2025&#24180;&#33635;&#25104;&#24066;&#21306;&#36755;&#37197;&#30005;&#35774;&#22791;&#26356;&#26032;&#25913;&#36896;&#39033;&#30446;&#22303;&#24314;&#24037;&#31243;\&#26032;&#24314;&#25991;&#20214;&#22841;\3-&#35843;&#26597;&#38382;&#21367;&#21517;&#2133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3&#12304;&#32500;&#31283;&#35780;&#20272;&#25253;&#21578;&#12305;\13-2025&#24180;&#33635;&#25104;&#24066;&#21306;&#36755;&#37197;&#30005;&#35774;&#22791;&#26356;&#26032;&#25913;&#36896;&#39033;&#30446;&#22303;&#24314;&#24037;&#31243;\&#26032;&#24314;&#25991;&#20214;&#22841;\3-&#35843;&#26597;&#38382;&#21367;&#21517;&#21333;.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12304;&#32500;&#31283;&#35780;&#20272;&#25253;&#21578;&#12305;\13-2025&#24180;&#33635;&#25104;&#24066;&#21306;&#36755;&#37197;&#30005;&#35774;&#22791;&#26356;&#26032;&#25913;&#36896;&#39033;&#30446;&#22303;&#24314;&#24037;&#31243;\&#26032;&#24314;&#25991;&#20214;&#22841;\3-&#35843;&#26597;&#38382;&#21367;&#21517;&#21333;.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12304;&#32500;&#31283;&#35780;&#20272;&#25253;&#21578;&#12305;\13-2025&#24180;&#33635;&#25104;&#24066;&#21306;&#36755;&#37197;&#30005;&#35774;&#22791;&#26356;&#26032;&#25913;&#36896;&#39033;&#30446;&#22303;&#24314;&#24037;&#31243;\&#26032;&#24314;&#25991;&#20214;&#22841;\3-&#35843;&#26597;&#38382;&#21367;&#21517;&#2133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t>通过以下哪种途径了解2025年荣成市区输配电设备更新改造项目土建工程：</a:t>
            </a:r>
            <a:endParaRPr sz="1200" b="1" i="0" u="none" strike="noStrike" baseline="0">
              <a:solidFill>
                <a:srgbClr val="40404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24736842105263"/>
          <c:y val="0.0281132861307788"/>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explosion val="0"/>
            <c:spPr>
              <a:solidFill>
                <a:schemeClr val="accent3"/>
              </a:solidFill>
              <a:ln>
                <a:solidFill>
                  <a:schemeClr val="bg1"/>
                </a:solidFill>
              </a:ln>
              <a:effectLst/>
            </c:spPr>
          </c:dPt>
          <c:dPt>
            <c:idx val="3"/>
            <c:bubble3D val="0"/>
            <c:explosion val="0"/>
            <c:spPr>
              <a:solidFill>
                <a:schemeClr val="accent4"/>
              </a:solidFill>
              <a:ln>
                <a:solidFill>
                  <a:schemeClr val="bg1"/>
                </a:solidFill>
              </a:ln>
              <a:effectLst/>
            </c:spPr>
          </c:dPt>
          <c:dPt>
            <c:idx val="4"/>
            <c:bubble3D val="0"/>
            <c:explosion val="0"/>
            <c:spPr>
              <a:solidFill>
                <a:schemeClr val="accent5"/>
              </a:solidFill>
              <a:ln>
                <a:solidFill>
                  <a:schemeClr val="bg1"/>
                </a:solidFill>
              </a:ln>
              <a:effectLst/>
            </c:spPr>
          </c:dPt>
          <c:dLbls>
            <c:dLbl>
              <c:idx val="0"/>
              <c:layout>
                <c:manualLayout>
                  <c:x val="0.146052631578947"/>
                  <c:y val="0.049989585503020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952774090136817"/>
                  <c:y val="0.1511430401002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305792745383357"/>
                  <c:y val="0.061575033680653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'[3-调查问卷名单.xls]Sheet2 (2)'!$C$9:$C$13</c:f>
              <c:strCache>
                <c:ptCount val="5"/>
                <c:pt idx="0">
                  <c:v>网络媒体</c:v>
                </c:pt>
                <c:pt idx="1">
                  <c:v>项目公示</c:v>
                </c:pt>
                <c:pt idx="2">
                  <c:v>政府宣传</c:v>
                </c:pt>
                <c:pt idx="3">
                  <c:v>居民间交谈</c:v>
                </c:pt>
                <c:pt idx="4">
                  <c:v>不了解</c:v>
                </c:pt>
              </c:strCache>
            </c:strRef>
          </c:cat>
          <c:val>
            <c:numRef>
              <c:f>'[3-调查问卷名单.xls]Sheet2 (2)'!$D$9:$D$13</c:f>
              <c:numCache>
                <c:formatCode>0.00%</c:formatCode>
                <c:ptCount val="5"/>
                <c:pt idx="0">
                  <c:v>0</c:v>
                </c:pt>
                <c:pt idx="1">
                  <c:v>0.3</c:v>
                </c:pt>
                <c:pt idx="2">
                  <c:v>0.2</c:v>
                </c:pt>
                <c:pt idx="3">
                  <c:v>0.4</c:v>
                </c:pt>
                <c:pt idx="4">
                  <c:v>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本项目的实施对当地经济发展的作用</a:t>
            </a:r>
            <a:endPar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7638888888889"/>
          <c:y val="0.0520833333333333"/>
        </c:manualLayout>
      </c:layout>
      <c:overlay val="0"/>
      <c:spPr>
        <a:noFill/>
        <a:ln>
          <a:noFill/>
        </a:ln>
        <a:effectLst/>
      </c:spPr>
    </c:title>
    <c:autoTitleDeleted val="0"/>
    <c:plotArea>
      <c:layout/>
      <c:pieChart>
        <c:varyColors val="1"/>
        <c:ser>
          <c:idx val="0"/>
          <c:order val="0"/>
          <c:tx>
            <c:strRef>
              <c:f>'[3-调查问卷名单.xls]Sheet2 (2)'!$G$92</c:f>
              <c:strCache>
                <c:ptCount val="1"/>
                <c:pt idx="0">
                  <c:v>比例%</c:v>
                </c:pt>
              </c:strCache>
            </c:strRef>
          </c:tx>
          <c:spPr>
            <a:solidFill>
              <a:srgbClr val="FFC000"/>
            </a:solidFill>
          </c:spPr>
          <c:explosion val="0"/>
          <c:dPt>
            <c:idx val="0"/>
            <c:bubble3D val="0"/>
            <c:explosion val="0"/>
            <c:spPr>
              <a:solidFill>
                <a:srgbClr val="FFC000"/>
              </a:solidFill>
              <a:ln w="19050">
                <a:solidFill>
                  <a:schemeClr val="lt1"/>
                </a:solidFill>
              </a:ln>
              <a:effectLst/>
            </c:spPr>
          </c:dPt>
          <c:dPt>
            <c:idx val="1"/>
            <c:bubble3D val="0"/>
            <c:explosion val="0"/>
            <c:spPr>
              <a:solidFill>
                <a:schemeClr val="bg2"/>
              </a:solidFill>
              <a:ln w="19050">
                <a:solidFill>
                  <a:schemeClr val="lt1"/>
                </a:solidFill>
              </a:ln>
              <a:effectLst/>
            </c:spPr>
          </c:dPt>
          <c:dPt>
            <c:idx val="2"/>
            <c:bubble3D val="0"/>
            <c:explosion val="0"/>
            <c:spPr>
              <a:solidFill>
                <a:srgbClr val="FFC000"/>
              </a:solidFill>
              <a:ln w="19050">
                <a:solidFill>
                  <a:schemeClr val="lt1"/>
                </a:solidFill>
              </a:ln>
              <a:effectLst/>
            </c:spPr>
          </c:dPt>
          <c:dLbls>
            <c:dLbl>
              <c:idx val="1"/>
              <c:layout>
                <c:manualLayout>
                  <c:x val="-0.0471897105533806"/>
                  <c:y val="0.06742857404849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270833333333333"/>
                  <c:y val="0.010416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'[3-调查问卷名单.xls]Sheet2 (2)'!$F$93:$F$95</c:f>
              <c:strCache>
                <c:ptCount val="3"/>
                <c:pt idx="0">
                  <c:v>较大促进</c:v>
                </c:pt>
                <c:pt idx="1">
                  <c:v>没有促进</c:v>
                </c:pt>
              </c:strCache>
            </c:strRef>
          </c:cat>
          <c:val>
            <c:numRef>
              <c:f>'[3-调查问卷名单.xls]Sheet2 (2)'!$G$93:$G$95</c:f>
              <c:numCache>
                <c:formatCode>0.00%</c:formatCode>
                <c:ptCount val="3"/>
                <c:pt idx="0">
                  <c:v>0.94</c:v>
                </c:pt>
                <c:pt idx="1">
                  <c:v>0.06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本项目的实施对生活水平的影响</a:t>
            </a:r>
            <a:endPar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7638888888889"/>
          <c:y val="0.0520833333333333"/>
        </c:manualLayout>
      </c:layout>
      <c:overlay val="0"/>
      <c:spPr>
        <a:noFill/>
        <a:ln>
          <a:noFill/>
        </a:ln>
        <a:effectLst/>
      </c:spPr>
    </c:title>
    <c:autoTitleDeleted val="0"/>
    <c:plotArea>
      <c:layout/>
      <c:pieChart>
        <c:varyColors val="1"/>
        <c:ser>
          <c:idx val="0"/>
          <c:order val="0"/>
          <c:tx>
            <c:strRef>
              <c:f>'[3-调查问卷名单.xls]Sheet2 (2)'!$G$92</c:f>
              <c:strCache>
                <c:ptCount val="1"/>
                <c:pt idx="0">
                  <c:v>比例%</c:v>
                </c:pt>
              </c:strCache>
            </c:strRef>
          </c:tx>
          <c:spPr>
            <a:solidFill>
              <a:schemeClr val="accent4"/>
            </a:solidFill>
          </c:spPr>
          <c:explosion val="0"/>
          <c:dPt>
            <c:idx val="0"/>
            <c:bubble3D val="0"/>
            <c:explosion val="0"/>
            <c:spPr>
              <a:solidFill>
                <a:schemeClr val="accent1"/>
              </a:solidFill>
              <a:ln w="19050">
                <a:solidFill>
                  <a:schemeClr val="lt1"/>
                </a:solidFill>
              </a:ln>
              <a:effectLst/>
            </c:spPr>
          </c:dPt>
          <c:dPt>
            <c:idx val="1"/>
            <c:bubble3D val="0"/>
            <c:explosion val="0"/>
            <c:spPr>
              <a:solidFill>
                <a:schemeClr val="accent4"/>
              </a:solidFill>
              <a:ln w="19050">
                <a:solidFill>
                  <a:schemeClr val="lt1"/>
                </a:solidFill>
              </a:ln>
              <a:effectLst/>
            </c:spPr>
          </c:dPt>
          <c:dPt>
            <c:idx val="2"/>
            <c:bubble3D val="0"/>
            <c:explosion val="0"/>
            <c:spPr>
              <a:solidFill>
                <a:schemeClr val="accent4"/>
              </a:solidFill>
              <a:ln w="19050">
                <a:solidFill>
                  <a:schemeClr val="lt1"/>
                </a:solidFill>
              </a:ln>
              <a:effectLst/>
            </c:spPr>
          </c:dPt>
          <c:dLbls>
            <c:dLbl>
              <c:idx val="1"/>
              <c:layout>
                <c:manualLayout>
                  <c:x val="-0.0471897105533806"/>
                  <c:y val="0.06742857404849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270833333333333"/>
                  <c:y val="0.010416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'[3-调查问卷名单.xls]Sheet2 (2)'!$F$93:$F$95</c:f>
              <c:strCache>
                <c:ptCount val="3"/>
                <c:pt idx="0">
                  <c:v>较大促进</c:v>
                </c:pt>
                <c:pt idx="1">
                  <c:v>没有促进</c:v>
                </c:pt>
              </c:strCache>
            </c:strRef>
          </c:cat>
          <c:val>
            <c:numRef>
              <c:f>'[3-调查问卷名单.xls]Sheet2 (2)'!$G$93:$G$95</c:f>
              <c:numCache>
                <c:formatCode>0.00%</c:formatCode>
                <c:ptCount val="3"/>
                <c:pt idx="0">
                  <c:v>0.96</c:v>
                </c:pt>
                <c:pt idx="1">
                  <c:v>0.04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本项的实施对您产生哪方面的影响？</a:t>
            </a:r>
            <a:endPar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'[3-调查问卷名单.xls]Sheet2 (2)'!$F$115</c:f>
              <c:strCache>
                <c:ptCount val="1"/>
                <c:pt idx="0">
                  <c:v>人数</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'[3-调查问卷名单.xls]Sheet2 (2)'!$E$116:$E$119</c:f>
              <c:strCache>
                <c:ptCount val="4"/>
                <c:pt idx="0">
                  <c:v>没有影响</c:v>
                </c:pt>
                <c:pt idx="1">
                  <c:v>对交通出行不利影响</c:v>
                </c:pt>
                <c:pt idx="2">
                  <c:v>对出行安全有利影响</c:v>
                </c:pt>
                <c:pt idx="3">
                  <c:v>其他</c:v>
                </c:pt>
              </c:strCache>
            </c:strRef>
          </c:cat>
          <c:val>
            <c:numRef>
              <c:f>'[3-调查问卷名单.xls]Sheet2 (2)'!$F$116:$F$119</c:f>
              <c:numCache>
                <c:formatCode>General</c:formatCode>
                <c:ptCount val="4"/>
                <c:pt idx="0">
                  <c:v>36</c:v>
                </c:pt>
                <c:pt idx="1">
                  <c:v>10</c:v>
                </c:pt>
                <c:pt idx="2">
                  <c:v>3</c:v>
                </c:pt>
                <c:pt idx="3">
                  <c:v>1</c:v>
                </c:pt>
              </c:numCache>
            </c:numRef>
          </c:val>
        </c:ser>
        <c:ser>
          <c:idx val="1"/>
          <c:order val="1"/>
          <c:tx>
            <c:strRef>
              <c:f>'[3-调查问卷名单.xls]Sheet2 (2)'!$G$115</c:f>
              <c:strCache>
                <c:ptCount val="1"/>
                <c:pt idx="0">
                  <c:v>比例%</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'[3-调查问卷名单.xls]Sheet2 (2)'!$E$116:$E$119</c:f>
              <c:strCache>
                <c:ptCount val="4"/>
                <c:pt idx="0">
                  <c:v>没有影响</c:v>
                </c:pt>
                <c:pt idx="1">
                  <c:v>对交通出行不利影响</c:v>
                </c:pt>
                <c:pt idx="2">
                  <c:v>对出行安全有利影响</c:v>
                </c:pt>
                <c:pt idx="3">
                  <c:v>其他</c:v>
                </c:pt>
              </c:strCache>
            </c:strRef>
          </c:cat>
          <c:val>
            <c:numRef>
              <c:f>'[3-调查问卷名单.xls]Sheet2 (2)'!$G$116:$G$119</c:f>
              <c:numCache>
                <c:formatCode>0.00%</c:formatCode>
                <c:ptCount val="4"/>
                <c:pt idx="0">
                  <c:v>0.72</c:v>
                </c:pt>
                <c:pt idx="1">
                  <c:v>0.2</c:v>
                </c:pt>
                <c:pt idx="2">
                  <c:v>0.06</c:v>
                </c:pt>
                <c:pt idx="3">
                  <c:v>0.02</c:v>
                </c:pt>
              </c:numCache>
            </c:numRef>
          </c:val>
        </c:ser>
        <c:dLbls>
          <c:showLegendKey val="0"/>
          <c:showVal val="0"/>
          <c:showCatName val="0"/>
          <c:showSerName val="0"/>
          <c:showPercent val="0"/>
          <c:showBubbleSize val="0"/>
        </c:dLbls>
        <c:gapWidth val="219"/>
        <c:overlap val="-27"/>
        <c:axId val="670990812"/>
        <c:axId val="632492049"/>
      </c:barChart>
      <c:catAx>
        <c:axId val="6709908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2492049"/>
        <c:crosses val="autoZero"/>
        <c:auto val="1"/>
        <c:lblAlgn val="ctr"/>
        <c:lblOffset val="100"/>
        <c:noMultiLvlLbl val="0"/>
      </c:catAx>
      <c:valAx>
        <c:axId val="63249204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9908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项目实施对社会和环境产生的影响</a:t>
            </a:r>
            <a:endParaRPr sz="1400" b="1"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78055555555556"/>
          <c:y val="0.0518632347291587"/>
        </c:manualLayout>
      </c:layout>
      <c:overlay val="0"/>
      <c:spPr>
        <a:noFill/>
        <a:ln>
          <a:noFill/>
        </a:ln>
        <a:effectLst/>
      </c:spPr>
    </c:title>
    <c:autoTitleDeleted val="0"/>
    <c:plotArea>
      <c:layout>
        <c:manualLayout>
          <c:layoutTarget val="inner"/>
          <c:xMode val="edge"/>
          <c:yMode val="edge"/>
          <c:x val="0.0357777777777778"/>
          <c:y val="0.00576258163657318"/>
          <c:w val="0.907277777777778"/>
          <c:h val="0.673722627737226"/>
        </c:manualLayout>
      </c:layout>
      <c:barChart>
        <c:barDir val="col"/>
        <c:grouping val="clustered"/>
        <c:varyColors val="0"/>
        <c:ser>
          <c:idx val="0"/>
          <c:order val="0"/>
          <c:tx>
            <c:strRef>
              <c:f>'[3-调查问卷名单.xls]Sheet2 (2)'!$F$57</c:f>
              <c:strCache>
                <c:ptCount val="1"/>
                <c:pt idx="0">
                  <c:v>人数</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'[3-调查问卷名单.xls]Sheet2 (2)'!$E$58:$E$64</c:f>
              <c:strCache>
                <c:ptCount val="7"/>
                <c:pt idx="0">
                  <c:v>不会</c:v>
                </c:pt>
                <c:pt idx="1">
                  <c:v>大气污染</c:v>
                </c:pt>
                <c:pt idx="2">
                  <c:v>噪声污染</c:v>
                </c:pt>
                <c:pt idx="3">
                  <c:v>水污染</c:v>
                </c:pt>
                <c:pt idx="4">
                  <c:v>固定废弃物</c:v>
                </c:pt>
                <c:pt idx="5">
                  <c:v>其他</c:v>
                </c:pt>
              </c:strCache>
            </c:strRef>
          </c:cat>
          <c:val>
            <c:numRef>
              <c:f>'[3-调查问卷名单.xls]Sheet2 (2)'!$F$58:$F$64</c:f>
              <c:numCache>
                <c:formatCode>General</c:formatCode>
                <c:ptCount val="7"/>
                <c:pt idx="0">
                  <c:v>22</c:v>
                </c:pt>
                <c:pt idx="1">
                  <c:v>7</c:v>
                </c:pt>
                <c:pt idx="2">
                  <c:v>5</c:v>
                </c:pt>
                <c:pt idx="3">
                  <c:v>6</c:v>
                </c:pt>
                <c:pt idx="4">
                  <c:v>8</c:v>
                </c:pt>
                <c:pt idx="5">
                  <c:v>2</c:v>
                </c:pt>
              </c:numCache>
            </c:numRef>
          </c:val>
        </c:ser>
        <c:ser>
          <c:idx val="1"/>
          <c:order val="1"/>
          <c:tx>
            <c:strRef>
              <c:f>'[3-调查问卷名单.xls]Sheet2 (2)'!$G$57</c:f>
              <c:strCache>
                <c:ptCount val="1"/>
                <c:pt idx="0">
                  <c:v>比例%</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'[3-调查问卷名单.xls]Sheet2 (2)'!$E$58:$E$64</c:f>
              <c:strCache>
                <c:ptCount val="7"/>
                <c:pt idx="0">
                  <c:v>不会</c:v>
                </c:pt>
                <c:pt idx="1">
                  <c:v>大气污染</c:v>
                </c:pt>
                <c:pt idx="2">
                  <c:v>噪声污染</c:v>
                </c:pt>
                <c:pt idx="3">
                  <c:v>水污染</c:v>
                </c:pt>
                <c:pt idx="4">
                  <c:v>固定废弃物</c:v>
                </c:pt>
                <c:pt idx="5">
                  <c:v>其他</c:v>
                </c:pt>
              </c:strCache>
            </c:strRef>
          </c:cat>
          <c:val>
            <c:numRef>
              <c:f>'[3-调查问卷名单.xls]Sheet2 (2)'!$G$58:$G$64</c:f>
              <c:numCache>
                <c:formatCode>0.00%</c:formatCode>
                <c:ptCount val="7"/>
                <c:pt idx="0">
                  <c:v>0.44</c:v>
                </c:pt>
                <c:pt idx="1">
                  <c:v>0.14</c:v>
                </c:pt>
                <c:pt idx="2">
                  <c:v>0.1</c:v>
                </c:pt>
                <c:pt idx="3">
                  <c:v>0.12</c:v>
                </c:pt>
                <c:pt idx="4">
                  <c:v>0.16</c:v>
                </c:pt>
                <c:pt idx="5">
                  <c:v>0.04</c:v>
                </c:pt>
              </c:numCache>
            </c:numRef>
          </c:val>
        </c:ser>
        <c:dLbls>
          <c:showLegendKey val="0"/>
          <c:showVal val="0"/>
          <c:showCatName val="0"/>
          <c:showSerName val="0"/>
          <c:showPercent val="0"/>
          <c:showBubbleSize val="0"/>
        </c:dLbls>
        <c:gapWidth val="219"/>
        <c:overlap val="-27"/>
        <c:axId val="886166121"/>
        <c:axId val="71376071"/>
      </c:barChart>
      <c:catAx>
        <c:axId val="88616612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376071"/>
        <c:crosses val="autoZero"/>
        <c:auto val="1"/>
        <c:lblAlgn val="ctr"/>
        <c:lblOffset val="100"/>
        <c:noMultiLvlLbl val="0"/>
      </c:catAx>
      <c:valAx>
        <c:axId val="7137607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616612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综合利弊，您对本项目的态度是：</a:t>
            </a:r>
            <a:endParaRPr sz="1400" b="1" i="0" u="none" strike="noStrike" baseline="0">
              <a:solidFill>
                <a:srgbClr val="404040">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a:solidFill>
                  <a:schemeClr val="bg1"/>
                </a:solidFill>
              </a:ln>
              <a:effectLst/>
            </c:spPr>
          </c:dPt>
          <c:dPt>
            <c:idx val="1"/>
            <c:bubble3D val="0"/>
            <c:explosion val="0"/>
            <c:spPr>
              <a:solidFill>
                <a:schemeClr val="accent2"/>
              </a:solidFill>
              <a:ln>
                <a:solidFill>
                  <a:schemeClr val="bg1"/>
                </a:solidFill>
              </a:ln>
              <a:effectLst/>
            </c:spPr>
          </c:dPt>
          <c:dPt>
            <c:idx val="2"/>
            <c:bubble3D val="0"/>
            <c:explosion val="0"/>
          </c:dPt>
          <c:dLbls>
            <c:dLbl>
              <c:idx val="1"/>
              <c:layout>
                <c:manualLayout>
                  <c:x val="-0.0642199983174441"/>
                  <c:y val="0.08925618048632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'[3-调查问卷名单.xls]Sheet2 (2)'!$C$2:$C$4</c:f>
              <c:strCache>
                <c:ptCount val="3"/>
                <c:pt idx="0">
                  <c:v>支持</c:v>
                </c:pt>
                <c:pt idx="1">
                  <c:v>反对</c:v>
                </c:pt>
                <c:pt idx="2">
                  <c:v>无所谓</c:v>
                </c:pt>
              </c:strCache>
            </c:strRef>
          </c:cat>
          <c:val>
            <c:numRef>
              <c:f>'[3-调查问卷名单.xls]Sheet2 (2)'!$D$2:$D$4</c:f>
              <c:numCache>
                <c:formatCode>0.00%</c:formatCode>
                <c:ptCount val="3"/>
                <c:pt idx="0">
                  <c:v>0.96</c:v>
                </c:pt>
                <c:pt idx="1">
                  <c:v>0</c:v>
                </c:pt>
                <c:pt idx="2">
                  <c:v>0.04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477</Words>
  <Characters>558</Characters>
  <Lines>0</Lines>
  <Paragraphs>0</Paragraphs>
  <TotalTime>0</TotalTime>
  <ScaleCrop>false</ScaleCrop>
  <LinksUpToDate>false</LinksUpToDate>
  <CharactersWithSpaces>757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2020-06-24T05:21:00Z</dcterms:created>
  <dc:creator>sss</dc:creator>
  <cp:lastModifiedBy>刘世杰</cp:lastModifiedBy>
  <cp:lastPrinted>2025-12-28T04:16:00Z</cp:lastPrinted>
  <dcterms:modified xsi:type="dcterms:W3CDTF">2026-07-09T01:27:36Z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2FA94025A0344506A0774483F681BA19</vt:lpwstr>
  </property>
  <property fmtid="{D5CDD505-2E9C-101B-9397-08002B2CF9AE}" pid="4" name="KSOTemplateDocerSaveRecord">
    <vt:lpwstr>eyJoZGlkIjoiMDYzZjhkMTcyN2RiMzhmNzY3MTYwNWQ1MjIzN2NiOTUiLCJ1c2VySWQiOiIzNDMyNzg3NzAifQ==</vt:lpwstr>
  </property>
</Properties>
</file>