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C01AB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2026年度卫生健康行政执法检查计划</w:t>
      </w:r>
    </w:p>
    <w:p w14:paraId="62BEA40A">
      <w:pPr>
        <w:rPr>
          <w:rFonts w:hint="eastAsia" w:ascii="仿宋_GB2312" w:hAnsi="仿宋_GB2312" w:eastAsia="仿宋_GB2312" w:cs="仿宋_GB2312"/>
          <w:sz w:val="18"/>
          <w:szCs w:val="18"/>
        </w:rPr>
      </w:pPr>
    </w:p>
    <w:p w14:paraId="2AD7612A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为进一步加强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卫生监督</w:t>
      </w:r>
      <w:r>
        <w:rPr>
          <w:rFonts w:hint="eastAsia" w:ascii="仿宋_GB2312" w:hAnsi="仿宋_GB2312" w:eastAsia="仿宋_GB2312" w:cs="仿宋_GB2312"/>
          <w:sz w:val="32"/>
          <w:szCs w:val="32"/>
        </w:rPr>
        <w:t>执法工作，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保障人民群众健康，荣成市卫生健康局以</w:t>
      </w:r>
      <w:r>
        <w:rPr>
          <w:rFonts w:hint="eastAsia" w:ascii="仿宋_GB2312" w:hAnsi="仿宋_GB2312" w:eastAsia="仿宋_GB2312" w:cs="仿宋_GB2312"/>
          <w:sz w:val="32"/>
          <w:szCs w:val="32"/>
        </w:rPr>
        <w:t>医疗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卫生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传染病防治、</w:t>
      </w:r>
      <w:r>
        <w:rPr>
          <w:rFonts w:hint="eastAsia" w:ascii="仿宋_GB2312" w:hAnsi="仿宋_GB2312" w:eastAsia="仿宋_GB2312" w:cs="仿宋_GB2312"/>
          <w:sz w:val="32"/>
          <w:szCs w:val="32"/>
        </w:rPr>
        <w:t>公共场所、职业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卫生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餐饮具集中消毒、生活饮用水卫生、学校卫生、妇幼健康、放射卫生、消毒产品等监督项目为重点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严厉打击卫生健康领域违法违规行为，现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度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行政执法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检查</w:t>
      </w:r>
      <w:r>
        <w:rPr>
          <w:rFonts w:hint="eastAsia" w:ascii="仿宋_GB2312" w:hAnsi="仿宋_GB2312" w:eastAsia="仿宋_GB2312" w:cs="仿宋_GB2312"/>
          <w:sz w:val="32"/>
          <w:szCs w:val="32"/>
        </w:rPr>
        <w:t>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如下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E3197F0"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一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eastAsia="zh-CN"/>
        </w:rPr>
        <w:t>工作</w:t>
      </w:r>
      <w:r>
        <w:rPr>
          <w:rFonts w:hint="eastAsia" w:ascii="黑体" w:hAnsi="黑体" w:eastAsia="黑体"/>
          <w:sz w:val="32"/>
          <w:szCs w:val="32"/>
        </w:rPr>
        <w:t>目标</w:t>
      </w:r>
    </w:p>
    <w:p w14:paraId="6E2312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一步健全卫生监督执法体系，提升执法队伍专业能力，聚焦监督执法办案主责主业，统筹运用日常监督检查、“双随机、一公开”抽查、专项行动、投诉举报核查等多种形式，规范行业秩序，查处违法违规行为，切实推动卫生健康行业高质量发展。</w:t>
      </w:r>
    </w:p>
    <w:p w14:paraId="12C48013">
      <w:pPr>
        <w:ind w:firstLine="640" w:firstLineChars="200"/>
        <w:rPr>
          <w:rFonts w:hint="eastAsia" w:ascii="黑体" w:hAnsi="黑体" w:eastAsia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b w:val="0"/>
          <w:bCs w:val="0"/>
          <w:color w:val="auto"/>
          <w:sz w:val="32"/>
          <w:szCs w:val="32"/>
          <w:lang w:eastAsia="zh-CN"/>
        </w:rPr>
        <w:t>二、检查任务</w:t>
      </w:r>
    </w:p>
    <w:p w14:paraId="23428798">
      <w:pPr>
        <w:ind w:firstLine="640" w:firstLineChars="200"/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</w:pP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（一）日常监督检查</w:t>
      </w:r>
    </w:p>
    <w:p w14:paraId="495CE7CB">
      <w:pPr>
        <w:pStyle w:val="6"/>
        <w:spacing w:before="0" w:beforeAutospacing="0" w:after="0" w:afterAutospacing="0"/>
        <w:ind w:firstLine="643" w:firstLineChars="200"/>
        <w:rPr>
          <w:rFonts w:hint="eastAsia" w:ascii="仿宋_GB2312" w:hAnsi="宋体" w:eastAsia="仿宋_GB2312" w:cs="Times New Roman"/>
          <w:b/>
          <w:bCs/>
          <w:color w:val="0000FF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b/>
          <w:bCs/>
          <w:kern w:val="2"/>
          <w:sz w:val="32"/>
          <w:szCs w:val="32"/>
          <w:lang w:val="en-US" w:eastAsia="zh-CN" w:bidi="ar-SA"/>
        </w:rPr>
        <w:t>1.医疗卫生方面。</w:t>
      </w:r>
      <w:r>
        <w:rPr>
          <w:rFonts w:hint="eastAsia" w:ascii="仿宋_GB2312" w:eastAsia="仿宋_GB2312"/>
          <w:sz w:val="32"/>
          <w:szCs w:val="32"/>
        </w:rPr>
        <w:t>按照卫生监督量化分级赋分标准对89家普通社会办医疗机构，94家口腔医疗机构、16家医疗美容机构、85家中医医疗机构、4家血液透析机构、3家餐（饮）具集中消毒单位进行2026年度量化评分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对498家医疗机构开展2026年度校验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完成受理、现场审核等</w:t>
      </w:r>
      <w:r>
        <w:rPr>
          <w:rFonts w:hint="eastAsia" w:ascii="仿宋_GB2312" w:eastAsia="仿宋_GB2312"/>
          <w:sz w:val="32"/>
          <w:szCs w:val="32"/>
          <w:lang w:eastAsia="zh-CN"/>
        </w:rPr>
        <w:t>工作；</w:t>
      </w:r>
      <w:r>
        <w:rPr>
          <w:rFonts w:hint="eastAsia" w:ascii="仿宋_GB2312" w:eastAsia="仿宋_GB2312"/>
          <w:sz w:val="32"/>
          <w:szCs w:val="32"/>
        </w:rPr>
        <w:t>对新备案的诊所进行现场核查，不符合备案条件的责令整改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深入开展打击无证非法行医整治、非法应用人类辅助生殖技术排查工作，同时做好普法宣传工作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4D3FA5BD"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b/>
          <w:bCs/>
          <w:kern w:val="2"/>
          <w:sz w:val="32"/>
          <w:szCs w:val="32"/>
          <w:lang w:val="en-US" w:eastAsia="zh-CN" w:bidi="ar-SA"/>
        </w:rPr>
        <w:t>2.公共卫生方面。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做好量化分级工作，对全市理发、美容、洗浴、游泳等场所做好量化评分并将结果进行公示；加强与其他相关部门的沟通协调，形成跨部门协作机制；围绕“预防为主、处置高效”目标，做好旅游旺季住宿业投诉管控工作，强化培训宣传，督促自查自纠，引导诚信经营。</w:t>
      </w:r>
    </w:p>
    <w:p w14:paraId="077DF247"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b/>
          <w:bCs/>
          <w:kern w:val="2"/>
          <w:sz w:val="32"/>
          <w:szCs w:val="32"/>
          <w:lang w:val="en-US" w:eastAsia="zh-CN" w:bidi="ar-SA"/>
        </w:rPr>
        <w:t>3.职业与放射卫生方面。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组织全市90家放射诊疗单位开展年度校验工作，督促放射诊疗单位在规定时间内整理好各项材料，完成《放射诊疗许可证》年度校验；开展放射卫生监督规范化管理工作，结合放射诊疗单位季度报表内容开展监督检查工作；推进用人单位开展职业病危害项目申报、变更申报工作，进一步完善系统底数；完善职业卫生分类分级工作，推进用人单位进行职业卫生自查和风险评估。</w:t>
      </w:r>
    </w:p>
    <w:p w14:paraId="08F4C23F"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b/>
          <w:bCs/>
          <w:kern w:val="2"/>
          <w:sz w:val="32"/>
          <w:szCs w:val="32"/>
          <w:lang w:val="en-US" w:eastAsia="zh-CN" w:bidi="ar-SA"/>
        </w:rPr>
        <w:t>4.生活饮用水方面。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每周对市政供水的4家水厂出厂水进行监督监测；10月底前完成对19家集中式供水单位、5家二次供水单位、3家涉水产品生产企业、7家涉水产品销售单位的日常监督检查，完成现制现售饮用水监督抽检工作。</w:t>
      </w:r>
    </w:p>
    <w:p w14:paraId="3CB4B62A"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b/>
          <w:bCs/>
          <w:kern w:val="2"/>
          <w:sz w:val="32"/>
          <w:szCs w:val="32"/>
          <w:lang w:val="en-US" w:eastAsia="zh-CN" w:bidi="ar-SA"/>
        </w:rPr>
        <w:t>5.学校卫生方面。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3-11月，根据市委教育工作领导小组印发的《关于开展学校安全专项联合督查的通知》要求，对全市40家学校（区）及57家托幼机构每学期开展一次学校安全专项联合督查行动；5-8月，完成国家级和市级的“双随机”抽检工作及信息上报工作，9月底前达到完结率100%；9-12月，开展学校（幼儿园）学生常见病和相关危害因素监测，指导学生常见病防治工作。</w:t>
      </w:r>
    </w:p>
    <w:p w14:paraId="2F1B4C4C">
      <w:pPr>
        <w:ind w:firstLine="640" w:firstLineChars="200"/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</w:pP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（二）“双随机、一公开”监督抽查</w:t>
      </w:r>
    </w:p>
    <w:p w14:paraId="7C315152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国家双随机抽检。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面提高国家双随机抽检工作的完成率、完结率、公开公示率。截至10月15日前，国家双随机抽检完成率、完结率均达到100%，检查结果全部上报国家企业信用信息公示系统、荣成市人民政府门户网站，结果公示率达100%。</w:t>
      </w:r>
    </w:p>
    <w:p w14:paraId="6C7EE62F">
      <w:pPr>
        <w:ind w:firstLine="643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二是部门联合双随机抽查。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配合其他部门开展部门联合双随机抽查，并至少自主发起1次部门联合双随机抽查，检查方案报市司法局备案，抽查结果全部上报山东省政府部门联合“双随机、一公开”监管平台。</w:t>
      </w:r>
    </w:p>
    <w:p w14:paraId="3B82079E">
      <w:pPr>
        <w:ind w:firstLine="640" w:firstLineChars="200"/>
        <w:rPr>
          <w:rFonts w:hint="eastAsia" w:ascii="楷体" w:hAnsi="楷体" w:eastAsia="楷体"/>
          <w:b w:val="0"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b w:val="0"/>
          <w:bCs/>
          <w:sz w:val="32"/>
          <w:szCs w:val="32"/>
          <w:lang w:eastAsia="zh-CN"/>
        </w:rPr>
        <w:t>（三）</w:t>
      </w:r>
      <w:r>
        <w:rPr>
          <w:rFonts w:hint="eastAsia" w:ascii="楷体" w:hAnsi="楷体" w:eastAsia="楷体"/>
          <w:b w:val="0"/>
          <w:bCs/>
          <w:sz w:val="32"/>
          <w:szCs w:val="32"/>
          <w:lang w:val="en-US" w:eastAsia="zh-CN"/>
        </w:rPr>
        <w:t>聚焦重点监管内容，开展专项整治活动</w:t>
      </w:r>
    </w:p>
    <w:p w14:paraId="4A5924D0">
      <w:pPr>
        <w:numPr>
          <w:ilvl w:val="0"/>
          <w:numId w:val="0"/>
        </w:numPr>
        <w:ind w:firstLine="640" w:firstLineChars="200"/>
        <w:rPr>
          <w:rFonts w:hint="default"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针对重点行业、重点领域治理难点和突出问题，持之以恒地开展“蓝盾行动”等各专业领域监督执法工作，根据上级关于开展专项整治活动的要求，按计划完成医疗卫生、传染病防治、放射诊疗、公共场所、职业卫生、餐饮具集中消毒等领域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专项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监督检查，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确保专项行动取得实效。</w:t>
      </w:r>
    </w:p>
    <w:p w14:paraId="046C7553">
      <w:pPr>
        <w:ind w:firstLine="640" w:firstLineChars="200"/>
        <w:rPr>
          <w:rFonts w:hint="eastAsia" w:ascii="黑体" w:hAnsi="黑体" w:eastAsia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color w:val="auto"/>
          <w:sz w:val="32"/>
          <w:szCs w:val="32"/>
          <w:lang w:val="en-US" w:eastAsia="zh-CN"/>
        </w:rPr>
        <w:t>三、工作要求</w:t>
      </w:r>
    </w:p>
    <w:p w14:paraId="44768C03"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1.加强组织领导，明确工作责任。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高度重视，明确责任分工，将检查任务分解到具体科室、具体人员，确保确保年度执法计划各项任务落到实处。</w:t>
      </w:r>
    </w:p>
    <w:p w14:paraId="2320B071">
      <w:pPr>
        <w:ind w:firstLine="643" w:firstLineChars="200"/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2.规范执法行为，提升执法效能。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落实行政执法“三项制度”，依据相关法律法规和检查标准开展检查工作，紧密结合涉企行政执法专项活</w:t>
      </w:r>
      <w:bookmarkStart w:id="0" w:name="_GoBack"/>
      <w:bookmarkEnd w:id="0"/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动要求，依托“鲁执法”平台全过程规范执法行为，避免多头执法、重复检查，做到行政执法检查全程记录、执法决定合法合规。</w:t>
      </w:r>
    </w:p>
    <w:p w14:paraId="3BDE0083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3.强化宣传引导，营造良好氛围。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坚持执法普法并重，利用微信公众号、新闻网站等平台，普及卫生法律法规知识，引导经营单位自觉规范经营行为，提升群众自我保护意识和防范能力，推动形成行业自律、社会共治的良好氛围。</w:t>
      </w:r>
    </w:p>
    <w:p w14:paraId="4F203116">
      <w:pPr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427B57E">
      <w:pPr>
        <w:ind w:firstLine="5440" w:firstLineChars="17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荣成市卫生健康局</w:t>
      </w:r>
    </w:p>
    <w:p w14:paraId="28D0BB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2026年2月4日</w:t>
      </w:r>
    </w:p>
    <w:sectPr>
      <w:footerReference r:id="rId3" w:type="default"/>
      <w:pgSz w:w="11906" w:h="16838"/>
      <w:pgMar w:top="1383" w:right="1689" w:bottom="138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A688C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4E06BA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4E06BA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yZDgzMDJlZjM4NzhlM2ZjMDY0ODA2ZWZjMjM0MDUifQ=="/>
  </w:docVars>
  <w:rsids>
    <w:rsidRoot w:val="00000000"/>
    <w:rsid w:val="00B839C3"/>
    <w:rsid w:val="02A63787"/>
    <w:rsid w:val="04762774"/>
    <w:rsid w:val="09CF7C54"/>
    <w:rsid w:val="1563166D"/>
    <w:rsid w:val="18DB1DC6"/>
    <w:rsid w:val="1A7B1124"/>
    <w:rsid w:val="1AA113B5"/>
    <w:rsid w:val="1CA445C6"/>
    <w:rsid w:val="1CE968F4"/>
    <w:rsid w:val="21C04F7A"/>
    <w:rsid w:val="2AB23AA0"/>
    <w:rsid w:val="2B7A5365"/>
    <w:rsid w:val="2FD14483"/>
    <w:rsid w:val="418201C1"/>
    <w:rsid w:val="41D77A52"/>
    <w:rsid w:val="46020B59"/>
    <w:rsid w:val="4607231F"/>
    <w:rsid w:val="4867318A"/>
    <w:rsid w:val="4C8A2FFB"/>
    <w:rsid w:val="57CA6A87"/>
    <w:rsid w:val="5EB3288F"/>
    <w:rsid w:val="6167659B"/>
    <w:rsid w:val="63AC6E5B"/>
    <w:rsid w:val="64C8447F"/>
    <w:rsid w:val="69704C42"/>
    <w:rsid w:val="6AB555BC"/>
    <w:rsid w:val="6B885A3A"/>
    <w:rsid w:val="72245814"/>
    <w:rsid w:val="734274A4"/>
    <w:rsid w:val="753E6043"/>
    <w:rsid w:val="7DB1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autoRedefine/>
    <w:unhideWhenUsed/>
    <w:qFormat/>
    <w:uiPriority w:val="39"/>
  </w:style>
  <w:style w:type="paragraph" w:styleId="6">
    <w:name w:val="Normal (Web)"/>
    <w:basedOn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FollowedHyperlink"/>
    <w:basedOn w:val="8"/>
    <w:autoRedefine/>
    <w:qFormat/>
    <w:uiPriority w:val="0"/>
    <w:rPr>
      <w:color w:val="383838"/>
      <w:u w:val="none"/>
    </w:rPr>
  </w:style>
  <w:style w:type="character" w:styleId="10">
    <w:name w:val="Emphasis"/>
    <w:basedOn w:val="8"/>
    <w:autoRedefine/>
    <w:qFormat/>
    <w:uiPriority w:val="0"/>
    <w:rPr>
      <w:i/>
    </w:rPr>
  </w:style>
  <w:style w:type="character" w:styleId="11">
    <w:name w:val="Hyperlink"/>
    <w:basedOn w:val="8"/>
    <w:autoRedefine/>
    <w:qFormat/>
    <w:uiPriority w:val="0"/>
    <w:rPr>
      <w:color w:val="38383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2004</Words>
  <Characters>2060</Characters>
  <Lines>0</Lines>
  <Paragraphs>0</Paragraphs>
  <TotalTime>2</TotalTime>
  <ScaleCrop>false</ScaleCrop>
  <LinksUpToDate>false</LinksUpToDate>
  <CharactersWithSpaces>2092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2021-01-28T00:29:00Z</dcterms:created>
  <dc:creator>Administrator</dc:creator>
  <cp:lastModifiedBy>Administrator</cp:lastModifiedBy>
  <cp:lastPrinted>2025-02-18T01:36:00Z</cp:lastPrinted>
  <dcterms:modified xsi:type="dcterms:W3CDTF">2026-02-04T07:27:08Z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53B6C12D85D44F9CA02C829692CA8083</vt:lpwstr>
  </property>
  <property fmtid="{D5CDD505-2E9C-101B-9397-08002B2CF9AE}" pid="4" name="KSOTemplateDocerSaveRecord">
    <vt:lpwstr>eyJoZGlkIjoiODAyZDgzMDJlZjM4NzhlM2ZjMDY0ODA2ZWZjMjM0MDUifQ==</vt:lpwstr>
  </property>
</Properties>
</file>