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C01AB7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2026年度卫生健康行政执法检查计划</w:t>
      </w:r>
    </w:p>
    <w:p w14:paraId="62BEA40A">
      <w:pPr>
        <w:rPr>
          <w:rFonts w:hint="eastAsia" w:ascii="仿宋_GB2312" w:hAnsi="仿宋_GB2312" w:eastAsia="仿宋_GB2312" w:cs="仿宋_GB2312"/>
          <w:sz w:val="18"/>
          <w:szCs w:val="18"/>
        </w:rPr>
      </w:pPr>
    </w:p>
    <w:p w14:paraId="2AD7612A"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为进一步加强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卫生监督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执法工作，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保障人民群众健康，荣成市卫生健康局以</w:t>
      </w:r>
      <w:r>
        <w:rPr>
          <w:rFonts w:hint="eastAsia" w:ascii="仿宋_GB2312" w:hAnsi="仿宋_GB2312" w:eastAsia="仿宋_GB2312" w:cs="仿宋_GB2312"/>
          <w:sz w:val="32"/>
          <w:szCs w:val="32"/>
        </w:rPr>
        <w:t>医疗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传染病防治、</w:t>
      </w:r>
      <w:r>
        <w:rPr>
          <w:rFonts w:hint="eastAsia" w:ascii="仿宋_GB2312" w:hAnsi="仿宋_GB2312" w:eastAsia="仿宋_GB2312" w:cs="仿宋_GB2312"/>
          <w:sz w:val="32"/>
          <w:szCs w:val="32"/>
        </w:rPr>
        <w:t>公共场所、职业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餐饮具集中消毒、生活饮用水卫生、学校卫生、妇幼健康、放射卫生、消毒产品等监督项目为重点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严厉打击卫生健康领域违法违规行为，现</w:t>
      </w:r>
      <w:r>
        <w:rPr>
          <w:rFonts w:hint="eastAsia" w:ascii="仿宋_GB2312" w:hAnsi="仿宋_GB2312" w:eastAsia="仿宋_GB2312" w:cs="仿宋_GB2312"/>
          <w:sz w:val="32"/>
          <w:szCs w:val="32"/>
        </w:rPr>
        <w:t>制定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度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计划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如下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4E3197F0"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一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工作</w:t>
      </w:r>
      <w:r>
        <w:rPr>
          <w:rFonts w:hint="eastAsia" w:ascii="黑体" w:hAnsi="黑体" w:eastAsia="黑体"/>
          <w:sz w:val="32"/>
          <w:szCs w:val="32"/>
        </w:rPr>
        <w:t>目标</w:t>
      </w:r>
    </w:p>
    <w:p w14:paraId="6E23129B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一步健全卫生监督执法体系，提升执法队伍专业能力，聚焦监督执法办案主责主业，统筹运用日常监督检查、“双随机、一公开”抽查、专项行动、投诉举报核查等多种形式，规范行业秩序，查处违法违规行为，切实推动卫生健康行业高质量发展。</w:t>
      </w:r>
    </w:p>
    <w:p w14:paraId="12C48013">
      <w:pPr>
        <w:ind w:firstLine="640" w:firstLineChars="200"/>
        <w:rPr>
          <w:rFonts w:hint="eastAsia" w:ascii="黑体" w:hAnsi="黑体" w:eastAsia="黑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b w:val="0"/>
          <w:bCs w:val="0"/>
          <w:color w:val="auto"/>
          <w:sz w:val="32"/>
          <w:szCs w:val="32"/>
          <w:lang w:eastAsia="zh-CN"/>
        </w:rPr>
        <w:t>二、检查任务</w:t>
      </w:r>
    </w:p>
    <w:p w14:paraId="23428798">
      <w:pPr>
        <w:ind w:firstLine="640" w:firstLineChars="200"/>
        <w:rPr>
          <w:rFonts w:hint="eastAsia" w:ascii="楷体" w:hAnsi="楷体" w:eastAsia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/>
          <w:b w:val="0"/>
          <w:bCs/>
          <w:sz w:val="32"/>
          <w:szCs w:val="32"/>
          <w:lang w:eastAsia="zh-CN"/>
        </w:rPr>
        <w:t>（一）日常监督检查</w:t>
      </w:r>
    </w:p>
    <w:p w14:paraId="495CE7CB">
      <w:pPr>
        <w:pStyle w:val="6"/>
        <w:spacing w:before="0" w:beforeAutospacing="0" w:after="0" w:afterAutospacing="0"/>
        <w:ind w:firstLine="643" w:firstLineChars="200"/>
        <w:rPr>
          <w:rFonts w:hint="eastAsia" w:ascii="仿宋_GB2312" w:hAnsi="宋体" w:eastAsia="仿宋_GB2312" w:cs="Times New Roman"/>
          <w:b/>
          <w:bCs/>
          <w:color w:val="0000FF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Times New Roman"/>
          <w:b/>
          <w:bCs/>
          <w:kern w:val="2"/>
          <w:sz w:val="32"/>
          <w:szCs w:val="32"/>
          <w:lang w:val="en-US" w:eastAsia="zh-CN" w:bidi="ar-SA"/>
        </w:rPr>
        <w:t>1.医疗卫生方面。</w:t>
      </w:r>
      <w:r>
        <w:rPr>
          <w:rFonts w:hint="eastAsia" w:ascii="仿宋_GB2312" w:eastAsia="仿宋_GB2312"/>
          <w:sz w:val="32"/>
          <w:szCs w:val="32"/>
        </w:rPr>
        <w:t>按照卫生监督量化分级赋分标准对89家普通社会办医疗机构，94家口腔医疗机构、16家医疗美容机构、85家中医医疗机构、4家血液透析机构、3家餐（饮）具集中消毒单位进行2026年度量化评分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sz w:val="32"/>
          <w:szCs w:val="32"/>
        </w:rPr>
        <w:t>对498家医疗机构开展2026年度校验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完成受理、现场审核等</w:t>
      </w:r>
      <w:r>
        <w:rPr>
          <w:rFonts w:hint="eastAsia" w:ascii="仿宋_GB2312" w:eastAsia="仿宋_GB2312"/>
          <w:sz w:val="32"/>
          <w:szCs w:val="32"/>
          <w:lang w:eastAsia="zh-CN"/>
        </w:rPr>
        <w:t>工作；</w:t>
      </w:r>
      <w:r>
        <w:rPr>
          <w:rFonts w:hint="eastAsia" w:ascii="仿宋_GB2312" w:eastAsia="仿宋_GB2312"/>
          <w:sz w:val="32"/>
          <w:szCs w:val="32"/>
        </w:rPr>
        <w:t>对新备案的诊所进行现场核查，不符合备案条件的责令整改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sz w:val="32"/>
          <w:szCs w:val="32"/>
        </w:rPr>
        <w:t>深入开展打击无证非法行医整治、非法应用人类辅助生殖技术排查工作，同时做好普法宣传工作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4D3FA5BD">
      <w:pPr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Times New Roman"/>
          <w:b/>
          <w:bCs/>
          <w:kern w:val="2"/>
          <w:sz w:val="32"/>
          <w:szCs w:val="32"/>
          <w:lang w:val="en-US" w:eastAsia="zh-CN" w:bidi="ar-SA"/>
        </w:rPr>
        <w:t>2.公共卫生方面。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做好量化分级工作，对全市理发、美容、洗浴、游泳等场所做好量化评分并将结果进行公示；加强与其他相关部门的沟通协调，形成跨部门协作机制；围绕“预防为主、处置高效”目标，做好旅游旺季住宿业投诉管控工作，强化培训宣传，督促自查自纠，引导诚信经营。</w:t>
      </w:r>
    </w:p>
    <w:p w14:paraId="077DF247">
      <w:pPr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Times New Roman"/>
          <w:b/>
          <w:bCs/>
          <w:kern w:val="2"/>
          <w:sz w:val="32"/>
          <w:szCs w:val="32"/>
          <w:lang w:val="en-US" w:eastAsia="zh-CN" w:bidi="ar-SA"/>
        </w:rPr>
        <w:t>3.职业与放射卫生方面。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 组织全市90家放射诊疗单位开展年度校验工作，督促放射诊疗单位在规定时间内整理好各项材料，完成《放射诊疗许可证》年度校验；开展放射卫生监督规范化管理工作，结合放射诊疗单位季度报表内容开展监督检查工作；推进用人单位开展职业病危害项目申报、变更申报工作，进一步完善系统底数；完善职业卫生分类分级工作，推进用人单位进行职业卫生自查和风险评估。</w:t>
      </w:r>
    </w:p>
    <w:p w14:paraId="08F4C23F">
      <w:pPr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Times New Roman"/>
          <w:b/>
          <w:bCs/>
          <w:kern w:val="2"/>
          <w:sz w:val="32"/>
          <w:szCs w:val="32"/>
          <w:lang w:val="en-US" w:eastAsia="zh-CN" w:bidi="ar-SA"/>
        </w:rPr>
        <w:t>4.生活饮用水方面。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每周对市政供水的4家水厂出厂水进行监督监测；10月底前完成对19家集中式供水单位、5家二次供水单位、3家涉水产品生产企业、7家涉水产品销售单位的日常监督检查，完成现制现售饮用水监督抽检工作。</w:t>
      </w:r>
    </w:p>
    <w:p w14:paraId="3CB4B62A">
      <w:pPr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Times New Roman"/>
          <w:b/>
          <w:bCs/>
          <w:kern w:val="2"/>
          <w:sz w:val="32"/>
          <w:szCs w:val="32"/>
          <w:lang w:val="en-US" w:eastAsia="zh-CN" w:bidi="ar-SA"/>
        </w:rPr>
        <w:t>5.学校卫生方面。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3-11月，根据市委教育工作领导小组印发的《关于开展学校安全专项联合督查的通知》要求，对全市40家学校（区）及57家托幼机构每学期开展一次学校安全专项联合督查行动；5-8月，完成国家级和市级的“双随机”抽检工作及信息上报工作，9月底前达到完结率100%；9-12月，开展学校（幼儿园）学生常见病和相关危害因素监测，指导学生常见病防治工作。</w:t>
      </w:r>
    </w:p>
    <w:p w14:paraId="2F1B4C4C">
      <w:pPr>
        <w:ind w:firstLine="640" w:firstLineChars="200"/>
        <w:rPr>
          <w:rFonts w:hint="eastAsia" w:ascii="楷体" w:hAnsi="楷体" w:eastAsia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/>
          <w:b w:val="0"/>
          <w:bCs/>
          <w:sz w:val="32"/>
          <w:szCs w:val="32"/>
          <w:lang w:eastAsia="zh-CN"/>
        </w:rPr>
        <w:t>（二）“双随机、一公开”监督抽查</w:t>
      </w:r>
    </w:p>
    <w:p w14:paraId="7C315152">
      <w:pPr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一是</w:t>
      </w:r>
      <w:r>
        <w:rPr>
          <w:rFonts w:hint="eastAsia" w:ascii="仿宋_GB2312" w:eastAsia="仿宋_GB2312"/>
          <w:b/>
          <w:bCs/>
          <w:sz w:val="32"/>
          <w:szCs w:val="32"/>
          <w:lang w:eastAsia="zh-CN"/>
        </w:rPr>
        <w:t>国家双随机抽检。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面提高国家双随机抽检工作的完成率、完结率、公开公示率。截至10月15日前，国家双随机抽检完成率、完结率均达到100%，检查结果全部上报国家企业信用信息公示系统、荣成市人民政府门户网站，结果公示率达100%。</w:t>
      </w:r>
    </w:p>
    <w:p w14:paraId="6C7EE62F">
      <w:pPr>
        <w:ind w:firstLine="643" w:firstLineChars="200"/>
        <w:rPr>
          <w:rFonts w:hint="eastAsia" w:ascii="仿宋_GB2312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二是部门联合双随机抽查。</w:t>
      </w:r>
      <w:r>
        <w:rPr>
          <w:rFonts w:hint="eastAsia" w:ascii="仿宋_GB2312" w:hAnsi="Times New Roman" w:eastAsia="仿宋_GB2312" w:cs="Times New Roman"/>
          <w:color w:val="auto"/>
          <w:sz w:val="32"/>
          <w:szCs w:val="32"/>
          <w:lang w:val="en-US" w:eastAsia="zh-CN"/>
        </w:rPr>
        <w:t>配合其他部门开展部门联合双随机抽查，并至少自主发起1次部门联合双随机抽查，检查方案报市司法局备案，抽查结果全部上报山东省政府部门联合“双随机、一公开”监管平台。</w:t>
      </w:r>
    </w:p>
    <w:p w14:paraId="3B82079E">
      <w:pPr>
        <w:ind w:firstLine="640" w:firstLineChars="200"/>
        <w:rPr>
          <w:rFonts w:hint="eastAsia" w:ascii="楷体" w:hAnsi="楷体" w:eastAsia="楷体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 w:val="0"/>
          <w:bCs/>
          <w:sz w:val="32"/>
          <w:szCs w:val="32"/>
          <w:lang w:eastAsia="zh-CN"/>
        </w:rPr>
        <w:t>（三）</w:t>
      </w:r>
      <w:r>
        <w:rPr>
          <w:rFonts w:hint="eastAsia" w:ascii="楷体" w:hAnsi="楷体" w:eastAsia="楷体"/>
          <w:b w:val="0"/>
          <w:bCs/>
          <w:sz w:val="32"/>
          <w:szCs w:val="32"/>
          <w:lang w:val="en-US" w:eastAsia="zh-CN"/>
        </w:rPr>
        <w:t>聚焦重点监管内容，开展专项整治活动</w:t>
      </w:r>
    </w:p>
    <w:p w14:paraId="4A5924D0">
      <w:pPr>
        <w:numPr>
          <w:ilvl w:val="0"/>
          <w:numId w:val="0"/>
        </w:numPr>
        <w:ind w:firstLine="640" w:firstLineChars="200"/>
        <w:rPr>
          <w:rFonts w:hint="default" w:ascii="仿宋_GB2312" w:hAnsi="宋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Times New Roman"/>
          <w:kern w:val="2"/>
          <w:sz w:val="32"/>
          <w:szCs w:val="32"/>
          <w:lang w:val="en-US" w:eastAsia="zh-CN" w:bidi="ar-SA"/>
        </w:rPr>
        <w:t>针对重点行业、重点领域治理难点和突出问题，持之以恒地开展“蓝盾行动”等各专业领域监督执法工作，根据上级关于开展专项整治活动的要求，按计划完成医疗卫生、传染病防治、放射诊疗、公共场所、职业卫生、餐饮具集中消毒等领域</w:t>
      </w:r>
      <w:r>
        <w:rPr>
          <w:rFonts w:hint="default" w:ascii="仿宋_GB2312" w:hAnsi="宋体" w:eastAsia="仿宋_GB2312" w:cs="Times New Roman"/>
          <w:kern w:val="2"/>
          <w:sz w:val="32"/>
          <w:szCs w:val="32"/>
          <w:lang w:val="en-US" w:eastAsia="zh-CN" w:bidi="ar-SA"/>
        </w:rPr>
        <w:t>专项</w:t>
      </w:r>
      <w:r>
        <w:rPr>
          <w:rFonts w:hint="eastAsia" w:ascii="仿宋_GB2312" w:hAnsi="宋体" w:eastAsia="仿宋_GB2312" w:cs="Times New Roman"/>
          <w:kern w:val="2"/>
          <w:sz w:val="32"/>
          <w:szCs w:val="32"/>
          <w:lang w:val="en-US" w:eastAsia="zh-CN" w:bidi="ar-SA"/>
        </w:rPr>
        <w:t>监督检查，</w:t>
      </w:r>
      <w:r>
        <w:rPr>
          <w:rFonts w:hint="default" w:ascii="仿宋_GB2312" w:hAnsi="宋体" w:eastAsia="仿宋_GB2312" w:cs="Times New Roman"/>
          <w:kern w:val="2"/>
          <w:sz w:val="32"/>
          <w:szCs w:val="32"/>
          <w:lang w:val="en-US" w:eastAsia="zh-CN" w:bidi="ar-SA"/>
        </w:rPr>
        <w:t>确保专项行动取得实效。</w:t>
      </w:r>
    </w:p>
    <w:p w14:paraId="046C7553">
      <w:pPr>
        <w:ind w:firstLine="640" w:firstLineChars="200"/>
        <w:rPr>
          <w:rFonts w:hint="eastAsia" w:ascii="黑体" w:hAnsi="黑体" w:eastAsia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color w:val="auto"/>
          <w:sz w:val="32"/>
          <w:szCs w:val="32"/>
          <w:lang w:val="en-US" w:eastAsia="zh-CN"/>
        </w:rPr>
        <w:t>三、工作要求</w:t>
      </w:r>
    </w:p>
    <w:p w14:paraId="44768C03">
      <w:pPr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1.加强组织领导，明确工作责任。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高度重视，明确责任分工，将检查任务分解到具体科室、具体人员，确保确保年度执法计划各项任务落到实处。</w:t>
      </w:r>
    </w:p>
    <w:p w14:paraId="2320B071">
      <w:pPr>
        <w:ind w:firstLine="643" w:firstLineChars="200"/>
        <w:rPr>
          <w:rFonts w:hint="eastAsia" w:ascii="仿宋_GB2312" w:hAnsi="宋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2.规范执法行为，提升执法效能。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严格</w:t>
      </w:r>
      <w:r>
        <w:rPr>
          <w:rFonts w:hint="eastAsia" w:ascii="仿宋_GB2312" w:hAnsi="宋体" w:eastAsia="仿宋_GB2312" w:cs="Times New Roman"/>
          <w:kern w:val="2"/>
          <w:sz w:val="32"/>
          <w:szCs w:val="32"/>
          <w:lang w:val="en-US" w:eastAsia="zh-CN" w:bidi="ar-SA"/>
        </w:rPr>
        <w:t>落实行政执法“三项制度”，依据相关法律法规和检查标准开展检查工作，紧密结合涉企行政执法专项活</w:t>
      </w:r>
      <w:bookmarkStart w:id="0" w:name="_GoBack"/>
      <w:bookmarkEnd w:id="0"/>
      <w:r>
        <w:rPr>
          <w:rFonts w:hint="eastAsia" w:ascii="仿宋_GB2312" w:hAnsi="宋体" w:eastAsia="仿宋_GB2312" w:cs="Times New Roman"/>
          <w:kern w:val="2"/>
          <w:sz w:val="32"/>
          <w:szCs w:val="32"/>
          <w:lang w:val="en-US" w:eastAsia="zh-CN" w:bidi="ar-SA"/>
        </w:rPr>
        <w:t>动要求，依托“鲁执法”平台全过程规范执法行为，避免多头执法、重复检查，做到行政执法检查全程记录、执法决定合法合规。</w:t>
      </w:r>
    </w:p>
    <w:p w14:paraId="3BDE0083">
      <w:pPr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3.强化宣传引导，营造良好氛围。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坚持执法普法并重，利用微信公众号、新闻网站等平台，普及卫生法律法规知识，引导经营单位自觉规范经营行为，提升群众自我保护意识和防范能力，推动形成行业自律、社会共治的良好氛围。</w:t>
      </w:r>
    </w:p>
    <w:p w14:paraId="4F203116">
      <w:pPr>
        <w:ind w:firstLine="5440" w:firstLineChars="17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427B57E">
      <w:pPr>
        <w:ind w:firstLine="5440" w:firstLineChars="17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荣成市卫生健康局</w:t>
      </w:r>
    </w:p>
    <w:p w14:paraId="28D0BBD7"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2026年2月4日</w:t>
      </w:r>
    </w:p>
    <w:sectPr>
      <w:footerReference r:id="rId3" w:type="default"/>
      <w:pgSz w:w="11906" w:h="16838"/>
      <w:pgMar w:top="1383" w:right="1689" w:bottom="1383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A688C2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E4E06BA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E4E06BA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AyZDgzMDJlZjM4NzhlM2ZjMDY0ODA2ZWZjMjM0MDUifQ=="/>
  </w:docVars>
  <w:rsids>
    <w:rsidRoot w:val="00000000"/>
    <w:rsid w:val="00B839C3"/>
    <w:rsid w:val="02A63787"/>
    <w:rsid w:val="04762774"/>
    <w:rsid w:val="09CF7C54"/>
    <w:rsid w:val="1563166D"/>
    <w:rsid w:val="18DB1DC6"/>
    <w:rsid w:val="1A7B1124"/>
    <w:rsid w:val="1AA113B5"/>
    <w:rsid w:val="1CA445C6"/>
    <w:rsid w:val="1CE968F4"/>
    <w:rsid w:val="21C04F7A"/>
    <w:rsid w:val="2AB23AA0"/>
    <w:rsid w:val="2B7A5365"/>
    <w:rsid w:val="2FD14483"/>
    <w:rsid w:val="418201C1"/>
    <w:rsid w:val="41D77A52"/>
    <w:rsid w:val="46020B59"/>
    <w:rsid w:val="4607231F"/>
    <w:rsid w:val="4867318A"/>
    <w:rsid w:val="4C8A2FFB"/>
    <w:rsid w:val="57CA6A87"/>
    <w:rsid w:val="5EB3288F"/>
    <w:rsid w:val="6167659B"/>
    <w:rsid w:val="63AC6E5B"/>
    <w:rsid w:val="64C8447F"/>
    <w:rsid w:val="69704C42"/>
    <w:rsid w:val="6AB555BC"/>
    <w:rsid w:val="6B885A3A"/>
    <w:rsid w:val="72245814"/>
    <w:rsid w:val="734274A4"/>
    <w:rsid w:val="753E6043"/>
    <w:rsid w:val="7DB14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toc 1"/>
    <w:basedOn w:val="1"/>
    <w:next w:val="1"/>
    <w:autoRedefine/>
    <w:unhideWhenUsed/>
    <w:qFormat/>
    <w:uiPriority w:val="39"/>
  </w:style>
  <w:style w:type="paragraph" w:styleId="6">
    <w:name w:val="Normal (Web)"/>
    <w:basedOn w:val="1"/>
    <w:autoRedefine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FollowedHyperlink"/>
    <w:basedOn w:val="8"/>
    <w:autoRedefine/>
    <w:qFormat/>
    <w:uiPriority w:val="0"/>
    <w:rPr>
      <w:color w:val="383838"/>
      <w:u w:val="none"/>
    </w:rPr>
  </w:style>
  <w:style w:type="character" w:styleId="10">
    <w:name w:val="Emphasis"/>
    <w:basedOn w:val="8"/>
    <w:autoRedefine/>
    <w:qFormat/>
    <w:uiPriority w:val="0"/>
    <w:rPr>
      <w:i/>
    </w:rPr>
  </w:style>
  <w:style w:type="character" w:styleId="11">
    <w:name w:val="Hyperlink"/>
    <w:basedOn w:val="8"/>
    <w:autoRedefine/>
    <w:qFormat/>
    <w:uiPriority w:val="0"/>
    <w:rPr>
      <w:color w:val="38383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2004</Words>
  <Characters>2060</Characters>
  <Lines>0</Lines>
  <Paragraphs>0</Paragraphs>
  <TotalTime>2</TotalTime>
  <ScaleCrop>false</ScaleCrop>
  <LinksUpToDate>false</LinksUpToDate>
  <CharactersWithSpaces>2092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2021-01-28T00:29:00Z</dcterms:created>
  <dc:creator>Administrator</dc:creator>
  <cp:lastModifiedBy>Administrator</cp:lastModifiedBy>
  <cp:lastPrinted>2025-02-18T01:36:00Z</cp:lastPrinted>
  <dcterms:modified xsi:type="dcterms:W3CDTF">2026-02-04T07:27:08Z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53B6C12D85D44F9CA02C829692CA8083</vt:lpwstr>
  </property>
  <property fmtid="{D5CDD505-2E9C-101B-9397-08002B2CF9AE}" pid="4" name="KSOTemplateDocerSaveRecord">
    <vt:lpwstr>eyJoZGlkIjoiODAyZDgzMDJlZjM4NzhlM2ZjMDY0ODA2ZWZjMjM0MDUifQ==</vt:lpwstr>
  </property>
</Properties>
</file>