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right"/>
        <w:rPr>
          <w:rFonts w:ascii="黑体" w:hAnsi="黑体" w:eastAsia="黑体"/>
          <w:sz w:val="32"/>
          <w:szCs w:val="32"/>
          <w:highlight w:val="lightGray"/>
        </w:rPr>
      </w:pPr>
      <w:r>
        <w:rPr>
          <w:rFonts w:ascii="文星简大标宋" w:eastAsia="文星简大标宋"/>
          <w:sz w:val="84"/>
          <w:szCs w:val="84"/>
        </w:rPr>
        <w:t xml:space="preserve"> </w:t>
      </w:r>
      <w:r>
        <w:rPr>
          <w:rFonts w:hint="eastAsia" w:ascii="文星简大标宋" w:eastAsia="文星简大标宋"/>
          <w:sz w:val="84"/>
          <w:szCs w:val="84"/>
        </w:rPr>
        <w:t xml:space="preserve">   </w:t>
      </w:r>
    </w:p>
    <w:p>
      <w:pPr>
        <w:jc w:val="center"/>
        <w:rPr>
          <w:rFonts w:ascii="文星简大标宋" w:eastAsia="文星简大标宋"/>
          <w:sz w:val="84"/>
          <w:szCs w:val="84"/>
        </w:rPr>
      </w:pPr>
    </w:p>
    <w:p>
      <w:pPr>
        <w:jc w:val="center"/>
        <w:rPr>
          <w:rFonts w:ascii="文星简大标宋" w:eastAsia="文星简大标宋"/>
          <w:sz w:val="84"/>
          <w:szCs w:val="84"/>
        </w:rPr>
      </w:pPr>
    </w:p>
    <w:p>
      <w:pPr>
        <w:jc w:val="center"/>
        <w:rPr>
          <w:rFonts w:ascii="文星简大标宋" w:eastAsia="文星简大标宋"/>
          <w:sz w:val="84"/>
          <w:szCs w:val="84"/>
        </w:rPr>
      </w:pPr>
      <w:r>
        <w:rPr>
          <w:rFonts w:hint="eastAsia" w:ascii="文星简大标宋" w:eastAsia="文星简大标宋"/>
          <w:sz w:val="84"/>
          <w:szCs w:val="84"/>
        </w:rPr>
        <w:t>2017年度</w:t>
      </w:r>
    </w:p>
    <w:p>
      <w:pPr>
        <w:jc w:val="center"/>
        <w:rPr>
          <w:rFonts w:ascii="文星简大标宋" w:eastAsia="文星简大标宋"/>
          <w:sz w:val="84"/>
          <w:szCs w:val="84"/>
        </w:rPr>
      </w:pPr>
      <w:r>
        <w:rPr>
          <w:rFonts w:hint="eastAsia" w:ascii="文星简大标宋" w:eastAsia="文星简大标宋"/>
          <w:sz w:val="84"/>
          <w:szCs w:val="84"/>
        </w:rPr>
        <w:t>俚岛镇部门决算</w:t>
      </w:r>
    </w:p>
    <w:p>
      <w:pPr>
        <w:rPr>
          <w:sz w:val="52"/>
          <w:szCs w:val="52"/>
        </w:rPr>
      </w:pPr>
    </w:p>
    <w:p/>
    <w:p/>
    <w:p/>
    <w:p/>
    <w:p/>
    <w:p/>
    <w:p/>
    <w:p/>
    <w:p/>
    <w:p/>
    <w:p/>
    <w:p>
      <w:pPr>
        <w:spacing w:line="580" w:lineRule="exact"/>
      </w:pPr>
      <w:r>
        <w:br w:type="page"/>
      </w:r>
    </w:p>
    <w:p>
      <w:pPr>
        <w:spacing w:line="580" w:lineRule="exact"/>
        <w:jc w:val="center"/>
        <w:rPr>
          <w:rFonts w:ascii="黑体" w:eastAsia="黑体"/>
          <w:sz w:val="44"/>
          <w:szCs w:val="44"/>
        </w:rPr>
      </w:pPr>
      <w:r>
        <w:rPr>
          <w:rFonts w:hint="eastAsia" w:ascii="黑体" w:eastAsia="黑体"/>
          <w:sz w:val="44"/>
          <w:szCs w:val="44"/>
        </w:rPr>
        <w:t>目  录</w:t>
      </w:r>
    </w:p>
    <w:p>
      <w:pPr>
        <w:spacing w:line="580" w:lineRule="exact"/>
        <w:jc w:val="center"/>
        <w:rPr>
          <w:rFonts w:ascii="黑体" w:eastAsia="黑体"/>
          <w:sz w:val="44"/>
          <w:szCs w:val="44"/>
        </w:rPr>
      </w:pPr>
    </w:p>
    <w:p>
      <w:pPr>
        <w:spacing w:line="580" w:lineRule="exact"/>
        <w:rPr>
          <w:rFonts w:ascii="黑体" w:eastAsia="黑体"/>
          <w:sz w:val="44"/>
          <w:szCs w:val="44"/>
        </w:rPr>
      </w:pPr>
    </w:p>
    <w:p>
      <w:pPr>
        <w:spacing w:line="580" w:lineRule="exact"/>
        <w:ind w:firstLine="320" w:firstLineChars="100"/>
        <w:rPr>
          <w:rFonts w:ascii="黑体" w:eastAsia="黑体"/>
          <w:sz w:val="32"/>
          <w:szCs w:val="32"/>
        </w:rPr>
      </w:pPr>
      <w:r>
        <w:rPr>
          <w:rFonts w:hint="eastAsia" w:ascii="黑体" w:eastAsia="黑体"/>
          <w:sz w:val="32"/>
          <w:szCs w:val="32"/>
        </w:rPr>
        <w:t>第一部分  部门概况</w:t>
      </w:r>
    </w:p>
    <w:p>
      <w:pPr>
        <w:spacing w:line="580" w:lineRule="exact"/>
        <w:ind w:firstLine="320" w:firstLineChars="100"/>
        <w:rPr>
          <w:rFonts w:ascii="宋体" w:hAnsi="宋体"/>
          <w:sz w:val="36"/>
          <w:szCs w:val="36"/>
        </w:rPr>
      </w:pPr>
      <w:r>
        <w:rPr>
          <w:rFonts w:hint="eastAsia" w:ascii="宋体" w:hAnsi="宋体"/>
          <w:sz w:val="32"/>
          <w:szCs w:val="32"/>
        </w:rPr>
        <w:t>一、部门职责</w:t>
      </w:r>
    </w:p>
    <w:p>
      <w:pPr>
        <w:spacing w:line="580" w:lineRule="exact"/>
        <w:ind w:firstLine="320" w:firstLineChars="100"/>
        <w:rPr>
          <w:rFonts w:ascii="宋体" w:hAnsi="宋体"/>
          <w:sz w:val="32"/>
          <w:szCs w:val="32"/>
        </w:rPr>
      </w:pPr>
      <w:r>
        <w:rPr>
          <w:rFonts w:hint="eastAsia" w:ascii="宋体" w:hAnsi="宋体"/>
          <w:sz w:val="32"/>
          <w:szCs w:val="32"/>
        </w:rPr>
        <w:t>二、机构设置</w:t>
      </w:r>
    </w:p>
    <w:p>
      <w:pPr>
        <w:spacing w:line="580" w:lineRule="exact"/>
        <w:ind w:firstLine="320" w:firstLineChars="100"/>
        <w:rPr>
          <w:rFonts w:ascii="黑体" w:eastAsia="黑体"/>
          <w:sz w:val="32"/>
          <w:szCs w:val="32"/>
        </w:rPr>
      </w:pPr>
      <w:r>
        <w:rPr>
          <w:rFonts w:hint="eastAsia" w:ascii="黑体" w:eastAsia="黑体"/>
          <w:sz w:val="32"/>
          <w:szCs w:val="32"/>
        </w:rPr>
        <w:t>第二部分 2017年度部门决算表</w:t>
      </w:r>
    </w:p>
    <w:p>
      <w:pPr>
        <w:spacing w:line="580" w:lineRule="exact"/>
        <w:ind w:firstLine="320" w:firstLineChars="100"/>
        <w:rPr>
          <w:rFonts w:ascii="宋体" w:hAnsi="宋体"/>
          <w:sz w:val="32"/>
          <w:szCs w:val="32"/>
        </w:rPr>
      </w:pPr>
      <w:r>
        <w:rPr>
          <w:rFonts w:hint="eastAsia" w:ascii="宋体" w:hAnsi="宋体"/>
          <w:sz w:val="32"/>
          <w:szCs w:val="32"/>
        </w:rPr>
        <w:t>一、收入支出决算总表</w:t>
      </w:r>
    </w:p>
    <w:p>
      <w:pPr>
        <w:spacing w:line="580" w:lineRule="exact"/>
        <w:ind w:firstLine="320" w:firstLineChars="100"/>
        <w:rPr>
          <w:rFonts w:ascii="宋体" w:hAnsi="宋体"/>
          <w:sz w:val="32"/>
          <w:szCs w:val="32"/>
        </w:rPr>
      </w:pPr>
      <w:r>
        <w:rPr>
          <w:rFonts w:hint="eastAsia" w:ascii="宋体" w:hAnsi="宋体"/>
          <w:sz w:val="32"/>
          <w:szCs w:val="32"/>
        </w:rPr>
        <w:t>二、收入决算表</w:t>
      </w:r>
    </w:p>
    <w:p>
      <w:pPr>
        <w:spacing w:line="580" w:lineRule="exact"/>
        <w:ind w:firstLine="320" w:firstLineChars="100"/>
        <w:rPr>
          <w:rFonts w:ascii="宋体" w:hAnsi="宋体"/>
          <w:sz w:val="32"/>
          <w:szCs w:val="32"/>
        </w:rPr>
      </w:pPr>
      <w:r>
        <w:rPr>
          <w:rFonts w:hint="eastAsia" w:ascii="宋体" w:hAnsi="宋体"/>
          <w:sz w:val="32"/>
          <w:szCs w:val="32"/>
        </w:rPr>
        <w:t>三、支出决算表</w:t>
      </w:r>
    </w:p>
    <w:p>
      <w:pPr>
        <w:spacing w:line="580" w:lineRule="exact"/>
        <w:ind w:firstLine="320" w:firstLineChars="100"/>
        <w:rPr>
          <w:rFonts w:ascii="宋体" w:hAnsi="宋体"/>
          <w:sz w:val="32"/>
          <w:szCs w:val="32"/>
        </w:rPr>
      </w:pPr>
      <w:r>
        <w:rPr>
          <w:rFonts w:hint="eastAsia" w:ascii="宋体" w:hAnsi="宋体"/>
          <w:sz w:val="32"/>
          <w:szCs w:val="32"/>
        </w:rPr>
        <w:t>四、财政拨款收入支出决算总表</w:t>
      </w:r>
    </w:p>
    <w:p>
      <w:pPr>
        <w:spacing w:line="580" w:lineRule="exact"/>
        <w:ind w:firstLine="320" w:firstLineChars="100"/>
        <w:rPr>
          <w:rFonts w:ascii="宋体" w:hAnsi="宋体"/>
          <w:sz w:val="32"/>
          <w:szCs w:val="32"/>
        </w:rPr>
      </w:pPr>
      <w:r>
        <w:rPr>
          <w:rFonts w:hint="eastAsia" w:ascii="宋体" w:hAnsi="宋体"/>
          <w:sz w:val="32"/>
          <w:szCs w:val="32"/>
        </w:rPr>
        <w:t>五、一般公共预算财政拨款支出决算表</w:t>
      </w:r>
    </w:p>
    <w:p>
      <w:pPr>
        <w:spacing w:line="580" w:lineRule="exact"/>
        <w:ind w:firstLine="320" w:firstLineChars="100"/>
        <w:rPr>
          <w:rFonts w:ascii="宋体" w:hAnsi="宋体"/>
          <w:sz w:val="32"/>
          <w:szCs w:val="32"/>
        </w:rPr>
      </w:pPr>
      <w:r>
        <w:rPr>
          <w:rFonts w:hint="eastAsia" w:ascii="宋体" w:hAnsi="宋体"/>
          <w:sz w:val="32"/>
          <w:szCs w:val="32"/>
        </w:rPr>
        <w:t>六、一般公共预算财政拨款基本支出决算表</w:t>
      </w:r>
    </w:p>
    <w:p>
      <w:pPr>
        <w:spacing w:line="580" w:lineRule="exact"/>
        <w:ind w:firstLine="320" w:firstLineChars="100"/>
        <w:rPr>
          <w:rFonts w:ascii="宋体" w:hAnsi="宋体"/>
          <w:sz w:val="32"/>
          <w:szCs w:val="32"/>
        </w:rPr>
      </w:pPr>
      <w:r>
        <w:rPr>
          <w:rFonts w:hint="eastAsia" w:ascii="宋体" w:hAnsi="宋体"/>
          <w:sz w:val="32"/>
          <w:szCs w:val="32"/>
        </w:rPr>
        <w:t>七、政府性基金预算财政拨款收入支出决算表</w:t>
      </w:r>
    </w:p>
    <w:p>
      <w:pPr>
        <w:spacing w:line="580" w:lineRule="exact"/>
        <w:ind w:firstLine="320" w:firstLineChars="100"/>
        <w:rPr>
          <w:rFonts w:ascii="宋体" w:hAnsi="宋体"/>
          <w:sz w:val="32"/>
          <w:szCs w:val="32"/>
        </w:rPr>
      </w:pPr>
      <w:r>
        <w:rPr>
          <w:rFonts w:hint="eastAsia" w:ascii="宋体" w:hAnsi="宋体"/>
          <w:sz w:val="32"/>
          <w:szCs w:val="32"/>
        </w:rPr>
        <w:t>八、一般公共预算财政拨款“三公”经费支出决算表</w:t>
      </w:r>
    </w:p>
    <w:p>
      <w:pPr>
        <w:spacing w:line="580" w:lineRule="exact"/>
        <w:ind w:firstLine="320" w:firstLineChars="100"/>
        <w:rPr>
          <w:rFonts w:ascii="黑体" w:eastAsia="黑体"/>
          <w:sz w:val="32"/>
          <w:szCs w:val="32"/>
        </w:rPr>
      </w:pPr>
      <w:r>
        <w:rPr>
          <w:rFonts w:hint="eastAsia" w:ascii="黑体" w:eastAsia="黑体"/>
          <w:sz w:val="32"/>
          <w:szCs w:val="32"/>
        </w:rPr>
        <w:t>第三部分 2017年度部门决算情况和重要事项说明</w:t>
      </w:r>
    </w:p>
    <w:p>
      <w:pPr>
        <w:spacing w:line="580" w:lineRule="exact"/>
        <w:ind w:firstLine="320" w:firstLineChars="100"/>
        <w:rPr>
          <w:rFonts w:ascii="宋体" w:hAnsi="宋体"/>
          <w:sz w:val="32"/>
          <w:szCs w:val="32"/>
        </w:rPr>
      </w:pPr>
      <w:r>
        <w:rPr>
          <w:rFonts w:hint="eastAsia" w:ascii="宋体" w:hAnsi="宋体"/>
          <w:sz w:val="32"/>
          <w:szCs w:val="32"/>
        </w:rPr>
        <w:t>一、2017年度部门决算情况说明</w:t>
      </w:r>
    </w:p>
    <w:p>
      <w:pPr>
        <w:spacing w:line="580" w:lineRule="exact"/>
        <w:ind w:firstLine="320" w:firstLineChars="100"/>
        <w:rPr>
          <w:rFonts w:ascii="宋体" w:hAnsi="宋体"/>
          <w:sz w:val="32"/>
          <w:szCs w:val="32"/>
        </w:rPr>
      </w:pPr>
      <w:r>
        <w:rPr>
          <w:rFonts w:hint="eastAsia" w:ascii="宋体" w:hAnsi="宋体"/>
          <w:sz w:val="32"/>
          <w:szCs w:val="32"/>
        </w:rPr>
        <w:t>二、重要事项说明</w:t>
      </w:r>
    </w:p>
    <w:p>
      <w:pPr>
        <w:spacing w:line="580" w:lineRule="exact"/>
        <w:ind w:firstLine="320" w:firstLineChars="100"/>
        <w:rPr>
          <w:rFonts w:ascii="宋体" w:hAnsi="宋体"/>
          <w:sz w:val="32"/>
          <w:szCs w:val="32"/>
        </w:rPr>
      </w:pPr>
      <w:r>
        <w:rPr>
          <w:rFonts w:hint="eastAsia" w:ascii="黑体" w:eastAsia="黑体"/>
          <w:sz w:val="32"/>
          <w:szCs w:val="32"/>
        </w:rPr>
        <w:t>第四部分 名词解释</w:t>
      </w:r>
    </w:p>
    <w:p>
      <w:pPr>
        <w:spacing w:line="580" w:lineRule="exact"/>
        <w:ind w:left="1424" w:hanging="1424" w:hangingChars="445"/>
        <w:rPr>
          <w:rFonts w:ascii="黑体" w:eastAsia="黑体"/>
          <w:sz w:val="32"/>
          <w:szCs w:val="32"/>
        </w:rPr>
      </w:pPr>
    </w:p>
    <w:p>
      <w:pPr>
        <w:spacing w:line="580" w:lineRule="exact"/>
        <w:ind w:left="1602" w:hanging="1602" w:hangingChars="445"/>
        <w:rPr>
          <w:rFonts w:ascii="黑体" w:eastAsia="黑体"/>
          <w:sz w:val="36"/>
          <w:szCs w:val="36"/>
        </w:rPr>
      </w:pPr>
    </w:p>
    <w:p>
      <w:pPr>
        <w:ind w:left="1609" w:leftChars="766"/>
        <w:rPr>
          <w:rFonts w:ascii="黑体" w:eastAsia="黑体"/>
          <w:sz w:val="36"/>
          <w:szCs w:val="36"/>
        </w:rPr>
      </w:pPr>
    </w:p>
    <w:p>
      <w:pPr>
        <w:rPr>
          <w:rFonts w:ascii="黑体" w:eastAsia="黑体"/>
          <w:sz w:val="36"/>
          <w:szCs w:val="36"/>
        </w:rPr>
      </w:pPr>
    </w:p>
    <w:p>
      <w:pPr>
        <w:rPr>
          <w:rFonts w:ascii="黑体" w:eastAsia="黑体"/>
          <w:sz w:val="36"/>
          <w:szCs w:val="36"/>
        </w:rPr>
      </w:pPr>
    </w:p>
    <w:p>
      <w:pPr>
        <w:rPr>
          <w:rFonts w:ascii="黑体" w:eastAsia="黑体"/>
          <w:sz w:val="36"/>
          <w:szCs w:val="36"/>
        </w:rPr>
      </w:pPr>
    </w:p>
    <w:p>
      <w:pPr>
        <w:rPr>
          <w:rFonts w:ascii="黑体" w:eastAsia="黑体"/>
          <w:b/>
          <w:sz w:val="36"/>
          <w:szCs w:val="36"/>
        </w:rPr>
      </w:pPr>
    </w:p>
    <w:p>
      <w:pPr>
        <w:rPr>
          <w:rFonts w:ascii="黑体" w:eastAsia="黑体"/>
          <w:b/>
          <w:sz w:val="36"/>
          <w:szCs w:val="36"/>
        </w:rPr>
      </w:pPr>
    </w:p>
    <w:p>
      <w:pPr>
        <w:rPr>
          <w:rFonts w:ascii="黑体" w:eastAsia="黑体"/>
          <w:sz w:val="52"/>
          <w:szCs w:val="52"/>
        </w:rPr>
      </w:pPr>
      <w:r>
        <w:rPr>
          <w:rFonts w:hint="eastAsia" w:ascii="黑体" w:eastAsia="黑体"/>
          <w:sz w:val="52"/>
          <w:szCs w:val="52"/>
        </w:rPr>
        <w:t xml:space="preserve">第一部分 </w:t>
      </w:r>
    </w:p>
    <w:p>
      <w:pPr>
        <w:ind w:firstLine="1040" w:firstLineChars="200"/>
        <w:rPr>
          <w:rFonts w:ascii="黑体" w:eastAsia="黑体"/>
          <w:sz w:val="52"/>
          <w:szCs w:val="52"/>
        </w:rPr>
      </w:pPr>
    </w:p>
    <w:p>
      <w:pPr>
        <w:ind w:firstLine="1040" w:firstLineChars="200"/>
        <w:rPr>
          <w:rFonts w:ascii="黑体" w:eastAsia="黑体"/>
          <w:sz w:val="52"/>
          <w:szCs w:val="52"/>
        </w:rPr>
      </w:pPr>
    </w:p>
    <w:p>
      <w:pPr>
        <w:ind w:firstLine="1040" w:firstLineChars="200"/>
        <w:rPr>
          <w:rFonts w:ascii="黑体" w:eastAsia="黑体"/>
          <w:sz w:val="52"/>
          <w:szCs w:val="52"/>
        </w:rPr>
      </w:pPr>
    </w:p>
    <w:p>
      <w:pPr>
        <w:jc w:val="center"/>
        <w:rPr>
          <w:rFonts w:ascii="黑体" w:eastAsia="黑体"/>
          <w:sz w:val="52"/>
          <w:szCs w:val="52"/>
        </w:rPr>
      </w:pPr>
      <w:r>
        <w:rPr>
          <w:rFonts w:hint="eastAsia" w:ascii="黑体" w:eastAsia="黑体"/>
          <w:sz w:val="52"/>
          <w:szCs w:val="52"/>
        </w:rPr>
        <w:t>部门概况</w:t>
      </w:r>
    </w:p>
    <w:p>
      <w:pPr>
        <w:rPr>
          <w:rFonts w:ascii="黑体" w:eastAsia="黑体"/>
          <w:b/>
          <w:sz w:val="36"/>
          <w:szCs w:val="36"/>
        </w:rPr>
      </w:pPr>
    </w:p>
    <w:p>
      <w:pPr>
        <w:rPr>
          <w:rFonts w:ascii="黑体" w:eastAsia="黑体"/>
          <w:b/>
          <w:sz w:val="36"/>
          <w:szCs w:val="36"/>
        </w:rPr>
      </w:pPr>
    </w:p>
    <w:p>
      <w:pPr>
        <w:rPr>
          <w:rFonts w:ascii="黑体" w:eastAsia="黑体"/>
          <w:b/>
          <w:sz w:val="36"/>
          <w:szCs w:val="36"/>
        </w:rPr>
      </w:pPr>
    </w:p>
    <w:p>
      <w:pPr>
        <w:rPr>
          <w:rFonts w:ascii="黑体" w:eastAsia="黑体"/>
          <w:b/>
          <w:sz w:val="36"/>
          <w:szCs w:val="36"/>
        </w:rPr>
      </w:pPr>
    </w:p>
    <w:p>
      <w:pPr>
        <w:rPr>
          <w:rFonts w:ascii="黑体" w:eastAsia="黑体"/>
          <w:b/>
          <w:sz w:val="36"/>
          <w:szCs w:val="36"/>
        </w:rPr>
      </w:pPr>
    </w:p>
    <w:p>
      <w:pPr>
        <w:rPr>
          <w:rFonts w:ascii="黑体" w:eastAsia="黑体"/>
          <w:b/>
          <w:sz w:val="36"/>
          <w:szCs w:val="36"/>
        </w:rPr>
      </w:pPr>
    </w:p>
    <w:p>
      <w:pPr>
        <w:rPr>
          <w:rFonts w:ascii="黑体" w:eastAsia="黑体"/>
          <w:b/>
          <w:sz w:val="36"/>
          <w:szCs w:val="36"/>
        </w:rPr>
      </w:pPr>
    </w:p>
    <w:p>
      <w:pPr>
        <w:rPr>
          <w:rFonts w:ascii="黑体" w:eastAsia="黑体"/>
          <w:b/>
          <w:sz w:val="36"/>
          <w:szCs w:val="36"/>
        </w:rPr>
      </w:pPr>
    </w:p>
    <w:p>
      <w:pPr>
        <w:rPr>
          <w:rFonts w:ascii="黑体" w:eastAsia="黑体"/>
          <w:b/>
          <w:sz w:val="36"/>
          <w:szCs w:val="36"/>
        </w:rPr>
      </w:pPr>
    </w:p>
    <w:p>
      <w:pPr>
        <w:rPr>
          <w:rFonts w:ascii="黑体" w:eastAsia="黑体"/>
          <w:b/>
          <w:sz w:val="36"/>
          <w:szCs w:val="36"/>
        </w:rPr>
      </w:pPr>
    </w:p>
    <w:p>
      <w:pPr>
        <w:rPr>
          <w:rFonts w:ascii="黑体" w:eastAsia="黑体"/>
          <w:b/>
          <w:sz w:val="36"/>
          <w:szCs w:val="36"/>
        </w:rPr>
      </w:pPr>
    </w:p>
    <w:p>
      <w:pPr>
        <w:numPr>
          <w:ilvl w:val="0"/>
          <w:numId w:val="1"/>
        </w:numPr>
        <w:spacing w:line="580" w:lineRule="exact"/>
        <w:rPr>
          <w:rFonts w:ascii="黑体" w:eastAsia="黑体"/>
          <w:sz w:val="32"/>
          <w:szCs w:val="32"/>
        </w:rPr>
      </w:pPr>
      <w:r>
        <w:rPr>
          <w:rFonts w:hint="eastAsia" w:ascii="黑体" w:eastAsia="黑体"/>
          <w:sz w:val="32"/>
          <w:szCs w:val="32"/>
        </w:rPr>
        <w:t>部门职责</w:t>
      </w:r>
    </w:p>
    <w:p>
      <w:pPr>
        <w:shd w:val="clear" w:color="auto" w:fill="FFFFFF"/>
        <w:spacing w:line="390" w:lineRule="atLeast"/>
        <w:ind w:firstLine="602" w:firstLineChars="200"/>
        <w:rPr>
          <w:rFonts w:hint="eastAsia" w:ascii="仿宋_GB2312" w:hAnsi="宋体" w:eastAsia="仿宋_GB2312" w:cs="宋体"/>
          <w:color w:val="515151"/>
          <w:spacing w:val="15"/>
          <w:sz w:val="32"/>
          <w:szCs w:val="32"/>
        </w:rPr>
      </w:pPr>
      <w:r>
        <w:rPr>
          <w:rFonts w:hint="eastAsia" w:ascii="黑体" w:eastAsia="黑体"/>
          <w:b/>
          <w:sz w:val="30"/>
          <w:szCs w:val="30"/>
        </w:rPr>
        <w:t xml:space="preserve"> </w:t>
      </w:r>
      <w:r>
        <w:rPr>
          <w:rFonts w:hint="eastAsia" w:ascii="仿宋_GB2312" w:hAnsi="宋体" w:eastAsia="仿宋_GB2312" w:cs="宋体"/>
          <w:color w:val="515151"/>
          <w:spacing w:val="15"/>
          <w:sz w:val="32"/>
          <w:szCs w:val="32"/>
        </w:rPr>
        <w:t>落实国家政策，严格依法行政，发挥经济管理职能，加强政策引导，制定发展规划，服务市场主体和营造发展环境，搞好市场监管，大力促进社会事业发展，发展镇村经济、文化和社会事业，提供公共服务，维护社会稳定，构建社会主义和谐社会。</w:t>
      </w:r>
    </w:p>
    <w:p>
      <w:pPr>
        <w:widowControl/>
        <w:shd w:val="clear" w:color="auto" w:fill="FFFFFF"/>
        <w:spacing w:line="390" w:lineRule="atLeast"/>
        <w:jc w:val="left"/>
        <w:rPr>
          <w:rFonts w:hint="eastAsia" w:ascii="仿宋_GB2312" w:hAnsi="宋体" w:eastAsia="仿宋_GB2312" w:cs="宋体"/>
          <w:color w:val="515151"/>
          <w:spacing w:val="15"/>
          <w:sz w:val="32"/>
          <w:szCs w:val="32"/>
        </w:rPr>
      </w:pPr>
      <w:r>
        <w:rPr>
          <w:rFonts w:hint="eastAsia" w:ascii="宋体" w:hAnsi="宋体" w:eastAsia="仿宋_GB2312" w:cs="宋体"/>
          <w:color w:val="515151"/>
          <w:spacing w:val="15"/>
          <w:sz w:val="32"/>
          <w:szCs w:val="32"/>
        </w:rPr>
        <w:t>   </w:t>
      </w:r>
      <w:r>
        <w:rPr>
          <w:rFonts w:hint="eastAsia" w:ascii="仿宋_GB2312" w:hAnsi="宋体" w:eastAsia="仿宋_GB2312" w:cs="宋体"/>
          <w:color w:val="515151"/>
          <w:spacing w:val="15"/>
          <w:sz w:val="32"/>
          <w:szCs w:val="32"/>
        </w:rPr>
        <w:t xml:space="preserve">  （一）、执行本级人民代表大会的决议和上级国家行政机关的决定和命令，发布决定和命令；</w:t>
      </w:r>
    </w:p>
    <w:p>
      <w:pPr>
        <w:widowControl/>
        <w:shd w:val="clear" w:color="auto" w:fill="FFFFFF"/>
        <w:spacing w:line="390" w:lineRule="atLeast"/>
        <w:jc w:val="left"/>
        <w:rPr>
          <w:rFonts w:hint="eastAsia" w:ascii="仿宋_GB2312" w:hAnsi="宋体" w:eastAsia="仿宋_GB2312" w:cs="宋体"/>
          <w:color w:val="515151"/>
          <w:spacing w:val="15"/>
          <w:sz w:val="32"/>
          <w:szCs w:val="32"/>
        </w:rPr>
      </w:pPr>
      <w:r>
        <w:rPr>
          <w:rFonts w:hint="eastAsia" w:ascii="宋体" w:hAnsi="宋体" w:eastAsia="仿宋_GB2312" w:cs="宋体"/>
          <w:color w:val="515151"/>
          <w:spacing w:val="15"/>
          <w:sz w:val="32"/>
          <w:szCs w:val="32"/>
        </w:rPr>
        <w:t>   </w:t>
      </w:r>
      <w:r>
        <w:rPr>
          <w:rFonts w:hint="eastAsia" w:ascii="仿宋_GB2312" w:hAnsi="宋体" w:eastAsia="仿宋_GB2312" w:cs="宋体"/>
          <w:color w:val="515151"/>
          <w:spacing w:val="15"/>
          <w:sz w:val="32"/>
          <w:szCs w:val="32"/>
        </w:rPr>
        <w:t xml:space="preserve">  （二）、执行本行政区域内的经济和社会发展计划、预算，管理本行政区域内的经济、教育、科学、文化、卫生、体育事业和财政、民政、公安、司法行政、计划生育等行政工作；</w:t>
      </w:r>
    </w:p>
    <w:p>
      <w:pPr>
        <w:widowControl/>
        <w:shd w:val="clear" w:color="auto" w:fill="FFFFFF"/>
        <w:spacing w:line="390" w:lineRule="atLeast"/>
        <w:jc w:val="left"/>
        <w:rPr>
          <w:rFonts w:hint="eastAsia" w:ascii="仿宋_GB2312" w:hAnsi="宋体" w:eastAsia="仿宋_GB2312" w:cs="宋体"/>
          <w:color w:val="515151"/>
          <w:spacing w:val="15"/>
          <w:sz w:val="32"/>
          <w:szCs w:val="32"/>
        </w:rPr>
      </w:pPr>
      <w:r>
        <w:rPr>
          <w:rFonts w:hint="eastAsia" w:ascii="宋体" w:hAnsi="宋体" w:eastAsia="仿宋_GB2312" w:cs="宋体"/>
          <w:color w:val="515151"/>
          <w:spacing w:val="15"/>
          <w:sz w:val="32"/>
          <w:szCs w:val="32"/>
        </w:rPr>
        <w:t>   </w:t>
      </w:r>
      <w:r>
        <w:rPr>
          <w:rFonts w:hint="eastAsia" w:ascii="仿宋_GB2312" w:hAnsi="宋体" w:eastAsia="仿宋_GB2312" w:cs="宋体"/>
          <w:color w:val="515151"/>
          <w:spacing w:val="15"/>
          <w:sz w:val="32"/>
          <w:szCs w:val="32"/>
        </w:rPr>
        <w:t xml:space="preserve">  （三）、保护社会主义的全民所有的财产和劳动群众集体所有的财产，保护公民私人所有的合法财产，维护社会秩序，保障公民的人身权利、民主权利和其他权利；</w:t>
      </w:r>
    </w:p>
    <w:p>
      <w:pPr>
        <w:widowControl/>
        <w:shd w:val="clear" w:color="auto" w:fill="FFFFFF"/>
        <w:spacing w:line="390" w:lineRule="atLeast"/>
        <w:jc w:val="left"/>
        <w:rPr>
          <w:rFonts w:hint="eastAsia" w:ascii="仿宋_GB2312" w:hAnsi="宋体" w:eastAsia="仿宋_GB2312" w:cs="宋体"/>
          <w:color w:val="515151"/>
          <w:spacing w:val="15"/>
          <w:sz w:val="32"/>
          <w:szCs w:val="32"/>
        </w:rPr>
      </w:pPr>
      <w:r>
        <w:rPr>
          <w:rFonts w:hint="eastAsia" w:ascii="宋体" w:hAnsi="宋体" w:eastAsia="仿宋_GB2312" w:cs="宋体"/>
          <w:color w:val="515151"/>
          <w:spacing w:val="15"/>
          <w:sz w:val="32"/>
          <w:szCs w:val="32"/>
        </w:rPr>
        <w:t>   </w:t>
      </w:r>
      <w:r>
        <w:rPr>
          <w:rFonts w:hint="eastAsia" w:ascii="仿宋_GB2312" w:hAnsi="宋体" w:eastAsia="仿宋_GB2312" w:cs="宋体"/>
          <w:color w:val="515151"/>
          <w:spacing w:val="15"/>
          <w:sz w:val="32"/>
          <w:szCs w:val="32"/>
        </w:rPr>
        <w:t xml:space="preserve">  （四）、保护各种经济组织的合法权益；</w:t>
      </w:r>
    </w:p>
    <w:p>
      <w:pPr>
        <w:widowControl/>
        <w:shd w:val="clear" w:color="auto" w:fill="FFFFFF"/>
        <w:spacing w:line="390" w:lineRule="atLeast"/>
        <w:jc w:val="left"/>
        <w:rPr>
          <w:rFonts w:hint="eastAsia" w:ascii="仿宋_GB2312" w:hAnsi="宋体" w:eastAsia="仿宋_GB2312" w:cs="宋体"/>
          <w:color w:val="515151"/>
          <w:spacing w:val="15"/>
          <w:sz w:val="32"/>
          <w:szCs w:val="32"/>
        </w:rPr>
      </w:pPr>
      <w:r>
        <w:rPr>
          <w:rFonts w:hint="eastAsia" w:ascii="宋体" w:hAnsi="宋体" w:eastAsia="仿宋_GB2312" w:cs="宋体"/>
          <w:color w:val="515151"/>
          <w:spacing w:val="15"/>
          <w:sz w:val="32"/>
          <w:szCs w:val="32"/>
        </w:rPr>
        <w:t>   </w:t>
      </w:r>
      <w:r>
        <w:rPr>
          <w:rFonts w:hint="eastAsia" w:ascii="仿宋_GB2312" w:hAnsi="宋体" w:eastAsia="仿宋_GB2312" w:cs="宋体"/>
          <w:color w:val="515151"/>
          <w:spacing w:val="15"/>
          <w:sz w:val="32"/>
          <w:szCs w:val="32"/>
        </w:rPr>
        <w:t xml:space="preserve">  （五）、保障少数民族的权利和尊重少数民族的风俗习惯；</w:t>
      </w:r>
    </w:p>
    <w:p>
      <w:pPr>
        <w:widowControl/>
        <w:shd w:val="clear" w:color="auto" w:fill="FFFFFF"/>
        <w:spacing w:line="390" w:lineRule="atLeast"/>
        <w:jc w:val="left"/>
        <w:rPr>
          <w:rFonts w:hint="eastAsia" w:ascii="仿宋_GB2312" w:hAnsi="宋体" w:eastAsia="仿宋_GB2312" w:cs="宋体"/>
          <w:color w:val="515151"/>
          <w:spacing w:val="15"/>
          <w:sz w:val="32"/>
          <w:szCs w:val="32"/>
        </w:rPr>
      </w:pPr>
      <w:r>
        <w:rPr>
          <w:rFonts w:hint="eastAsia" w:ascii="宋体" w:hAnsi="宋体" w:eastAsia="仿宋_GB2312" w:cs="宋体"/>
          <w:color w:val="515151"/>
          <w:spacing w:val="15"/>
          <w:sz w:val="32"/>
          <w:szCs w:val="32"/>
        </w:rPr>
        <w:t>   </w:t>
      </w:r>
      <w:r>
        <w:rPr>
          <w:rFonts w:hint="eastAsia" w:ascii="仿宋_GB2312" w:hAnsi="宋体" w:eastAsia="仿宋_GB2312" w:cs="宋体"/>
          <w:color w:val="515151"/>
          <w:spacing w:val="15"/>
          <w:sz w:val="32"/>
          <w:szCs w:val="32"/>
        </w:rPr>
        <w:t xml:space="preserve">  （六）、办理上级人民政府交办的其他事项。</w:t>
      </w:r>
    </w:p>
    <w:p>
      <w:pPr>
        <w:spacing w:line="580" w:lineRule="exact"/>
        <w:rPr>
          <w:rFonts w:ascii="黑体" w:eastAsia="黑体"/>
          <w:b/>
          <w:sz w:val="30"/>
          <w:szCs w:val="30"/>
        </w:rPr>
      </w:pPr>
    </w:p>
    <w:p>
      <w:pPr>
        <w:spacing w:line="580" w:lineRule="exact"/>
        <w:rPr>
          <w:rFonts w:ascii="黑体" w:eastAsia="黑体"/>
          <w:b/>
          <w:sz w:val="30"/>
          <w:szCs w:val="30"/>
        </w:rPr>
      </w:pPr>
    </w:p>
    <w:p>
      <w:pPr>
        <w:numPr>
          <w:ilvl w:val="0"/>
          <w:numId w:val="1"/>
        </w:numPr>
        <w:spacing w:line="580" w:lineRule="exact"/>
        <w:rPr>
          <w:rFonts w:ascii="黑体" w:eastAsia="黑体"/>
          <w:sz w:val="32"/>
          <w:szCs w:val="32"/>
        </w:rPr>
      </w:pPr>
      <w:r>
        <w:rPr>
          <w:rFonts w:hint="eastAsia" w:ascii="黑体" w:eastAsia="黑体"/>
          <w:sz w:val="32"/>
          <w:szCs w:val="32"/>
        </w:rPr>
        <w:t>机构设置</w:t>
      </w:r>
    </w:p>
    <w:p>
      <w:pPr>
        <w:spacing w:line="580" w:lineRule="exact"/>
        <w:rPr>
          <w:rFonts w:ascii="仿宋_GB2312" w:hAnsi="宋体" w:eastAsia="仿宋_GB2312" w:cs="Courier New"/>
          <w:sz w:val="32"/>
          <w:szCs w:val="32"/>
        </w:rPr>
      </w:pPr>
      <w:r>
        <w:rPr>
          <w:rFonts w:hint="eastAsia" w:ascii="仿宋_GB2312" w:hAnsi="宋体" w:eastAsia="仿宋_GB2312" w:cs="Courier New"/>
          <w:sz w:val="32"/>
          <w:szCs w:val="32"/>
        </w:rPr>
        <w:t xml:space="preserve">   从决算单位构成看，俚岛镇部门决算包括：镇本级决算。</w:t>
      </w:r>
    </w:p>
    <w:p>
      <w:pPr>
        <w:spacing w:line="580" w:lineRule="exact"/>
        <w:ind w:firstLine="480" w:firstLineChars="150"/>
        <w:rPr>
          <w:rFonts w:ascii="仿宋_GB2312" w:hAnsi="宋体" w:eastAsia="仿宋_GB2312" w:cs="Courier New"/>
          <w:sz w:val="32"/>
          <w:szCs w:val="32"/>
        </w:rPr>
      </w:pPr>
      <w:r>
        <w:rPr>
          <w:rFonts w:hint="eastAsia" w:ascii="仿宋_GB2312" w:hAnsi="宋体" w:eastAsia="仿宋_GB2312" w:cs="Courier New"/>
          <w:sz w:val="32"/>
          <w:szCs w:val="32"/>
        </w:rPr>
        <w:t>纳入俚岛镇2017年度部门决算编制范围的预算单位1个，包括：</w:t>
      </w:r>
    </w:p>
    <w:p>
      <w:pPr>
        <w:spacing w:line="58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1、俚岛镇本级</w:t>
      </w:r>
    </w:p>
    <w:p>
      <w:pPr>
        <w:rPr>
          <w:rFonts w:ascii="黑体" w:eastAsia="黑体"/>
          <w:b/>
          <w:sz w:val="48"/>
          <w:szCs w:val="48"/>
        </w:rPr>
      </w:pPr>
    </w:p>
    <w:p>
      <w:pPr>
        <w:spacing w:line="580" w:lineRule="exact"/>
        <w:ind w:firstLine="480" w:firstLineChars="150"/>
        <w:rPr>
          <w:rFonts w:ascii="仿宋_GB2312" w:hAnsi="宋体" w:eastAsia="仿宋_GB2312" w:cs="Courier New"/>
          <w:sz w:val="32"/>
          <w:szCs w:val="32"/>
        </w:rPr>
      </w:pPr>
    </w:p>
    <w:p>
      <w:pPr>
        <w:spacing w:line="580" w:lineRule="exact"/>
        <w:ind w:firstLine="480" w:firstLineChars="150"/>
        <w:rPr>
          <w:rFonts w:ascii="仿宋_GB2312" w:hAnsi="宋体" w:eastAsia="仿宋_GB2312" w:cs="Courier New"/>
          <w:sz w:val="32"/>
          <w:szCs w:val="32"/>
        </w:rPr>
      </w:pPr>
    </w:p>
    <w:p>
      <w:pPr>
        <w:spacing w:line="580" w:lineRule="exact"/>
        <w:ind w:firstLine="480" w:firstLineChars="150"/>
        <w:rPr>
          <w:rFonts w:ascii="仿宋_GB2312" w:hAnsi="宋体" w:eastAsia="仿宋_GB2312" w:cs="Courier New"/>
          <w:sz w:val="32"/>
          <w:szCs w:val="32"/>
        </w:rPr>
      </w:pPr>
    </w:p>
    <w:p>
      <w:pPr>
        <w:spacing w:line="580" w:lineRule="exact"/>
        <w:ind w:firstLine="480" w:firstLineChars="150"/>
        <w:rPr>
          <w:rFonts w:ascii="仿宋_GB2312" w:hAnsi="宋体" w:eastAsia="仿宋_GB2312" w:cs="Courier New"/>
          <w:sz w:val="32"/>
          <w:szCs w:val="32"/>
        </w:rPr>
      </w:pPr>
    </w:p>
    <w:p>
      <w:pPr>
        <w:spacing w:line="580" w:lineRule="exact"/>
        <w:ind w:firstLine="480" w:firstLineChars="150"/>
        <w:rPr>
          <w:rFonts w:ascii="仿宋_GB2312" w:hAnsi="宋体" w:eastAsia="仿宋_GB2312" w:cs="Courier New"/>
          <w:sz w:val="32"/>
          <w:szCs w:val="32"/>
        </w:rPr>
      </w:pPr>
    </w:p>
    <w:p>
      <w:pPr>
        <w:spacing w:line="580" w:lineRule="exact"/>
        <w:ind w:firstLine="480" w:firstLineChars="150"/>
        <w:rPr>
          <w:rFonts w:ascii="仿宋_GB2312" w:hAnsi="宋体" w:eastAsia="仿宋_GB2312" w:cs="Courier New"/>
          <w:sz w:val="32"/>
          <w:szCs w:val="32"/>
        </w:rPr>
      </w:pPr>
    </w:p>
    <w:p>
      <w:pPr>
        <w:rPr>
          <w:rFonts w:ascii="仿宋_GB2312" w:hAnsi="宋体" w:eastAsia="仿宋_GB2312" w:cs="Courier New"/>
          <w:sz w:val="32"/>
          <w:szCs w:val="32"/>
        </w:rPr>
      </w:pPr>
    </w:p>
    <w:p>
      <w:pPr>
        <w:rPr>
          <w:rFonts w:ascii="黑体" w:eastAsia="黑体"/>
          <w:b/>
          <w:sz w:val="48"/>
          <w:szCs w:val="48"/>
        </w:rPr>
      </w:pPr>
    </w:p>
    <w:p>
      <w:pPr>
        <w:rPr>
          <w:rFonts w:ascii="黑体" w:eastAsia="黑体"/>
          <w:b/>
          <w:sz w:val="48"/>
          <w:szCs w:val="48"/>
        </w:rPr>
      </w:pPr>
    </w:p>
    <w:p>
      <w:pPr>
        <w:rPr>
          <w:rFonts w:ascii="黑体" w:eastAsia="黑体"/>
          <w:b/>
          <w:sz w:val="48"/>
          <w:szCs w:val="48"/>
        </w:rPr>
      </w:pPr>
    </w:p>
    <w:p>
      <w:pPr>
        <w:rPr>
          <w:rFonts w:ascii="黑体" w:eastAsia="黑体"/>
          <w:b/>
          <w:sz w:val="48"/>
          <w:szCs w:val="48"/>
        </w:rPr>
      </w:pPr>
    </w:p>
    <w:p>
      <w:pPr>
        <w:rPr>
          <w:rFonts w:ascii="黑体" w:eastAsia="黑体"/>
          <w:b/>
          <w:sz w:val="48"/>
          <w:szCs w:val="48"/>
        </w:rPr>
      </w:pPr>
    </w:p>
    <w:p>
      <w:pPr>
        <w:rPr>
          <w:rFonts w:ascii="黑体" w:eastAsia="黑体"/>
          <w:b/>
          <w:sz w:val="48"/>
          <w:szCs w:val="48"/>
        </w:rPr>
      </w:pPr>
    </w:p>
    <w:p>
      <w:pPr>
        <w:rPr>
          <w:rFonts w:ascii="黑体" w:eastAsia="黑体"/>
          <w:b/>
          <w:sz w:val="48"/>
          <w:szCs w:val="48"/>
        </w:rPr>
      </w:pPr>
    </w:p>
    <w:p>
      <w:pPr>
        <w:rPr>
          <w:rFonts w:ascii="黑体" w:eastAsia="黑体"/>
          <w:b/>
          <w:sz w:val="48"/>
          <w:szCs w:val="48"/>
        </w:rPr>
      </w:pPr>
    </w:p>
    <w:p>
      <w:pPr>
        <w:rPr>
          <w:rFonts w:ascii="黑体" w:eastAsia="黑体"/>
          <w:b/>
          <w:sz w:val="48"/>
          <w:szCs w:val="48"/>
        </w:rPr>
      </w:pPr>
    </w:p>
    <w:p>
      <w:pPr>
        <w:rPr>
          <w:rFonts w:ascii="黑体" w:eastAsia="黑体"/>
          <w:sz w:val="52"/>
          <w:szCs w:val="52"/>
        </w:rPr>
      </w:pPr>
      <w:r>
        <w:rPr>
          <w:rFonts w:hint="eastAsia" w:ascii="黑体" w:eastAsia="黑体"/>
          <w:sz w:val="52"/>
          <w:szCs w:val="52"/>
        </w:rPr>
        <w:t>第二部分</w:t>
      </w:r>
    </w:p>
    <w:p>
      <w:pPr>
        <w:rPr>
          <w:rFonts w:ascii="黑体" w:eastAsia="黑体"/>
          <w:sz w:val="52"/>
          <w:szCs w:val="52"/>
        </w:rPr>
      </w:pPr>
    </w:p>
    <w:p>
      <w:pPr>
        <w:rPr>
          <w:rFonts w:ascii="黑体" w:eastAsia="黑体"/>
          <w:sz w:val="52"/>
          <w:szCs w:val="52"/>
        </w:rPr>
      </w:pPr>
    </w:p>
    <w:p>
      <w:pPr>
        <w:rPr>
          <w:rFonts w:ascii="黑体" w:eastAsia="黑体"/>
          <w:sz w:val="52"/>
          <w:szCs w:val="52"/>
        </w:rPr>
      </w:pPr>
    </w:p>
    <w:p>
      <w:pPr>
        <w:ind w:left="1041" w:leftChars="372" w:hanging="260" w:hangingChars="50"/>
        <w:jc w:val="center"/>
        <w:rPr>
          <w:rFonts w:ascii="黑体" w:eastAsia="黑体"/>
          <w:sz w:val="52"/>
          <w:szCs w:val="52"/>
        </w:rPr>
      </w:pPr>
      <w:r>
        <w:rPr>
          <w:rFonts w:hint="eastAsia" w:ascii="黑体" w:eastAsia="黑体"/>
          <w:sz w:val="52"/>
          <w:szCs w:val="52"/>
        </w:rPr>
        <w:t>2017年度部门决算表</w:t>
      </w:r>
    </w:p>
    <w:p>
      <w:pPr>
        <w:rPr>
          <w:rFonts w:ascii="黑体" w:eastAsia="黑体"/>
          <w:b/>
          <w:sz w:val="30"/>
          <w:szCs w:val="30"/>
        </w:rPr>
      </w:pPr>
    </w:p>
    <w:p>
      <w:pPr>
        <w:rPr>
          <w:rFonts w:ascii="黑体" w:eastAsia="黑体"/>
          <w:b/>
          <w:sz w:val="30"/>
          <w:szCs w:val="30"/>
        </w:rPr>
      </w:pPr>
    </w:p>
    <w:p>
      <w:pPr>
        <w:rPr>
          <w:rFonts w:ascii="黑体" w:eastAsia="黑体"/>
          <w:b/>
          <w:sz w:val="30"/>
          <w:szCs w:val="30"/>
        </w:rPr>
      </w:pPr>
    </w:p>
    <w:p>
      <w:pPr>
        <w:rPr>
          <w:rFonts w:ascii="黑体" w:eastAsia="黑体"/>
          <w:b/>
          <w:sz w:val="30"/>
          <w:szCs w:val="30"/>
        </w:rPr>
      </w:pPr>
    </w:p>
    <w:p>
      <w:pPr>
        <w:rPr>
          <w:rFonts w:ascii="黑体" w:eastAsia="黑体"/>
          <w:b/>
          <w:sz w:val="30"/>
          <w:szCs w:val="30"/>
        </w:rPr>
      </w:pPr>
    </w:p>
    <w:p>
      <w:pPr>
        <w:rPr>
          <w:rFonts w:ascii="黑体" w:eastAsia="黑体"/>
          <w:b/>
          <w:sz w:val="30"/>
          <w:szCs w:val="30"/>
        </w:rPr>
      </w:pPr>
    </w:p>
    <w:p>
      <w:pPr>
        <w:rPr>
          <w:rFonts w:ascii="黑体" w:eastAsia="黑体"/>
          <w:b/>
          <w:sz w:val="30"/>
          <w:szCs w:val="30"/>
        </w:rPr>
      </w:pPr>
    </w:p>
    <w:p>
      <w:pPr>
        <w:rPr>
          <w:rFonts w:ascii="黑体" w:eastAsia="黑体"/>
          <w:b/>
          <w:sz w:val="30"/>
          <w:szCs w:val="30"/>
        </w:rPr>
      </w:pPr>
    </w:p>
    <w:p>
      <w:pPr>
        <w:rPr>
          <w:rFonts w:ascii="黑体" w:eastAsia="黑体"/>
          <w:b/>
          <w:sz w:val="30"/>
          <w:szCs w:val="30"/>
        </w:rPr>
      </w:pPr>
    </w:p>
    <w:p>
      <w:pPr>
        <w:rPr>
          <w:rFonts w:ascii="黑体" w:eastAsia="黑体"/>
          <w:b/>
          <w:sz w:val="30"/>
          <w:szCs w:val="30"/>
        </w:rPr>
      </w:pPr>
    </w:p>
    <w:p>
      <w:pPr>
        <w:rPr>
          <w:rFonts w:ascii="黑体" w:eastAsia="黑体"/>
          <w:b/>
          <w:sz w:val="30"/>
          <w:szCs w:val="30"/>
        </w:rPr>
      </w:pPr>
    </w:p>
    <w:p>
      <w:pPr>
        <w:rPr>
          <w:rFonts w:ascii="黑体" w:eastAsia="黑体"/>
          <w:b/>
          <w:sz w:val="30"/>
          <w:szCs w:val="30"/>
        </w:rPr>
      </w:pPr>
    </w:p>
    <w:p>
      <w:pPr>
        <w:rPr>
          <w:rFonts w:ascii="黑体" w:eastAsia="黑体"/>
          <w:b/>
          <w:sz w:val="30"/>
          <w:szCs w:val="30"/>
        </w:rPr>
      </w:pPr>
    </w:p>
    <w:p>
      <w:pPr>
        <w:rPr>
          <w:rFonts w:ascii="黑体" w:eastAsia="黑体"/>
          <w:b/>
          <w:sz w:val="30"/>
          <w:szCs w:val="30"/>
        </w:rPr>
      </w:pPr>
    </w:p>
    <w:p>
      <w:pPr>
        <w:rPr>
          <w:rFonts w:ascii="黑体" w:eastAsia="黑体"/>
          <w:b/>
          <w:sz w:val="30"/>
          <w:szCs w:val="30"/>
        </w:rPr>
      </w:pPr>
    </w:p>
    <w:p>
      <w:pPr>
        <w:jc w:val="center"/>
        <w:rPr>
          <w:rFonts w:ascii="仿宋_GB2312" w:hAnsi="宋体" w:eastAsia="仿宋_GB2312" w:cs="宋体"/>
          <w:kern w:val="0"/>
          <w:sz w:val="30"/>
          <w:szCs w:val="30"/>
        </w:rPr>
      </w:pPr>
      <w:bookmarkStart w:id="0" w:name="RANGE!A2:D28"/>
      <w:r>
        <w:rPr>
          <w:rFonts w:hint="eastAsia" w:ascii="仿宋_GB2312" w:eastAsia="仿宋_GB2312"/>
          <w:b/>
          <w:sz w:val="30"/>
          <w:szCs w:val="30"/>
        </w:rPr>
        <w:t>收入支出决算总表</w:t>
      </w:r>
      <w:bookmarkEnd w:id="0"/>
    </w:p>
    <w:p>
      <w:pPr>
        <w:spacing w:line="380" w:lineRule="exact"/>
        <w:rPr>
          <w:rFonts w:ascii="仿宋_GB2312" w:hAnsi="宋体" w:eastAsia="仿宋_GB2312" w:cs="宋体"/>
          <w:kern w:val="0"/>
          <w:szCs w:val="21"/>
        </w:rPr>
      </w:pPr>
      <w:r>
        <w:rPr>
          <w:rFonts w:hint="eastAsia" w:ascii="仿宋_GB2312" w:hAnsi="宋体" w:eastAsia="仿宋_GB2312" w:cs="宋体"/>
          <w:kern w:val="0"/>
          <w:szCs w:val="21"/>
        </w:rPr>
        <w:t xml:space="preserve">                                                                      公开01表部门： </w:t>
      </w:r>
      <w:r>
        <w:rPr>
          <w:rFonts w:hint="eastAsia" w:ascii="宋体" w:hAnsi="宋体" w:cs="宋体"/>
          <w:kern w:val="0"/>
          <w:sz w:val="36"/>
          <w:szCs w:val="36"/>
        </w:rPr>
        <w:t xml:space="preserve">              </w:t>
      </w:r>
      <w:r>
        <w:rPr>
          <w:rFonts w:hint="eastAsia" w:ascii="仿宋_GB2312" w:hAnsi="宋体" w:eastAsia="仿宋_GB2312" w:cs="宋体"/>
          <w:kern w:val="0"/>
          <w:sz w:val="36"/>
          <w:szCs w:val="36"/>
        </w:rPr>
        <w:t xml:space="preserve">                    </w:t>
      </w:r>
      <w:r>
        <w:rPr>
          <w:rFonts w:hint="eastAsia" w:ascii="仿宋_GB2312" w:hAnsi="宋体" w:eastAsia="仿宋_GB2312" w:cs="宋体"/>
          <w:kern w:val="0"/>
          <w:szCs w:val="21"/>
        </w:rPr>
        <w:t>金额单位：万元</w:t>
      </w:r>
    </w:p>
    <w:tbl>
      <w:tblPr>
        <w:tblStyle w:val="7"/>
        <w:tblW w:w="8646" w:type="dxa"/>
        <w:tblInd w:w="-252" w:type="dxa"/>
        <w:tblLayout w:type="autofit"/>
        <w:tblCellMar>
          <w:top w:w="0" w:type="dxa"/>
          <w:left w:w="108" w:type="dxa"/>
          <w:bottom w:w="0" w:type="dxa"/>
          <w:right w:w="108" w:type="dxa"/>
        </w:tblCellMar>
      </w:tblPr>
      <w:tblGrid>
        <w:gridCol w:w="2203"/>
        <w:gridCol w:w="567"/>
        <w:gridCol w:w="1276"/>
        <w:gridCol w:w="2835"/>
        <w:gridCol w:w="499"/>
        <w:gridCol w:w="1266"/>
      </w:tblGrid>
      <w:tr>
        <w:tblPrEx>
          <w:tblCellMar>
            <w:top w:w="0" w:type="dxa"/>
            <w:left w:w="108" w:type="dxa"/>
            <w:bottom w:w="0" w:type="dxa"/>
            <w:right w:w="108" w:type="dxa"/>
          </w:tblCellMar>
        </w:tblPrEx>
        <w:trPr>
          <w:trHeight w:val="390" w:hRule="atLeast"/>
        </w:trPr>
        <w:tc>
          <w:tcPr>
            <w:tcW w:w="4046" w:type="dxa"/>
            <w:gridSpan w:val="3"/>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收     入</w:t>
            </w:r>
          </w:p>
        </w:tc>
        <w:tc>
          <w:tcPr>
            <w:tcW w:w="460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仿宋_GB2312" w:hAnsi="宋体" w:eastAsia="仿宋_GB2312" w:cs="宋体"/>
                <w:kern w:val="0"/>
                <w:szCs w:val="21"/>
              </w:rPr>
            </w:pPr>
            <w:r>
              <w:rPr>
                <w:rFonts w:hint="eastAsia" w:ascii="仿宋_GB2312" w:hAnsi="宋体" w:eastAsia="仿宋_GB2312" w:cs="宋体"/>
                <w:kern w:val="0"/>
                <w:szCs w:val="21"/>
              </w:rPr>
              <w:t>支     出</w:t>
            </w:r>
          </w:p>
        </w:tc>
      </w:tr>
      <w:tr>
        <w:tblPrEx>
          <w:tblCellMar>
            <w:top w:w="0" w:type="dxa"/>
            <w:left w:w="108" w:type="dxa"/>
            <w:bottom w:w="0" w:type="dxa"/>
            <w:right w:w="108" w:type="dxa"/>
          </w:tblCellMar>
        </w:tblPrEx>
        <w:trPr>
          <w:trHeight w:val="19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项  目</w:t>
            </w:r>
          </w:p>
        </w:tc>
        <w:tc>
          <w:tcPr>
            <w:tcW w:w="567" w:type="dxa"/>
            <w:tcBorders>
              <w:top w:val="nil"/>
              <w:left w:val="single" w:color="auto" w:sz="4" w:space="0"/>
              <w:bottom w:val="single" w:color="auto" w:sz="4" w:space="0"/>
              <w:right w:val="single" w:color="auto" w:sz="4" w:space="0"/>
            </w:tcBorders>
            <w:shd w:val="clear" w:color="auto" w:fill="auto"/>
            <w:vAlign w:val="center"/>
          </w:tcPr>
          <w:p>
            <w:pPr>
              <w:jc w:val="center"/>
              <w:rPr>
                <w:rFonts w:ascii="宋体" w:hAnsi="宋体" w:cs="宋体"/>
                <w:kern w:val="0"/>
                <w:sz w:val="20"/>
                <w:szCs w:val="20"/>
              </w:rPr>
            </w:pPr>
            <w:r>
              <w:rPr>
                <w:rFonts w:hint="eastAsia" w:ascii="宋体" w:hAnsi="宋体" w:cs="宋体"/>
                <w:kern w:val="0"/>
                <w:sz w:val="20"/>
                <w:szCs w:val="20"/>
              </w:rPr>
              <w:t>行次</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rPr>
                <w:rFonts w:ascii="仿宋_GB2312" w:hAnsi="宋体" w:eastAsia="仿宋_GB2312" w:cs="宋体"/>
                <w:kern w:val="0"/>
                <w:szCs w:val="21"/>
              </w:rPr>
            </w:pPr>
            <w:r>
              <w:rPr>
                <w:rFonts w:hint="eastAsia" w:ascii="仿宋_GB2312" w:hAnsi="宋体" w:eastAsia="仿宋_GB2312" w:cs="宋体"/>
                <w:kern w:val="0"/>
                <w:szCs w:val="21"/>
              </w:rPr>
              <w:t>决算数</w:t>
            </w:r>
          </w:p>
        </w:tc>
        <w:tc>
          <w:tcPr>
            <w:tcW w:w="2835" w:type="dxa"/>
            <w:tcBorders>
              <w:top w:val="nil"/>
              <w:left w:val="nil"/>
              <w:bottom w:val="single" w:color="auto" w:sz="4" w:space="0"/>
              <w:right w:val="single" w:color="auto" w:sz="4" w:space="0"/>
            </w:tcBorders>
            <w:shd w:val="clear" w:color="auto" w:fill="auto"/>
            <w:noWrap/>
            <w:vAlign w:val="center"/>
          </w:tcPr>
          <w:p>
            <w:pPr>
              <w:widowControl/>
              <w:jc w:val="center"/>
              <w:rPr>
                <w:rFonts w:ascii="仿宋_GB2312" w:hAnsi="宋体" w:eastAsia="仿宋_GB2312" w:cs="宋体"/>
                <w:kern w:val="0"/>
                <w:szCs w:val="21"/>
              </w:rPr>
            </w:pPr>
            <w:r>
              <w:rPr>
                <w:rFonts w:hint="eastAsia" w:ascii="仿宋_GB2312" w:hAnsi="宋体" w:eastAsia="仿宋_GB2312" w:cs="宋体"/>
                <w:kern w:val="0"/>
                <w:szCs w:val="21"/>
              </w:rPr>
              <w:t>项目(按功能分类)</w:t>
            </w:r>
          </w:p>
        </w:tc>
        <w:tc>
          <w:tcPr>
            <w:tcW w:w="499" w:type="dxa"/>
            <w:tcBorders>
              <w:top w:val="nil"/>
              <w:left w:val="single" w:color="auto" w:sz="4" w:space="0"/>
              <w:bottom w:val="single" w:color="auto" w:sz="4" w:space="0"/>
              <w:right w:val="nil"/>
            </w:tcBorders>
            <w:shd w:val="clear" w:color="auto" w:fill="auto"/>
            <w:vAlign w:val="center"/>
          </w:tcPr>
          <w:p>
            <w:pPr>
              <w:widowControl/>
              <w:jc w:val="center"/>
              <w:rPr>
                <w:rFonts w:ascii="仿宋_GB2312" w:hAnsi="宋体" w:eastAsia="仿宋_GB2312" w:cs="宋体"/>
                <w:kern w:val="0"/>
                <w:szCs w:val="21"/>
              </w:rPr>
            </w:pPr>
            <w:r>
              <w:rPr>
                <w:rFonts w:hint="eastAsia" w:ascii="仿宋_GB2312" w:hAnsi="宋体" w:eastAsia="仿宋_GB2312" w:cs="宋体"/>
                <w:kern w:val="0"/>
                <w:szCs w:val="21"/>
              </w:rPr>
              <w:t>行次</w:t>
            </w:r>
          </w:p>
        </w:tc>
        <w:tc>
          <w:tcPr>
            <w:tcW w:w="1266"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仿宋_GB2312" w:hAnsi="宋体" w:eastAsia="仿宋_GB2312" w:cs="宋体"/>
                <w:kern w:val="0"/>
                <w:szCs w:val="21"/>
              </w:rPr>
            </w:pPr>
            <w:r>
              <w:rPr>
                <w:rFonts w:hint="eastAsia" w:ascii="仿宋_GB2312" w:hAnsi="宋体" w:eastAsia="仿宋_GB2312" w:cs="宋体"/>
                <w:kern w:val="0"/>
                <w:szCs w:val="21"/>
              </w:rPr>
              <w:t>决算数</w:t>
            </w:r>
          </w:p>
        </w:tc>
      </w:tr>
      <w:tr>
        <w:tblPrEx>
          <w:tblCellMar>
            <w:top w:w="0" w:type="dxa"/>
            <w:left w:w="108" w:type="dxa"/>
            <w:bottom w:w="0" w:type="dxa"/>
            <w:right w:w="108" w:type="dxa"/>
          </w:tblCellMar>
        </w:tblPrEx>
        <w:trPr>
          <w:trHeight w:val="25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rPr>
                <w:rFonts w:ascii="宋体" w:hAnsi="宋体" w:cs="宋体"/>
                <w:kern w:val="0"/>
                <w:sz w:val="20"/>
                <w:szCs w:val="20"/>
              </w:rPr>
            </w:pPr>
            <w:r>
              <w:rPr>
                <w:rFonts w:hint="eastAsia" w:ascii="宋体" w:hAnsi="宋体" w:cs="宋体"/>
                <w:kern w:val="0"/>
                <w:sz w:val="20"/>
                <w:szCs w:val="20"/>
              </w:rPr>
              <w:t xml:space="preserve">         栏 次</w:t>
            </w: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1</w:t>
            </w:r>
          </w:p>
        </w:tc>
        <w:tc>
          <w:tcPr>
            <w:tcW w:w="2835"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栏 次</w:t>
            </w:r>
          </w:p>
        </w:tc>
        <w:tc>
          <w:tcPr>
            <w:tcW w:w="49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p>
        </w:tc>
        <w:tc>
          <w:tcPr>
            <w:tcW w:w="126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2</w:t>
            </w:r>
          </w:p>
        </w:tc>
      </w:tr>
      <w:tr>
        <w:tblPrEx>
          <w:tblCellMar>
            <w:top w:w="0" w:type="dxa"/>
            <w:left w:w="108" w:type="dxa"/>
            <w:bottom w:w="0" w:type="dxa"/>
            <w:right w:w="108" w:type="dxa"/>
          </w:tblCellMar>
        </w:tblPrEx>
        <w:trPr>
          <w:trHeight w:val="25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一、财政拨款收入</w:t>
            </w: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1</w:t>
            </w:r>
          </w:p>
        </w:tc>
        <w:tc>
          <w:tcPr>
            <w:tcW w:w="127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18547.64</w:t>
            </w:r>
          </w:p>
        </w:tc>
        <w:tc>
          <w:tcPr>
            <w:tcW w:w="283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（按功能科目）</w:t>
            </w:r>
          </w:p>
        </w:tc>
        <w:tc>
          <w:tcPr>
            <w:tcW w:w="49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30</w:t>
            </w:r>
          </w:p>
        </w:tc>
        <w:tc>
          <w:tcPr>
            <w:tcW w:w="126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二、上级补助收入</w:t>
            </w: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2</w:t>
            </w:r>
          </w:p>
        </w:tc>
        <w:tc>
          <w:tcPr>
            <w:tcW w:w="127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一、一般公共服务支出</w:t>
            </w:r>
          </w:p>
        </w:tc>
        <w:tc>
          <w:tcPr>
            <w:tcW w:w="49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31</w:t>
            </w:r>
          </w:p>
        </w:tc>
        <w:tc>
          <w:tcPr>
            <w:tcW w:w="126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514.88</w:t>
            </w:r>
          </w:p>
        </w:tc>
      </w:tr>
      <w:tr>
        <w:tblPrEx>
          <w:tblCellMar>
            <w:top w:w="0" w:type="dxa"/>
            <w:left w:w="108" w:type="dxa"/>
            <w:bottom w:w="0" w:type="dxa"/>
            <w:right w:w="108" w:type="dxa"/>
          </w:tblCellMar>
        </w:tblPrEx>
        <w:trPr>
          <w:trHeight w:val="390"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三、事业收入</w:t>
            </w: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3</w:t>
            </w:r>
          </w:p>
        </w:tc>
        <w:tc>
          <w:tcPr>
            <w:tcW w:w="1276"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二、外交支出</w:t>
            </w:r>
          </w:p>
        </w:tc>
        <w:tc>
          <w:tcPr>
            <w:tcW w:w="499" w:type="dxa"/>
            <w:tcBorders>
              <w:top w:val="nil"/>
              <w:left w:val="single" w:color="auto" w:sz="4" w:space="0"/>
              <w:bottom w:val="single" w:color="auto" w:sz="4" w:space="0"/>
              <w:right w:val="nil"/>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32</w:t>
            </w:r>
          </w:p>
        </w:tc>
        <w:tc>
          <w:tcPr>
            <w:tcW w:w="1266" w:type="dxa"/>
            <w:tcBorders>
              <w:top w:val="nil"/>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0.00</w:t>
            </w: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四、经营收入</w:t>
            </w: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4</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20"/>
                <w:szCs w:val="20"/>
              </w:rPr>
            </w:pPr>
            <w:r>
              <w:rPr>
                <w:rFonts w:hint="eastAsia" w:ascii="宋体" w:hAnsi="宋体" w:cs="宋体"/>
                <w:kern w:val="0"/>
                <w:sz w:val="20"/>
                <w:szCs w:val="20"/>
              </w:rPr>
              <w:t>三、国防支出</w:t>
            </w:r>
          </w:p>
        </w:tc>
        <w:tc>
          <w:tcPr>
            <w:tcW w:w="499" w:type="dxa"/>
            <w:tcBorders>
              <w:top w:val="nil"/>
              <w:left w:val="single" w:color="auto" w:sz="4" w:space="0"/>
              <w:bottom w:val="single" w:color="auto" w:sz="4" w:space="0"/>
              <w:right w:val="nil"/>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33</w:t>
            </w:r>
          </w:p>
        </w:tc>
        <w:tc>
          <w:tcPr>
            <w:tcW w:w="1266" w:type="dxa"/>
            <w:tcBorders>
              <w:top w:val="nil"/>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0.00</w:t>
            </w: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五、附属单位上缴收入</w:t>
            </w: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5</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20"/>
                <w:szCs w:val="20"/>
              </w:rPr>
            </w:pPr>
            <w:r>
              <w:rPr>
                <w:rFonts w:hint="eastAsia" w:ascii="宋体" w:hAnsi="宋体" w:cs="宋体"/>
                <w:kern w:val="0"/>
                <w:sz w:val="20"/>
                <w:szCs w:val="20"/>
              </w:rPr>
              <w:t>四、公共安全支出</w:t>
            </w:r>
          </w:p>
        </w:tc>
        <w:tc>
          <w:tcPr>
            <w:tcW w:w="499" w:type="dxa"/>
            <w:tcBorders>
              <w:top w:val="nil"/>
              <w:left w:val="single" w:color="auto" w:sz="4" w:space="0"/>
              <w:bottom w:val="single" w:color="auto" w:sz="4" w:space="0"/>
              <w:right w:val="nil"/>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34</w:t>
            </w:r>
          </w:p>
        </w:tc>
        <w:tc>
          <w:tcPr>
            <w:tcW w:w="1266" w:type="dxa"/>
            <w:tcBorders>
              <w:top w:val="nil"/>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0.00</w:t>
            </w: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六、其他收入</w:t>
            </w: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6</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20"/>
                <w:szCs w:val="20"/>
              </w:rPr>
            </w:pPr>
            <w:r>
              <w:rPr>
                <w:rFonts w:hint="eastAsia" w:ascii="宋体" w:hAnsi="宋体" w:cs="宋体"/>
                <w:kern w:val="0"/>
                <w:sz w:val="20"/>
                <w:szCs w:val="20"/>
              </w:rPr>
              <w:t>五、教育支出</w:t>
            </w:r>
          </w:p>
        </w:tc>
        <w:tc>
          <w:tcPr>
            <w:tcW w:w="499" w:type="dxa"/>
            <w:tcBorders>
              <w:top w:val="nil"/>
              <w:left w:val="single" w:color="auto" w:sz="4" w:space="0"/>
              <w:bottom w:val="single" w:color="auto" w:sz="4" w:space="0"/>
              <w:right w:val="nil"/>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35</w:t>
            </w:r>
          </w:p>
        </w:tc>
        <w:tc>
          <w:tcPr>
            <w:tcW w:w="1266" w:type="dxa"/>
            <w:tcBorders>
              <w:top w:val="nil"/>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6532.20</w:t>
            </w:r>
          </w:p>
        </w:tc>
      </w:tr>
      <w:tr>
        <w:tblPrEx>
          <w:tblCellMar>
            <w:top w:w="0" w:type="dxa"/>
            <w:left w:w="108" w:type="dxa"/>
            <w:bottom w:w="0" w:type="dxa"/>
            <w:right w:w="108" w:type="dxa"/>
          </w:tblCellMar>
        </w:tblPrEx>
        <w:trPr>
          <w:trHeight w:val="330"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7</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20"/>
                <w:szCs w:val="20"/>
              </w:rPr>
            </w:pPr>
            <w:r>
              <w:rPr>
                <w:rFonts w:hint="eastAsia" w:ascii="宋体" w:hAnsi="宋体" w:cs="宋体"/>
                <w:kern w:val="0"/>
                <w:sz w:val="20"/>
                <w:szCs w:val="20"/>
              </w:rPr>
              <w:t>六、科学技术支出</w:t>
            </w:r>
          </w:p>
        </w:tc>
        <w:tc>
          <w:tcPr>
            <w:tcW w:w="499" w:type="dxa"/>
            <w:tcBorders>
              <w:top w:val="nil"/>
              <w:left w:val="single" w:color="auto" w:sz="4" w:space="0"/>
              <w:bottom w:val="single" w:color="auto" w:sz="4" w:space="0"/>
              <w:right w:val="nil"/>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36</w:t>
            </w:r>
          </w:p>
        </w:tc>
        <w:tc>
          <w:tcPr>
            <w:tcW w:w="1266" w:type="dxa"/>
            <w:tcBorders>
              <w:top w:val="nil"/>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0.00</w:t>
            </w: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cs="宋体"/>
                <w:kern w:val="0"/>
                <w:sz w:val="20"/>
                <w:szCs w:val="20"/>
              </w:rPr>
            </w:pPr>
            <w:r>
              <w:rPr>
                <w:rFonts w:hint="eastAsia" w:ascii="宋体" w:hAnsi="宋体" w:cs="宋体"/>
                <w:kern w:val="0"/>
                <w:sz w:val="20"/>
                <w:szCs w:val="20"/>
              </w:rPr>
              <w:t>　</w:t>
            </w:r>
          </w:p>
        </w:tc>
        <w:tc>
          <w:tcPr>
            <w:tcW w:w="567" w:type="dxa"/>
            <w:tcBorders>
              <w:top w:val="nil"/>
              <w:left w:val="single" w:color="auto" w:sz="4" w:space="0"/>
              <w:bottom w:val="single" w:color="auto" w:sz="4" w:space="0"/>
              <w:right w:val="single" w:color="auto" w:sz="4" w:space="0"/>
            </w:tcBorders>
            <w:shd w:val="clear" w:color="auto" w:fill="auto"/>
            <w:vAlign w:val="bottom"/>
          </w:tcPr>
          <w:p>
            <w:pPr>
              <w:widowControl/>
              <w:jc w:val="center"/>
              <w:rPr>
                <w:rFonts w:ascii="宋体" w:hAnsi="宋体" w:cs="宋体"/>
                <w:kern w:val="0"/>
                <w:sz w:val="20"/>
                <w:szCs w:val="20"/>
              </w:rPr>
            </w:pPr>
            <w:r>
              <w:rPr>
                <w:rFonts w:hint="eastAsia" w:ascii="宋体" w:hAnsi="宋体" w:cs="宋体"/>
                <w:kern w:val="0"/>
                <w:sz w:val="20"/>
                <w:szCs w:val="20"/>
              </w:rPr>
              <w:t>8</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20"/>
                <w:szCs w:val="20"/>
              </w:rPr>
            </w:pPr>
            <w:r>
              <w:rPr>
                <w:rFonts w:hint="eastAsia" w:ascii="宋体" w:hAnsi="宋体" w:cs="宋体"/>
                <w:kern w:val="0"/>
                <w:sz w:val="20"/>
                <w:szCs w:val="20"/>
              </w:rPr>
              <w:t>七、文化体育与传媒支出</w:t>
            </w:r>
          </w:p>
        </w:tc>
        <w:tc>
          <w:tcPr>
            <w:tcW w:w="499" w:type="dxa"/>
            <w:tcBorders>
              <w:top w:val="nil"/>
              <w:left w:val="single" w:color="auto" w:sz="4" w:space="0"/>
              <w:bottom w:val="single" w:color="auto" w:sz="4" w:space="0"/>
              <w:right w:val="nil"/>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37</w:t>
            </w:r>
          </w:p>
        </w:tc>
        <w:tc>
          <w:tcPr>
            <w:tcW w:w="1266" w:type="dxa"/>
            <w:tcBorders>
              <w:top w:val="nil"/>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28.74</w:t>
            </w: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cs="宋体"/>
                <w:kern w:val="0"/>
                <w:sz w:val="20"/>
                <w:szCs w:val="20"/>
              </w:rPr>
            </w:pPr>
          </w:p>
        </w:tc>
        <w:tc>
          <w:tcPr>
            <w:tcW w:w="567" w:type="dxa"/>
            <w:tcBorders>
              <w:top w:val="nil"/>
              <w:left w:val="single" w:color="auto" w:sz="4" w:space="0"/>
              <w:bottom w:val="single" w:color="auto" w:sz="4" w:space="0"/>
              <w:right w:val="single" w:color="auto" w:sz="4" w:space="0"/>
            </w:tcBorders>
            <w:shd w:val="clear" w:color="auto" w:fill="auto"/>
            <w:vAlign w:val="bottom"/>
          </w:tcPr>
          <w:p>
            <w:pPr>
              <w:widowControl/>
              <w:jc w:val="center"/>
              <w:rPr>
                <w:rFonts w:ascii="宋体" w:hAnsi="宋体" w:cs="宋体"/>
                <w:kern w:val="0"/>
                <w:sz w:val="20"/>
                <w:szCs w:val="20"/>
              </w:rPr>
            </w:pPr>
            <w:r>
              <w:rPr>
                <w:rFonts w:hint="eastAsia" w:ascii="宋体" w:hAnsi="宋体" w:cs="宋体"/>
                <w:kern w:val="0"/>
                <w:sz w:val="20"/>
                <w:szCs w:val="20"/>
              </w:rPr>
              <w:t>9</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20"/>
                <w:szCs w:val="20"/>
              </w:rPr>
            </w:pPr>
            <w:r>
              <w:rPr>
                <w:rFonts w:hint="eastAsia" w:ascii="宋体" w:hAnsi="宋体" w:cs="宋体"/>
                <w:kern w:val="0"/>
                <w:sz w:val="20"/>
                <w:szCs w:val="20"/>
              </w:rPr>
              <w:t>八、社会保障和就业支出</w:t>
            </w:r>
          </w:p>
        </w:tc>
        <w:tc>
          <w:tcPr>
            <w:tcW w:w="499" w:type="dxa"/>
            <w:tcBorders>
              <w:top w:val="nil"/>
              <w:left w:val="single" w:color="auto" w:sz="4" w:space="0"/>
              <w:bottom w:val="single" w:color="auto" w:sz="4" w:space="0"/>
              <w:right w:val="nil"/>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38</w:t>
            </w:r>
          </w:p>
        </w:tc>
        <w:tc>
          <w:tcPr>
            <w:tcW w:w="1266" w:type="dxa"/>
            <w:tcBorders>
              <w:top w:val="nil"/>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231.21</w:t>
            </w: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cs="宋体"/>
                <w:kern w:val="0"/>
                <w:sz w:val="20"/>
                <w:szCs w:val="20"/>
              </w:rPr>
            </w:pPr>
            <w:r>
              <w:rPr>
                <w:rFonts w:hint="eastAsia" w:ascii="宋体" w:hAnsi="宋体" w:cs="宋体"/>
                <w:kern w:val="0"/>
                <w:sz w:val="20"/>
                <w:szCs w:val="20"/>
              </w:rPr>
              <w:t>　</w:t>
            </w:r>
          </w:p>
        </w:tc>
        <w:tc>
          <w:tcPr>
            <w:tcW w:w="567" w:type="dxa"/>
            <w:tcBorders>
              <w:top w:val="nil"/>
              <w:left w:val="single" w:color="auto" w:sz="4" w:space="0"/>
              <w:bottom w:val="single" w:color="auto" w:sz="4" w:space="0"/>
              <w:right w:val="single" w:color="auto" w:sz="4" w:space="0"/>
            </w:tcBorders>
            <w:shd w:val="clear" w:color="auto" w:fill="auto"/>
            <w:vAlign w:val="bottom"/>
          </w:tcPr>
          <w:p>
            <w:pPr>
              <w:widowControl/>
              <w:jc w:val="center"/>
              <w:rPr>
                <w:rFonts w:ascii="宋体" w:hAnsi="宋体" w:cs="宋体"/>
                <w:kern w:val="0"/>
                <w:sz w:val="20"/>
                <w:szCs w:val="20"/>
              </w:rPr>
            </w:pPr>
            <w:r>
              <w:rPr>
                <w:rFonts w:hint="eastAsia" w:ascii="宋体" w:hAnsi="宋体" w:cs="宋体"/>
                <w:kern w:val="0"/>
                <w:sz w:val="20"/>
                <w:szCs w:val="20"/>
              </w:rPr>
              <w:t>10</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20"/>
                <w:szCs w:val="20"/>
              </w:rPr>
            </w:pPr>
            <w:r>
              <w:rPr>
                <w:rFonts w:hint="eastAsia" w:ascii="宋体" w:hAnsi="宋体" w:cs="宋体"/>
                <w:kern w:val="0"/>
                <w:sz w:val="20"/>
                <w:szCs w:val="20"/>
              </w:rPr>
              <w:t>九、医疗卫生与计划生育支出</w:t>
            </w:r>
          </w:p>
        </w:tc>
        <w:tc>
          <w:tcPr>
            <w:tcW w:w="499" w:type="dxa"/>
            <w:tcBorders>
              <w:top w:val="nil"/>
              <w:left w:val="single" w:color="auto" w:sz="4" w:space="0"/>
              <w:bottom w:val="single" w:color="auto" w:sz="4" w:space="0"/>
              <w:right w:val="nil"/>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39</w:t>
            </w:r>
          </w:p>
        </w:tc>
        <w:tc>
          <w:tcPr>
            <w:tcW w:w="1266" w:type="dxa"/>
            <w:tcBorders>
              <w:top w:val="nil"/>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122.29</w:t>
            </w: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ascii="宋体" w:hAnsi="宋体" w:cs="宋体"/>
                <w:kern w:val="0"/>
                <w:sz w:val="20"/>
                <w:szCs w:val="20"/>
              </w:rPr>
            </w:pPr>
          </w:p>
        </w:tc>
        <w:tc>
          <w:tcPr>
            <w:tcW w:w="567" w:type="dxa"/>
            <w:tcBorders>
              <w:top w:val="nil"/>
              <w:left w:val="single" w:color="auto" w:sz="4" w:space="0"/>
              <w:bottom w:val="single" w:color="auto" w:sz="4" w:space="0"/>
              <w:right w:val="single" w:color="auto" w:sz="4" w:space="0"/>
            </w:tcBorders>
            <w:shd w:val="clear" w:color="auto" w:fill="auto"/>
            <w:vAlign w:val="bottom"/>
          </w:tcPr>
          <w:p>
            <w:pPr>
              <w:widowControl/>
              <w:jc w:val="center"/>
              <w:rPr>
                <w:rFonts w:ascii="宋体" w:hAnsi="宋体" w:cs="宋体"/>
                <w:kern w:val="0"/>
                <w:sz w:val="20"/>
                <w:szCs w:val="20"/>
              </w:rPr>
            </w:pPr>
            <w:r>
              <w:rPr>
                <w:rFonts w:hint="eastAsia" w:ascii="宋体" w:hAnsi="宋体" w:cs="宋体"/>
                <w:kern w:val="0"/>
                <w:sz w:val="20"/>
                <w:szCs w:val="20"/>
              </w:rPr>
              <w:t>11</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20"/>
                <w:szCs w:val="20"/>
              </w:rPr>
            </w:pPr>
            <w:r>
              <w:rPr>
                <w:rFonts w:hint="eastAsia" w:ascii="宋体" w:hAnsi="宋体" w:cs="宋体"/>
                <w:kern w:val="0"/>
                <w:sz w:val="20"/>
                <w:szCs w:val="20"/>
              </w:rPr>
              <w:t>十、节能环保支出</w:t>
            </w:r>
          </w:p>
        </w:tc>
        <w:tc>
          <w:tcPr>
            <w:tcW w:w="499" w:type="dxa"/>
            <w:tcBorders>
              <w:top w:val="nil"/>
              <w:left w:val="single" w:color="auto" w:sz="4" w:space="0"/>
              <w:bottom w:val="single" w:color="auto" w:sz="4" w:space="0"/>
              <w:right w:val="nil"/>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40</w:t>
            </w:r>
          </w:p>
        </w:tc>
        <w:tc>
          <w:tcPr>
            <w:tcW w:w="1266" w:type="dxa"/>
            <w:tcBorders>
              <w:top w:val="nil"/>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0.00</w:t>
            </w: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12</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vAlign w:val="center"/>
          </w:tcPr>
          <w:p>
            <w:pPr>
              <w:widowControl/>
              <w:rPr>
                <w:rFonts w:ascii="宋体" w:hAnsi="宋体" w:cs="宋体"/>
                <w:kern w:val="0"/>
                <w:sz w:val="20"/>
                <w:szCs w:val="20"/>
              </w:rPr>
            </w:pPr>
            <w:r>
              <w:rPr>
                <w:rFonts w:hint="eastAsia" w:ascii="宋体" w:hAnsi="宋体" w:cs="宋体"/>
                <w:kern w:val="0"/>
                <w:sz w:val="20"/>
                <w:szCs w:val="20"/>
              </w:rPr>
              <w:t>十一、城乡社区支出</w:t>
            </w:r>
          </w:p>
        </w:tc>
        <w:tc>
          <w:tcPr>
            <w:tcW w:w="499" w:type="dxa"/>
            <w:tcBorders>
              <w:top w:val="nil"/>
              <w:left w:val="single" w:color="auto" w:sz="4" w:space="0"/>
              <w:bottom w:val="single" w:color="auto" w:sz="4" w:space="0"/>
              <w:right w:val="nil"/>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41</w:t>
            </w:r>
          </w:p>
        </w:tc>
        <w:tc>
          <w:tcPr>
            <w:tcW w:w="1266" w:type="dxa"/>
            <w:tcBorders>
              <w:top w:val="nil"/>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7785.04</w:t>
            </w:r>
          </w:p>
        </w:tc>
      </w:tr>
      <w:tr>
        <w:tblPrEx>
          <w:tblCellMar>
            <w:top w:w="0" w:type="dxa"/>
            <w:left w:w="108" w:type="dxa"/>
            <w:bottom w:w="0" w:type="dxa"/>
            <w:right w:w="108" w:type="dxa"/>
          </w:tblCellMar>
        </w:tblPrEx>
        <w:trPr>
          <w:trHeight w:val="281"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13</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vAlign w:val="center"/>
          </w:tcPr>
          <w:p>
            <w:pPr>
              <w:widowControl/>
              <w:rPr>
                <w:rFonts w:ascii="宋体" w:hAnsi="宋体" w:cs="宋体"/>
                <w:kern w:val="0"/>
                <w:sz w:val="20"/>
                <w:szCs w:val="20"/>
              </w:rPr>
            </w:pPr>
            <w:r>
              <w:rPr>
                <w:rFonts w:hint="eastAsia" w:ascii="宋体" w:hAnsi="宋体" w:cs="宋体"/>
                <w:kern w:val="0"/>
                <w:sz w:val="20"/>
                <w:szCs w:val="20"/>
              </w:rPr>
              <w:t>十二、农林水支出</w:t>
            </w:r>
          </w:p>
        </w:tc>
        <w:tc>
          <w:tcPr>
            <w:tcW w:w="49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42</w:t>
            </w:r>
          </w:p>
        </w:tc>
        <w:tc>
          <w:tcPr>
            <w:tcW w:w="126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2902.12</w:t>
            </w: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14</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20"/>
                <w:szCs w:val="20"/>
              </w:rPr>
            </w:pPr>
            <w:r>
              <w:rPr>
                <w:rFonts w:hint="eastAsia" w:ascii="宋体" w:hAnsi="宋体" w:cs="宋体"/>
                <w:kern w:val="0"/>
                <w:sz w:val="20"/>
                <w:szCs w:val="20"/>
              </w:rPr>
              <w:t>十三、交通运输支出</w:t>
            </w:r>
          </w:p>
        </w:tc>
        <w:tc>
          <w:tcPr>
            <w:tcW w:w="49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43</w:t>
            </w:r>
          </w:p>
        </w:tc>
        <w:tc>
          <w:tcPr>
            <w:tcW w:w="126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0.00</w:t>
            </w: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15</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十四、资源勘探信息等支出</w:t>
            </w:r>
          </w:p>
        </w:tc>
        <w:tc>
          <w:tcPr>
            <w:tcW w:w="49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44</w:t>
            </w:r>
          </w:p>
        </w:tc>
        <w:tc>
          <w:tcPr>
            <w:tcW w:w="126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0.00</w:t>
            </w: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16</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十五、商业服务业等支出</w:t>
            </w:r>
          </w:p>
        </w:tc>
        <w:tc>
          <w:tcPr>
            <w:tcW w:w="49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45</w:t>
            </w:r>
          </w:p>
        </w:tc>
        <w:tc>
          <w:tcPr>
            <w:tcW w:w="126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60.00</w:t>
            </w: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17</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noWrap/>
            <w:vAlign w:val="center"/>
          </w:tcPr>
          <w:p>
            <w:pPr>
              <w:widowControl/>
              <w:rPr>
                <w:rFonts w:ascii="宋体" w:hAnsi="宋体" w:cs="宋体"/>
                <w:kern w:val="0"/>
                <w:sz w:val="20"/>
                <w:szCs w:val="20"/>
              </w:rPr>
            </w:pPr>
            <w:r>
              <w:rPr>
                <w:rFonts w:hint="eastAsia" w:ascii="宋体" w:hAnsi="宋体" w:cs="宋体"/>
                <w:kern w:val="0"/>
                <w:sz w:val="20"/>
                <w:szCs w:val="20"/>
              </w:rPr>
              <w:t>十六、金融支出</w:t>
            </w:r>
          </w:p>
        </w:tc>
        <w:tc>
          <w:tcPr>
            <w:tcW w:w="49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46</w:t>
            </w:r>
          </w:p>
        </w:tc>
        <w:tc>
          <w:tcPr>
            <w:tcW w:w="126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0.00</w:t>
            </w: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18</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十七、援助其他地区支出　</w:t>
            </w:r>
          </w:p>
        </w:tc>
        <w:tc>
          <w:tcPr>
            <w:tcW w:w="49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47</w:t>
            </w:r>
          </w:p>
        </w:tc>
        <w:tc>
          <w:tcPr>
            <w:tcW w:w="126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0.00</w:t>
            </w: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19</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noWrap/>
            <w:vAlign w:val="center"/>
          </w:tcPr>
          <w:p>
            <w:pPr>
              <w:widowControl/>
              <w:rPr>
                <w:rFonts w:ascii="宋体" w:hAnsi="宋体" w:cs="宋体"/>
                <w:kern w:val="0"/>
                <w:sz w:val="20"/>
                <w:szCs w:val="20"/>
              </w:rPr>
            </w:pPr>
            <w:r>
              <w:rPr>
                <w:rFonts w:hint="eastAsia" w:ascii="宋体" w:hAnsi="宋体" w:cs="宋体"/>
                <w:kern w:val="0"/>
                <w:sz w:val="20"/>
                <w:szCs w:val="20"/>
              </w:rPr>
              <w:t>十八、国土海洋气象等支出</w:t>
            </w:r>
          </w:p>
        </w:tc>
        <w:tc>
          <w:tcPr>
            <w:tcW w:w="49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48</w:t>
            </w:r>
          </w:p>
        </w:tc>
        <w:tc>
          <w:tcPr>
            <w:tcW w:w="126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300.00</w:t>
            </w: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20</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noWrap/>
            <w:vAlign w:val="center"/>
          </w:tcPr>
          <w:p>
            <w:pPr>
              <w:widowControl/>
              <w:rPr>
                <w:rFonts w:ascii="宋体" w:hAnsi="宋体" w:cs="宋体"/>
                <w:kern w:val="0"/>
                <w:sz w:val="20"/>
                <w:szCs w:val="20"/>
              </w:rPr>
            </w:pPr>
            <w:r>
              <w:rPr>
                <w:rFonts w:hint="eastAsia" w:ascii="宋体" w:hAnsi="宋体" w:cs="宋体"/>
                <w:kern w:val="0"/>
                <w:sz w:val="20"/>
                <w:szCs w:val="20"/>
              </w:rPr>
              <w:t>十九、住房保障支出</w:t>
            </w:r>
          </w:p>
        </w:tc>
        <w:tc>
          <w:tcPr>
            <w:tcW w:w="49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49</w:t>
            </w:r>
          </w:p>
        </w:tc>
        <w:tc>
          <w:tcPr>
            <w:tcW w:w="126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71.16</w:t>
            </w: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21</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noWrap/>
            <w:vAlign w:val="center"/>
          </w:tcPr>
          <w:p>
            <w:pPr>
              <w:widowControl/>
              <w:rPr>
                <w:rFonts w:ascii="宋体" w:hAnsi="宋体" w:cs="宋体"/>
                <w:kern w:val="0"/>
                <w:sz w:val="20"/>
                <w:szCs w:val="20"/>
              </w:rPr>
            </w:pPr>
            <w:r>
              <w:rPr>
                <w:rFonts w:hint="eastAsia" w:ascii="宋体" w:hAnsi="宋体" w:cs="宋体"/>
                <w:kern w:val="0"/>
                <w:sz w:val="20"/>
                <w:szCs w:val="20"/>
              </w:rPr>
              <w:t>二十、粮油物资储备支出</w:t>
            </w:r>
          </w:p>
        </w:tc>
        <w:tc>
          <w:tcPr>
            <w:tcW w:w="49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50</w:t>
            </w:r>
          </w:p>
        </w:tc>
        <w:tc>
          <w:tcPr>
            <w:tcW w:w="126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0.00</w:t>
            </w: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22</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noWrap/>
            <w:vAlign w:val="center"/>
          </w:tcPr>
          <w:p>
            <w:pPr>
              <w:widowControl/>
              <w:rPr>
                <w:rFonts w:ascii="宋体" w:hAnsi="宋体" w:cs="宋体"/>
                <w:kern w:val="0"/>
                <w:sz w:val="20"/>
                <w:szCs w:val="20"/>
              </w:rPr>
            </w:pPr>
            <w:r>
              <w:rPr>
                <w:rFonts w:hint="eastAsia" w:ascii="宋体" w:hAnsi="宋体" w:cs="宋体"/>
                <w:kern w:val="0"/>
                <w:sz w:val="20"/>
                <w:szCs w:val="20"/>
              </w:rPr>
              <w:t>二十一、其他支出</w:t>
            </w:r>
          </w:p>
        </w:tc>
        <w:tc>
          <w:tcPr>
            <w:tcW w:w="49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51</w:t>
            </w:r>
          </w:p>
        </w:tc>
        <w:tc>
          <w:tcPr>
            <w:tcW w:w="126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0.00</w:t>
            </w: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23</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noWrap/>
            <w:vAlign w:val="center"/>
          </w:tcPr>
          <w:p>
            <w:pPr>
              <w:widowControl/>
              <w:rPr>
                <w:rFonts w:ascii="宋体" w:hAnsi="宋体" w:cs="宋体"/>
                <w:kern w:val="0"/>
                <w:sz w:val="20"/>
                <w:szCs w:val="20"/>
              </w:rPr>
            </w:pPr>
            <w:r>
              <w:rPr>
                <w:rFonts w:hint="eastAsia" w:ascii="宋体" w:hAnsi="宋体" w:cs="宋体"/>
                <w:kern w:val="0"/>
                <w:sz w:val="20"/>
                <w:szCs w:val="20"/>
              </w:rPr>
              <w:t>二十二、债务还本支出</w:t>
            </w:r>
          </w:p>
        </w:tc>
        <w:tc>
          <w:tcPr>
            <w:tcW w:w="49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52</w:t>
            </w:r>
          </w:p>
        </w:tc>
        <w:tc>
          <w:tcPr>
            <w:tcW w:w="126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0.00</w:t>
            </w: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b/>
                <w:kern w:val="0"/>
                <w:sz w:val="20"/>
                <w:szCs w:val="20"/>
              </w:rPr>
            </w:pP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24</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noWrap/>
            <w:vAlign w:val="center"/>
          </w:tcPr>
          <w:p>
            <w:pPr>
              <w:widowControl/>
              <w:rPr>
                <w:rFonts w:ascii="宋体" w:hAnsi="宋体" w:cs="宋体"/>
                <w:kern w:val="0"/>
                <w:sz w:val="20"/>
                <w:szCs w:val="20"/>
              </w:rPr>
            </w:pPr>
            <w:r>
              <w:rPr>
                <w:rFonts w:hint="eastAsia" w:ascii="宋体" w:hAnsi="宋体" w:cs="宋体"/>
                <w:kern w:val="0"/>
                <w:sz w:val="20"/>
                <w:szCs w:val="20"/>
              </w:rPr>
              <w:t>二十三、债务付息支出</w:t>
            </w:r>
          </w:p>
        </w:tc>
        <w:tc>
          <w:tcPr>
            <w:tcW w:w="49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53</w:t>
            </w:r>
          </w:p>
        </w:tc>
        <w:tc>
          <w:tcPr>
            <w:tcW w:w="126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0.00</w:t>
            </w: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ind w:firstLine="300" w:firstLineChars="150"/>
              <w:jc w:val="left"/>
              <w:rPr>
                <w:rFonts w:ascii="宋体" w:hAnsi="宋体" w:cs="宋体"/>
                <w:kern w:val="0"/>
                <w:sz w:val="20"/>
                <w:szCs w:val="20"/>
              </w:rPr>
            </w:pPr>
            <w:r>
              <w:rPr>
                <w:rFonts w:hint="eastAsia" w:ascii="宋体" w:hAnsi="宋体" w:cs="宋体"/>
                <w:kern w:val="0"/>
                <w:sz w:val="20"/>
                <w:szCs w:val="20"/>
              </w:rPr>
              <w:t>本年收入合计</w:t>
            </w: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25</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18547.64</w:t>
            </w:r>
          </w:p>
        </w:tc>
        <w:tc>
          <w:tcPr>
            <w:tcW w:w="2835"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本年支出合计</w:t>
            </w:r>
          </w:p>
        </w:tc>
        <w:tc>
          <w:tcPr>
            <w:tcW w:w="49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54</w:t>
            </w:r>
          </w:p>
        </w:tc>
        <w:tc>
          <w:tcPr>
            <w:tcW w:w="126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18547.64</w:t>
            </w: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用事业基金弥补收支差额</w:t>
            </w: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26</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noWrap/>
            <w:vAlign w:val="center"/>
          </w:tcPr>
          <w:p>
            <w:pPr>
              <w:widowControl/>
              <w:rPr>
                <w:rFonts w:ascii="宋体" w:hAnsi="宋体" w:cs="宋体"/>
                <w:kern w:val="0"/>
                <w:sz w:val="20"/>
                <w:szCs w:val="20"/>
              </w:rPr>
            </w:pPr>
            <w:r>
              <w:rPr>
                <w:rFonts w:hint="eastAsia" w:ascii="宋体" w:hAnsi="宋体" w:cs="宋体"/>
                <w:kern w:val="0"/>
                <w:sz w:val="20"/>
                <w:szCs w:val="20"/>
              </w:rPr>
              <w:t>结余分配</w:t>
            </w:r>
          </w:p>
        </w:tc>
        <w:tc>
          <w:tcPr>
            <w:tcW w:w="49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55</w:t>
            </w:r>
          </w:p>
        </w:tc>
        <w:tc>
          <w:tcPr>
            <w:tcW w:w="126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年初结转和结余</w:t>
            </w: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27</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noWrap/>
            <w:vAlign w:val="center"/>
          </w:tcPr>
          <w:p>
            <w:pPr>
              <w:widowControl/>
              <w:rPr>
                <w:rFonts w:ascii="宋体" w:hAnsi="宋体" w:cs="宋体"/>
                <w:kern w:val="0"/>
                <w:sz w:val="20"/>
                <w:szCs w:val="20"/>
              </w:rPr>
            </w:pPr>
            <w:r>
              <w:rPr>
                <w:rFonts w:hint="eastAsia" w:ascii="宋体" w:hAnsi="宋体" w:cs="宋体"/>
                <w:kern w:val="0"/>
                <w:sz w:val="20"/>
                <w:szCs w:val="20"/>
              </w:rPr>
              <w:t>年末结转和结余</w:t>
            </w:r>
          </w:p>
        </w:tc>
        <w:tc>
          <w:tcPr>
            <w:tcW w:w="49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56</w:t>
            </w:r>
          </w:p>
        </w:tc>
        <w:tc>
          <w:tcPr>
            <w:tcW w:w="126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28</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2835"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b/>
                <w:kern w:val="0"/>
                <w:sz w:val="20"/>
                <w:szCs w:val="20"/>
              </w:rPr>
            </w:pPr>
          </w:p>
        </w:tc>
        <w:tc>
          <w:tcPr>
            <w:tcW w:w="49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57</w:t>
            </w:r>
          </w:p>
        </w:tc>
        <w:tc>
          <w:tcPr>
            <w:tcW w:w="126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r>
      <w:tr>
        <w:tblPrEx>
          <w:tblCellMar>
            <w:top w:w="0" w:type="dxa"/>
            <w:left w:w="108" w:type="dxa"/>
            <w:bottom w:w="0" w:type="dxa"/>
            <w:right w:w="108" w:type="dxa"/>
          </w:tblCellMar>
        </w:tblPrEx>
        <w:trPr>
          <w:trHeight w:val="345" w:hRule="atLeast"/>
        </w:trPr>
        <w:tc>
          <w:tcPr>
            <w:tcW w:w="220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合计</w:t>
            </w:r>
          </w:p>
        </w:tc>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29</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18547.64</w:t>
            </w:r>
          </w:p>
        </w:tc>
        <w:tc>
          <w:tcPr>
            <w:tcW w:w="2835"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合计</w:t>
            </w:r>
          </w:p>
        </w:tc>
        <w:tc>
          <w:tcPr>
            <w:tcW w:w="49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58</w:t>
            </w:r>
          </w:p>
        </w:tc>
        <w:tc>
          <w:tcPr>
            <w:tcW w:w="126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18547.64</w:t>
            </w:r>
          </w:p>
        </w:tc>
      </w:tr>
    </w:tbl>
    <w:p>
      <w:pPr>
        <w:rPr>
          <w:rFonts w:ascii="仿宋_GB2312" w:hAnsi="宋体" w:eastAsia="仿宋_GB2312"/>
          <w:sz w:val="20"/>
          <w:szCs w:val="20"/>
        </w:rPr>
      </w:pPr>
      <w:r>
        <w:rPr>
          <w:rFonts w:hint="eastAsia" w:ascii="仿宋_GB2312" w:hAnsi="宋体" w:eastAsia="仿宋_GB2312"/>
          <w:sz w:val="20"/>
          <w:szCs w:val="20"/>
        </w:rPr>
        <w:t>注：本表反映部门本年度的总收支和年末结转结余情况。</w:t>
      </w:r>
    </w:p>
    <w:p>
      <w:pPr>
        <w:jc w:val="center"/>
        <w:rPr>
          <w:rFonts w:ascii="黑体" w:eastAsia="黑体"/>
          <w:b/>
          <w:sz w:val="30"/>
          <w:szCs w:val="30"/>
        </w:rPr>
        <w:sectPr>
          <w:footerReference r:id="rId3" w:type="default"/>
          <w:footerReference r:id="rId4" w:type="even"/>
          <w:pgSz w:w="11906" w:h="16838"/>
          <w:pgMar w:top="1440" w:right="1800" w:bottom="1440" w:left="1800" w:header="851" w:footer="992" w:gutter="0"/>
          <w:cols w:space="425" w:num="1"/>
          <w:docGrid w:type="lines" w:linePitch="312" w:charSpace="0"/>
        </w:sectPr>
      </w:pPr>
    </w:p>
    <w:p>
      <w:pPr>
        <w:jc w:val="center"/>
        <w:rPr>
          <w:rFonts w:ascii="仿宋_GB2312" w:eastAsia="仿宋_GB2312"/>
          <w:b/>
          <w:sz w:val="30"/>
          <w:szCs w:val="30"/>
        </w:rPr>
      </w:pPr>
    </w:p>
    <w:p>
      <w:pPr>
        <w:jc w:val="center"/>
        <w:rPr>
          <w:rFonts w:ascii="仿宋_GB2312" w:hAnsi="宋体" w:eastAsia="仿宋_GB2312" w:cs="宋体"/>
          <w:kern w:val="0"/>
          <w:sz w:val="30"/>
          <w:szCs w:val="30"/>
        </w:rPr>
      </w:pPr>
      <w:r>
        <w:rPr>
          <w:rFonts w:hint="eastAsia" w:ascii="仿宋_GB2312" w:eastAsia="仿宋_GB2312"/>
          <w:b/>
          <w:sz w:val="30"/>
          <w:szCs w:val="30"/>
        </w:rPr>
        <w:t>收入决算表</w:t>
      </w:r>
    </w:p>
    <w:p>
      <w:pPr>
        <w:spacing w:line="380" w:lineRule="exact"/>
        <w:jc w:val="right"/>
        <w:rPr>
          <w:rFonts w:ascii="仿宋_GB2312" w:hAnsi="宋体" w:eastAsia="仿宋_GB2312" w:cs="宋体"/>
          <w:kern w:val="0"/>
          <w:szCs w:val="21"/>
        </w:rPr>
      </w:pPr>
      <w:r>
        <w:rPr>
          <w:rFonts w:hint="eastAsia" w:ascii="仿宋_GB2312" w:hAnsi="宋体" w:eastAsia="仿宋_GB2312" w:cs="宋体"/>
          <w:kern w:val="0"/>
          <w:sz w:val="30"/>
          <w:szCs w:val="30"/>
        </w:rPr>
        <w:t xml:space="preserve">                                                                                  </w:t>
      </w:r>
      <w:r>
        <w:rPr>
          <w:rFonts w:hint="eastAsia" w:ascii="仿宋_GB2312" w:hAnsi="宋体" w:eastAsia="仿宋_GB2312" w:cs="宋体"/>
          <w:kern w:val="0"/>
          <w:szCs w:val="21"/>
        </w:rPr>
        <w:t xml:space="preserve">    公开02表</w:t>
      </w:r>
    </w:p>
    <w:p>
      <w:pPr>
        <w:spacing w:line="380" w:lineRule="exact"/>
        <w:jc w:val="right"/>
        <w:rPr>
          <w:rFonts w:ascii="仿宋_GB2312" w:hAnsi="宋体" w:eastAsia="仿宋_GB2312" w:cs="宋体"/>
          <w:kern w:val="0"/>
          <w:szCs w:val="21"/>
        </w:rPr>
      </w:pPr>
      <w:r>
        <w:rPr>
          <w:rFonts w:hint="eastAsia" w:ascii="仿宋_GB2312" w:hAnsi="宋体" w:eastAsia="仿宋_GB2312" w:cs="宋体"/>
          <w:kern w:val="0"/>
          <w:szCs w:val="21"/>
        </w:rPr>
        <w:t xml:space="preserve"> 部门：</w:t>
      </w:r>
      <w:r>
        <w:rPr>
          <w:rFonts w:hint="eastAsia" w:ascii="仿宋_GB2312" w:hAnsi="宋体" w:eastAsia="仿宋_GB2312" w:cs="宋体"/>
          <w:kern w:val="0"/>
          <w:sz w:val="30"/>
          <w:szCs w:val="30"/>
        </w:rPr>
        <w:t xml:space="preserve">                                                                              </w:t>
      </w:r>
      <w:r>
        <w:rPr>
          <w:rFonts w:hint="eastAsia" w:ascii="仿宋_GB2312" w:hAnsi="宋体" w:eastAsia="仿宋_GB2312" w:cs="宋体"/>
          <w:kern w:val="0"/>
          <w:szCs w:val="21"/>
        </w:rPr>
        <w:t>金额单位：万元</w:t>
      </w:r>
    </w:p>
    <w:tbl>
      <w:tblPr>
        <w:tblStyle w:val="7"/>
        <w:tblpPr w:leftFromText="180" w:rightFromText="180" w:vertAnchor="text" w:tblpX="288" w:tblpY="1"/>
        <w:tblOverlap w:val="never"/>
        <w:tblW w:w="13858" w:type="dxa"/>
        <w:tblInd w:w="0" w:type="dxa"/>
        <w:tblLayout w:type="autofit"/>
        <w:tblCellMar>
          <w:top w:w="0" w:type="dxa"/>
          <w:left w:w="108" w:type="dxa"/>
          <w:bottom w:w="0" w:type="dxa"/>
          <w:right w:w="108" w:type="dxa"/>
        </w:tblCellMar>
      </w:tblPr>
      <w:tblGrid>
        <w:gridCol w:w="416"/>
        <w:gridCol w:w="416"/>
        <w:gridCol w:w="416"/>
        <w:gridCol w:w="2546"/>
        <w:gridCol w:w="1701"/>
        <w:gridCol w:w="1559"/>
        <w:gridCol w:w="1418"/>
        <w:gridCol w:w="1275"/>
        <w:gridCol w:w="1276"/>
        <w:gridCol w:w="1418"/>
        <w:gridCol w:w="1417"/>
      </w:tblGrid>
      <w:tr>
        <w:tblPrEx>
          <w:tblCellMar>
            <w:top w:w="0" w:type="dxa"/>
            <w:left w:w="108" w:type="dxa"/>
            <w:bottom w:w="0" w:type="dxa"/>
            <w:right w:w="108" w:type="dxa"/>
          </w:tblCellMar>
        </w:tblPrEx>
        <w:trPr>
          <w:trHeight w:val="910"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cs="宋体"/>
                <w:kern w:val="0"/>
                <w:sz w:val="20"/>
                <w:szCs w:val="20"/>
              </w:rPr>
            </w:pPr>
            <w:r>
              <w:rPr>
                <w:rFonts w:hint="eastAsia" w:ascii="宋体" w:hAnsi="宋体" w:cs="宋体"/>
                <w:kern w:val="0"/>
                <w:sz w:val="20"/>
                <w:szCs w:val="20"/>
              </w:rPr>
              <w:t>科目编码</w:t>
            </w:r>
          </w:p>
        </w:tc>
        <w:tc>
          <w:tcPr>
            <w:tcW w:w="254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科目名称</w:t>
            </w:r>
          </w:p>
        </w:tc>
        <w:tc>
          <w:tcPr>
            <w:tcW w:w="1701" w:type="dxa"/>
            <w:tcBorders>
              <w:top w:val="single" w:color="auto" w:sz="4" w:space="0"/>
              <w:left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本年收入合计</w:t>
            </w:r>
          </w:p>
        </w:tc>
        <w:tc>
          <w:tcPr>
            <w:tcW w:w="1559" w:type="dxa"/>
            <w:tcBorders>
              <w:top w:val="single" w:color="auto" w:sz="4" w:space="0"/>
              <w:left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财政拨款收入</w:t>
            </w:r>
          </w:p>
        </w:tc>
        <w:tc>
          <w:tcPr>
            <w:tcW w:w="1418" w:type="dxa"/>
            <w:tcBorders>
              <w:top w:val="single" w:color="auto" w:sz="4" w:space="0"/>
              <w:left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上级补助收入</w:t>
            </w:r>
          </w:p>
        </w:tc>
        <w:tc>
          <w:tcPr>
            <w:tcW w:w="1275" w:type="dxa"/>
            <w:tcBorders>
              <w:top w:val="single" w:color="auto" w:sz="4" w:space="0"/>
              <w:left w:val="single" w:color="auto" w:sz="4" w:space="0"/>
              <w:right w:val="single" w:color="auto" w:sz="4" w:space="0"/>
            </w:tcBorders>
            <w:shd w:val="clear" w:color="auto" w:fill="auto"/>
            <w:vAlign w:val="center"/>
          </w:tcPr>
          <w:p>
            <w:pPr>
              <w:widowControl/>
              <w:ind w:firstLine="200" w:firstLineChars="100"/>
              <w:rPr>
                <w:rFonts w:ascii="宋体" w:hAnsi="宋体" w:cs="宋体"/>
                <w:kern w:val="0"/>
                <w:sz w:val="20"/>
                <w:szCs w:val="20"/>
              </w:rPr>
            </w:pPr>
            <w:r>
              <w:rPr>
                <w:rFonts w:hint="eastAsia" w:ascii="宋体" w:hAnsi="宋体" w:cs="宋体"/>
                <w:kern w:val="0"/>
                <w:sz w:val="20"/>
                <w:szCs w:val="20"/>
              </w:rPr>
              <w:t>事业收入</w:t>
            </w:r>
          </w:p>
        </w:tc>
        <w:tc>
          <w:tcPr>
            <w:tcW w:w="1276" w:type="dxa"/>
            <w:tcBorders>
              <w:top w:val="single" w:color="auto" w:sz="4" w:space="0"/>
              <w:left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经营收入</w:t>
            </w:r>
          </w:p>
        </w:tc>
        <w:tc>
          <w:tcPr>
            <w:tcW w:w="1418" w:type="dxa"/>
            <w:tcBorders>
              <w:top w:val="single" w:color="auto" w:sz="4" w:space="0"/>
              <w:left w:val="single" w:color="auto" w:sz="4" w:space="0"/>
              <w:right w:val="single" w:color="auto" w:sz="4" w:space="0"/>
            </w:tcBorders>
            <w:shd w:val="clear" w:color="auto" w:fill="auto"/>
            <w:vAlign w:val="center"/>
          </w:tcPr>
          <w:p>
            <w:pPr>
              <w:widowControl/>
              <w:ind w:left="600" w:hanging="600" w:hangingChars="300"/>
              <w:jc w:val="center"/>
              <w:rPr>
                <w:rFonts w:ascii="宋体" w:hAnsi="宋体" w:cs="宋体"/>
                <w:kern w:val="0"/>
                <w:sz w:val="20"/>
                <w:szCs w:val="20"/>
              </w:rPr>
            </w:pPr>
            <w:r>
              <w:rPr>
                <w:rFonts w:hint="eastAsia" w:ascii="宋体" w:hAnsi="宋体" w:cs="宋体"/>
                <w:kern w:val="0"/>
                <w:sz w:val="20"/>
                <w:szCs w:val="20"/>
              </w:rPr>
              <w:t xml:space="preserve">附属单位    </w:t>
            </w:r>
          </w:p>
          <w:p>
            <w:pPr>
              <w:widowControl/>
              <w:ind w:left="600" w:hanging="600" w:hangingChars="300"/>
              <w:jc w:val="center"/>
              <w:rPr>
                <w:rFonts w:ascii="宋体" w:hAnsi="宋体" w:cs="宋体"/>
                <w:kern w:val="0"/>
                <w:sz w:val="20"/>
                <w:szCs w:val="20"/>
              </w:rPr>
            </w:pPr>
            <w:r>
              <w:rPr>
                <w:rFonts w:hint="eastAsia" w:ascii="宋体" w:hAnsi="宋体" w:cs="宋体"/>
                <w:kern w:val="0"/>
                <w:sz w:val="20"/>
                <w:szCs w:val="20"/>
              </w:rPr>
              <w:t>上缴收入</w:t>
            </w:r>
          </w:p>
        </w:tc>
        <w:tc>
          <w:tcPr>
            <w:tcW w:w="1417" w:type="dxa"/>
            <w:tcBorders>
              <w:top w:val="single" w:color="auto" w:sz="4" w:space="0"/>
              <w:left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其他收入</w:t>
            </w:r>
          </w:p>
        </w:tc>
      </w:tr>
      <w:tr>
        <w:tblPrEx>
          <w:tblCellMar>
            <w:top w:w="0" w:type="dxa"/>
            <w:left w:w="108" w:type="dxa"/>
            <w:bottom w:w="0" w:type="dxa"/>
            <w:right w:w="108" w:type="dxa"/>
          </w:tblCellMar>
        </w:tblPrEx>
        <w:trPr>
          <w:trHeight w:val="450" w:hRule="atLeast"/>
        </w:trPr>
        <w:tc>
          <w:tcPr>
            <w:tcW w:w="416" w:type="dxa"/>
            <w:vMerge w:val="restart"/>
            <w:tcBorders>
              <w:left w:val="single" w:color="auto" w:sz="4" w:space="0"/>
              <w:right w:val="single" w:color="auto" w:sz="4" w:space="0"/>
            </w:tcBorders>
            <w:shd w:val="clear" w:color="auto" w:fill="FFFFFF"/>
            <w:vAlign w:val="center"/>
          </w:tcPr>
          <w:p>
            <w:pPr>
              <w:jc w:val="center"/>
              <w:rPr>
                <w:rFonts w:ascii="宋体" w:hAnsi="宋体" w:cs="宋体"/>
                <w:kern w:val="0"/>
                <w:sz w:val="20"/>
                <w:szCs w:val="20"/>
              </w:rPr>
            </w:pPr>
            <w:r>
              <w:rPr>
                <w:rFonts w:hint="eastAsia" w:ascii="宋体" w:hAnsi="宋体" w:cs="宋体"/>
                <w:kern w:val="0"/>
                <w:sz w:val="20"/>
                <w:szCs w:val="20"/>
              </w:rPr>
              <w:t>类</w:t>
            </w:r>
          </w:p>
        </w:tc>
        <w:tc>
          <w:tcPr>
            <w:tcW w:w="416" w:type="dxa"/>
            <w:vMerge w:val="restart"/>
            <w:tcBorders>
              <w:left w:val="nil"/>
              <w:right w:val="single" w:color="auto" w:sz="4" w:space="0"/>
            </w:tcBorders>
            <w:shd w:val="clear" w:color="auto" w:fill="FFFFFF"/>
            <w:vAlign w:val="center"/>
          </w:tcPr>
          <w:p>
            <w:pPr>
              <w:jc w:val="center"/>
              <w:rPr>
                <w:rFonts w:ascii="宋体" w:hAnsi="宋体" w:cs="宋体"/>
                <w:kern w:val="0"/>
                <w:sz w:val="20"/>
                <w:szCs w:val="20"/>
              </w:rPr>
            </w:pPr>
            <w:r>
              <w:rPr>
                <w:rFonts w:hint="eastAsia" w:ascii="宋体" w:hAnsi="宋体" w:cs="宋体"/>
                <w:kern w:val="0"/>
                <w:sz w:val="20"/>
                <w:szCs w:val="20"/>
              </w:rPr>
              <w:t>款</w:t>
            </w:r>
          </w:p>
        </w:tc>
        <w:tc>
          <w:tcPr>
            <w:tcW w:w="416" w:type="dxa"/>
            <w:vMerge w:val="restart"/>
            <w:tcBorders>
              <w:left w:val="nil"/>
              <w:right w:val="single" w:color="auto" w:sz="4" w:space="0"/>
            </w:tcBorders>
            <w:shd w:val="clear" w:color="auto" w:fill="auto"/>
            <w:vAlign w:val="center"/>
          </w:tcPr>
          <w:p>
            <w:pPr>
              <w:jc w:val="center"/>
              <w:rPr>
                <w:rFonts w:ascii="宋体" w:hAnsi="宋体" w:cs="宋体"/>
                <w:kern w:val="0"/>
                <w:sz w:val="20"/>
                <w:szCs w:val="20"/>
              </w:rPr>
            </w:pPr>
            <w:r>
              <w:rPr>
                <w:rFonts w:hint="eastAsia" w:ascii="宋体" w:hAnsi="宋体" w:cs="宋体"/>
                <w:kern w:val="0"/>
                <w:sz w:val="20"/>
                <w:szCs w:val="20"/>
              </w:rPr>
              <w:t>项</w:t>
            </w:r>
          </w:p>
        </w:tc>
        <w:tc>
          <w:tcPr>
            <w:tcW w:w="2546" w:type="dxa"/>
            <w:tcBorders>
              <w:top w:val="single" w:color="auto" w:sz="4" w:space="0"/>
              <w:left w:val="single" w:color="auto" w:sz="4" w:space="0"/>
              <w:bottom w:val="single" w:color="auto" w:sz="4" w:space="0"/>
              <w:right w:val="single" w:color="auto" w:sz="4" w:space="0"/>
            </w:tcBorders>
            <w:vAlign w:val="center"/>
          </w:tcPr>
          <w:p>
            <w:pPr>
              <w:ind w:firstLine="300" w:firstLineChars="150"/>
              <w:jc w:val="left"/>
              <w:rPr>
                <w:rFonts w:ascii="宋体" w:hAnsi="宋体" w:cs="宋体"/>
                <w:kern w:val="0"/>
                <w:sz w:val="20"/>
                <w:szCs w:val="20"/>
              </w:rPr>
            </w:pPr>
            <w:r>
              <w:rPr>
                <w:rFonts w:hint="eastAsia" w:ascii="宋体" w:hAnsi="宋体" w:cs="宋体"/>
                <w:kern w:val="0"/>
                <w:sz w:val="20"/>
                <w:szCs w:val="20"/>
              </w:rPr>
              <w:t>栏 次</w:t>
            </w:r>
          </w:p>
        </w:tc>
        <w:tc>
          <w:tcPr>
            <w:tcW w:w="170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0"/>
                <w:szCs w:val="20"/>
              </w:rPr>
            </w:pPr>
            <w:r>
              <w:rPr>
                <w:rFonts w:hint="eastAsia" w:ascii="宋体" w:hAnsi="宋体" w:cs="宋体"/>
                <w:kern w:val="0"/>
                <w:sz w:val="20"/>
                <w:szCs w:val="20"/>
              </w:rPr>
              <w:t>1</w:t>
            </w:r>
          </w:p>
        </w:tc>
        <w:tc>
          <w:tcPr>
            <w:tcW w:w="155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0"/>
                <w:szCs w:val="20"/>
              </w:rPr>
            </w:pPr>
            <w:r>
              <w:rPr>
                <w:rFonts w:hint="eastAsia" w:ascii="宋体" w:hAnsi="宋体" w:cs="宋体"/>
                <w:kern w:val="0"/>
                <w:sz w:val="20"/>
                <w:szCs w:val="20"/>
              </w:rPr>
              <w:t>2</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0"/>
                <w:szCs w:val="20"/>
              </w:rPr>
            </w:pPr>
            <w:r>
              <w:rPr>
                <w:rFonts w:hint="eastAsia" w:ascii="宋体" w:hAnsi="宋体" w:cs="宋体"/>
                <w:kern w:val="0"/>
                <w:sz w:val="20"/>
                <w:szCs w:val="20"/>
              </w:rPr>
              <w:t>3</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0"/>
                <w:szCs w:val="20"/>
              </w:rPr>
            </w:pPr>
            <w:r>
              <w:rPr>
                <w:rFonts w:hint="eastAsia" w:ascii="宋体" w:hAnsi="宋体" w:cs="宋体"/>
                <w:kern w:val="0"/>
                <w:sz w:val="20"/>
                <w:szCs w:val="20"/>
              </w:rPr>
              <w:t>4</w:t>
            </w: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0"/>
                <w:szCs w:val="20"/>
              </w:rPr>
            </w:pPr>
            <w:r>
              <w:rPr>
                <w:rFonts w:hint="eastAsia" w:ascii="宋体" w:hAnsi="宋体" w:cs="宋体"/>
                <w:kern w:val="0"/>
                <w:sz w:val="20"/>
                <w:szCs w:val="20"/>
              </w:rPr>
              <w:t>5</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6</w:t>
            </w: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7</w:t>
            </w:r>
          </w:p>
        </w:tc>
      </w:tr>
      <w:tr>
        <w:tblPrEx>
          <w:tblCellMar>
            <w:top w:w="0" w:type="dxa"/>
            <w:left w:w="108" w:type="dxa"/>
            <w:bottom w:w="0" w:type="dxa"/>
            <w:right w:w="108" w:type="dxa"/>
          </w:tblCellMar>
        </w:tblPrEx>
        <w:trPr>
          <w:trHeight w:val="450" w:hRule="atLeast"/>
        </w:trPr>
        <w:tc>
          <w:tcPr>
            <w:tcW w:w="416" w:type="dxa"/>
            <w:vMerge w:val="continue"/>
            <w:tcBorders>
              <w:left w:val="single" w:color="auto" w:sz="4" w:space="0"/>
              <w:right w:val="single" w:color="auto" w:sz="4" w:space="0"/>
            </w:tcBorders>
            <w:shd w:val="clear" w:color="auto" w:fill="FFFFFF"/>
            <w:vAlign w:val="center"/>
          </w:tcPr>
          <w:p>
            <w:pPr>
              <w:jc w:val="center"/>
              <w:rPr>
                <w:rFonts w:ascii="宋体" w:hAnsi="宋体" w:cs="宋体"/>
                <w:kern w:val="0"/>
                <w:sz w:val="20"/>
                <w:szCs w:val="20"/>
              </w:rPr>
            </w:pPr>
          </w:p>
        </w:tc>
        <w:tc>
          <w:tcPr>
            <w:tcW w:w="416" w:type="dxa"/>
            <w:vMerge w:val="continue"/>
            <w:tcBorders>
              <w:left w:val="nil"/>
              <w:right w:val="single" w:color="auto" w:sz="4" w:space="0"/>
            </w:tcBorders>
            <w:shd w:val="clear" w:color="auto" w:fill="FFFFFF"/>
            <w:vAlign w:val="center"/>
          </w:tcPr>
          <w:p>
            <w:pPr>
              <w:jc w:val="center"/>
              <w:rPr>
                <w:rFonts w:ascii="宋体" w:hAnsi="宋体" w:cs="宋体"/>
                <w:kern w:val="0"/>
                <w:sz w:val="20"/>
                <w:szCs w:val="20"/>
              </w:rPr>
            </w:pPr>
          </w:p>
        </w:tc>
        <w:tc>
          <w:tcPr>
            <w:tcW w:w="416" w:type="dxa"/>
            <w:vMerge w:val="continue"/>
            <w:tcBorders>
              <w:left w:val="nil"/>
              <w:right w:val="single" w:color="auto" w:sz="4" w:space="0"/>
            </w:tcBorders>
            <w:shd w:val="clear" w:color="auto" w:fill="auto"/>
            <w:vAlign w:val="center"/>
          </w:tcPr>
          <w:p>
            <w:pPr>
              <w:jc w:val="center"/>
              <w:rPr>
                <w:rFonts w:ascii="宋体" w:hAnsi="宋体" w:cs="宋体"/>
                <w:kern w:val="0"/>
                <w:sz w:val="20"/>
                <w:szCs w:val="20"/>
              </w:rPr>
            </w:pPr>
          </w:p>
        </w:tc>
        <w:tc>
          <w:tcPr>
            <w:tcW w:w="2546"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cs="宋体"/>
                <w:kern w:val="0"/>
                <w:sz w:val="20"/>
                <w:szCs w:val="20"/>
              </w:rPr>
            </w:pPr>
            <w:r>
              <w:rPr>
                <w:rFonts w:hint="eastAsia" w:ascii="宋体" w:hAnsi="宋体" w:cs="宋体"/>
                <w:kern w:val="0"/>
                <w:sz w:val="20"/>
                <w:szCs w:val="20"/>
              </w:rPr>
              <w:t xml:space="preserve">   合 计</w:t>
            </w:r>
          </w:p>
        </w:tc>
        <w:tc>
          <w:tcPr>
            <w:tcW w:w="1701"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cs="宋体"/>
                <w:kern w:val="0"/>
                <w:sz w:val="20"/>
                <w:szCs w:val="20"/>
              </w:rPr>
            </w:pPr>
            <w:r>
              <w:rPr>
                <w:rFonts w:hint="eastAsia" w:ascii="宋体" w:hAnsi="宋体" w:cs="宋体"/>
                <w:kern w:val="0"/>
                <w:sz w:val="20"/>
                <w:szCs w:val="20"/>
              </w:rPr>
              <w:t>18547.64</w:t>
            </w:r>
          </w:p>
        </w:tc>
        <w:tc>
          <w:tcPr>
            <w:tcW w:w="1559"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cs="宋体"/>
                <w:kern w:val="0"/>
                <w:sz w:val="20"/>
                <w:szCs w:val="20"/>
              </w:rPr>
            </w:pPr>
            <w:r>
              <w:rPr>
                <w:rFonts w:hint="eastAsia" w:ascii="宋体" w:hAnsi="宋体" w:cs="宋体"/>
                <w:kern w:val="0"/>
                <w:sz w:val="20"/>
                <w:szCs w:val="20"/>
              </w:rPr>
              <w:t>18547.64</w:t>
            </w:r>
          </w:p>
        </w:tc>
        <w:tc>
          <w:tcPr>
            <w:tcW w:w="1418" w:type="dxa"/>
            <w:tcBorders>
              <w:top w:val="single" w:color="auto" w:sz="4" w:space="0"/>
              <w:left w:val="single" w:color="auto" w:sz="4" w:space="0"/>
              <w:bottom w:val="single" w:color="auto" w:sz="4" w:space="0"/>
              <w:right w:val="single" w:color="auto" w:sz="4" w:space="0"/>
            </w:tcBorders>
            <w:vAlign w:val="center"/>
          </w:tcPr>
          <w:p>
            <w:pPr>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ascii="宋体" w:hAnsi="宋体" w:cs="宋体"/>
                <w:kern w:val="0"/>
                <w:sz w:val="20"/>
                <w:szCs w:val="20"/>
              </w:rPr>
            </w:pPr>
            <w:r>
              <w:rPr>
                <w:rFonts w:hint="eastAsia" w:ascii="宋体" w:hAnsi="宋体" w:cs="宋体"/>
                <w:kern w:val="0"/>
                <w:sz w:val="20"/>
                <w:szCs w:val="20"/>
              </w:rPr>
              <w:t>201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r>
              <w:rPr>
                <w:rFonts w:hint="eastAsia" w:ascii="宋体" w:hAnsi="宋体" w:cs="宋体"/>
                <w:kern w:val="0"/>
                <w:sz w:val="20"/>
                <w:szCs w:val="20"/>
              </w:rPr>
              <w:t>一般公共服务支出</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514.88</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514.88</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cs="宋体"/>
                <w:kern w:val="0"/>
                <w:sz w:val="18"/>
                <w:szCs w:val="18"/>
              </w:rPr>
            </w:pPr>
            <w:r>
              <w:rPr>
                <w:rFonts w:hint="eastAsia" w:ascii="宋体" w:hAnsi="宋体" w:cs="宋体"/>
                <w:kern w:val="0"/>
                <w:sz w:val="18"/>
                <w:szCs w:val="18"/>
              </w:rPr>
              <w:t>20101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rPr>
                <w:rFonts w:ascii="宋体" w:hAnsi="宋体" w:cs="宋体"/>
                <w:kern w:val="0"/>
                <w:sz w:val="18"/>
                <w:szCs w:val="18"/>
              </w:rPr>
            </w:pPr>
            <w:r>
              <w:rPr>
                <w:rFonts w:hint="eastAsia" w:ascii="宋体" w:hAnsi="宋体" w:cs="宋体"/>
                <w:kern w:val="0"/>
                <w:sz w:val="18"/>
                <w:szCs w:val="18"/>
              </w:rPr>
              <w:t>人大事务</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12.74</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12.74</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 xml:space="preserve">　2010101   </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　行政运行</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12.74</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12.74</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20103</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政府办公厅（室）及相关机构事务</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360.93</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360.93</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2010301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360.93</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360.93</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20106</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财政事务</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68.62</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68.62</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2010601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68.62</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68.62</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20131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党委办公厅（室）及相关机构事务</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72.58</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72.58</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　2013101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　行政运行</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72.58</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72.58</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　205</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　教育支出</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6532.20</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6532.20</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20502　</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　普通教育</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6532.20</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6532.20</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　2050299</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　其他普通教育支出</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6532.20</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6532.20</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207</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文化体育与传媒支出</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28.74</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28.74</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20701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文化</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28.74</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28.74</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2070101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28.74</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28.74</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208</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社会保障和就业支出</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231.21</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231.21</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20801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人力资源和社会保障管理事务</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46.71</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46.71</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2080101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46.71</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46.71</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20808</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抚恤</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180.08</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180.08</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2080801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死亡抚恤</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168.30</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168.30</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2080899</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其他优抚支出</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11.78</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11.78</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20899</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其他社会保障和就业支出</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4.41</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4.41</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2089901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其他社会保障和就业支出</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4.41</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4.41</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210</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医疗卫生与计划生育支出</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122.29</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122.29</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21001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医疗卫生与计划生育管理事务</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78.07</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78.07</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2100101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78.07</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78.07</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21005</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行政事业单位医疗</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44.22</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44.22</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2100501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行政单位医疗</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16.79</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16.79</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2100502</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事业单位医疗</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27.44</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27.44</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212</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城乡社区支出</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7785.04</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7785.04</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21201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城乡社区管理事务</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52.87</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52.87</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2120103</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机关服务</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52.87</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52.87</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21203</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城乡社区公共设施</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5864.03</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5864.03</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2120303</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小城镇基础设施建设</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500.00</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500.00</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2120399</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其他城乡社区公共设施支出</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5364.03</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5364.03</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21208</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3"/>
                <w:szCs w:val="13"/>
              </w:rPr>
            </w:pPr>
            <w:r>
              <w:rPr>
                <w:rFonts w:hint="eastAsia" w:ascii="宋体" w:hAnsi="宋体" w:cs="宋体"/>
                <w:kern w:val="0"/>
                <w:sz w:val="13"/>
                <w:szCs w:val="13"/>
              </w:rPr>
              <w:t>国有土地使用权出让收入及对应专项债务收入安排的支出</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852.44</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852.44</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2120801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征地和拆迁补偿支出</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132.78</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132.78</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2120802</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土地开发支出</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719.66</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719.66</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21210</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3"/>
                <w:szCs w:val="13"/>
              </w:rPr>
            </w:pPr>
            <w:r>
              <w:rPr>
                <w:rFonts w:hint="eastAsia" w:ascii="宋体" w:hAnsi="宋体" w:cs="宋体"/>
                <w:kern w:val="0"/>
                <w:sz w:val="13"/>
                <w:szCs w:val="13"/>
              </w:rPr>
              <w:t>国有土地收益基金及对应专项债务收入安排的支出</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315.70</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315.70</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2121001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征地和拆迁补偿支出</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315.70</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315.70</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21211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农业土地开发资金及对应专项债务收入安排的支出</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500.00</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500.00</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2121100</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5"/>
                <w:szCs w:val="15"/>
              </w:rPr>
            </w:pPr>
            <w:r>
              <w:rPr>
                <w:rFonts w:hint="eastAsia" w:ascii="宋体" w:hAnsi="宋体" w:cs="宋体"/>
                <w:kern w:val="0"/>
                <w:sz w:val="15"/>
                <w:szCs w:val="15"/>
              </w:rPr>
              <w:t>农业土地开发资金及对应专项债务收入安排的支出</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500.00</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500.00</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21213</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城市基础设施配套费及对应专项债务收入安排的支出</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200.00</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200.00</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2121399</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3"/>
                <w:szCs w:val="13"/>
              </w:rPr>
            </w:pPr>
            <w:r>
              <w:rPr>
                <w:rFonts w:hint="eastAsia" w:ascii="宋体" w:hAnsi="宋体" w:cs="宋体"/>
                <w:kern w:val="0"/>
                <w:sz w:val="13"/>
                <w:szCs w:val="13"/>
              </w:rPr>
              <w:t>其他城市基础设施配套费安排的支出</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200.00</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200.00</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213</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农林水支出</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2902.12</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2902.12</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21301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农业</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1856.24</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1856.24</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2130101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174.81</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174.81</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2130148</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5"/>
                <w:szCs w:val="15"/>
              </w:rPr>
            </w:pPr>
            <w:r>
              <w:rPr>
                <w:rFonts w:hint="eastAsia" w:ascii="宋体" w:hAnsi="宋体" w:cs="宋体"/>
                <w:kern w:val="0"/>
                <w:sz w:val="15"/>
                <w:szCs w:val="15"/>
              </w:rPr>
              <w:t>成品油价格改革对渔业的补贴</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1681.43</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1681.43</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21302</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林业</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23.26</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23.26</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2130201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23.26</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23.26</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21303</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水利</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23.19</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23.19</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2130301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23.19</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23.19</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21307</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农村综合改革</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999.42</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999.42</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rPr>
                <w:rFonts w:ascii="宋体" w:hAnsi="宋体" w:cs="宋体"/>
                <w:kern w:val="0"/>
                <w:sz w:val="18"/>
                <w:szCs w:val="18"/>
              </w:rPr>
            </w:pPr>
            <w:r>
              <w:rPr>
                <w:rFonts w:hint="eastAsia" w:ascii="宋体" w:hAnsi="宋体" w:cs="宋体"/>
                <w:kern w:val="0"/>
                <w:sz w:val="18"/>
                <w:szCs w:val="18"/>
              </w:rPr>
              <w:t>2130701</w:t>
            </w:r>
          </w:p>
        </w:tc>
        <w:tc>
          <w:tcPr>
            <w:tcW w:w="254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18"/>
                <w:szCs w:val="18"/>
              </w:rPr>
            </w:pPr>
            <w:r>
              <w:rPr>
                <w:rFonts w:hint="eastAsia" w:ascii="宋体" w:hAnsi="宋体" w:cs="宋体"/>
                <w:kern w:val="0"/>
                <w:sz w:val="18"/>
                <w:szCs w:val="18"/>
              </w:rPr>
              <w:t>对村级一事一议的补助</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545.50</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r>
              <w:rPr>
                <w:rFonts w:hint="eastAsia" w:ascii="宋体" w:hAnsi="宋体" w:cs="宋体"/>
                <w:kern w:val="0"/>
                <w:sz w:val="20"/>
                <w:szCs w:val="20"/>
              </w:rPr>
              <w:t>545.50</w:t>
            </w: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righ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r>
      <w:tr>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2130705</w:t>
            </w:r>
          </w:p>
        </w:tc>
        <w:tc>
          <w:tcPr>
            <w:tcW w:w="2546" w:type="dxa"/>
            <w:tcBorders>
              <w:top w:val="nil"/>
              <w:left w:val="nil"/>
              <w:bottom w:val="single" w:color="auto" w:sz="4" w:space="0"/>
              <w:right w:val="single" w:color="auto" w:sz="4" w:space="0"/>
            </w:tcBorders>
            <w:shd w:val="clear" w:color="auto" w:fill="FFFFFF"/>
            <w:vAlign w:val="center"/>
          </w:tcPr>
          <w:p>
            <w:pPr>
              <w:widowControl/>
              <w:jc w:val="left"/>
              <w:rPr>
                <w:rFonts w:ascii="宋体" w:hAnsi="宋体" w:cs="宋体"/>
                <w:kern w:val="0"/>
                <w:sz w:val="13"/>
                <w:szCs w:val="13"/>
              </w:rPr>
            </w:pPr>
            <w:r>
              <w:rPr>
                <w:rFonts w:hint="eastAsia" w:ascii="宋体" w:hAnsi="宋体" w:cs="宋体"/>
                <w:kern w:val="0"/>
                <w:sz w:val="13"/>
                <w:szCs w:val="13"/>
              </w:rPr>
              <w:t>对村民委员会和村党支部的补助</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353.92</w:t>
            </w:r>
          </w:p>
        </w:tc>
        <w:tc>
          <w:tcPr>
            <w:tcW w:w="1559"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353.92</w:t>
            </w:r>
          </w:p>
        </w:tc>
        <w:tc>
          <w:tcPr>
            <w:tcW w:w="14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75"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c>
          <w:tcPr>
            <w:tcW w:w="127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c>
          <w:tcPr>
            <w:tcW w:w="14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c>
          <w:tcPr>
            <w:tcW w:w="141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2130799</w:t>
            </w:r>
          </w:p>
        </w:tc>
        <w:tc>
          <w:tcPr>
            <w:tcW w:w="25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其他农村综合改革支出</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100.00　</w:t>
            </w:r>
          </w:p>
        </w:tc>
        <w:tc>
          <w:tcPr>
            <w:tcW w:w="1559"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100.00　</w:t>
            </w:r>
          </w:p>
        </w:tc>
        <w:tc>
          <w:tcPr>
            <w:tcW w:w="14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75"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4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417"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216</w:t>
            </w:r>
          </w:p>
        </w:tc>
        <w:tc>
          <w:tcPr>
            <w:tcW w:w="25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商业服务业等支出</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60.00</w:t>
            </w:r>
          </w:p>
        </w:tc>
        <w:tc>
          <w:tcPr>
            <w:tcW w:w="1559"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60.00</w:t>
            </w:r>
          </w:p>
        </w:tc>
        <w:tc>
          <w:tcPr>
            <w:tcW w:w="14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75"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4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417"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21605</w:t>
            </w:r>
          </w:p>
        </w:tc>
        <w:tc>
          <w:tcPr>
            <w:tcW w:w="25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旅游业管理与服务支出</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60.00</w:t>
            </w:r>
          </w:p>
        </w:tc>
        <w:tc>
          <w:tcPr>
            <w:tcW w:w="1559"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60.00</w:t>
            </w:r>
          </w:p>
        </w:tc>
        <w:tc>
          <w:tcPr>
            <w:tcW w:w="14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75"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4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417"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2160599</w:t>
            </w:r>
          </w:p>
        </w:tc>
        <w:tc>
          <w:tcPr>
            <w:tcW w:w="25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其他旅游业管理与服务支出</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60.00</w:t>
            </w:r>
          </w:p>
        </w:tc>
        <w:tc>
          <w:tcPr>
            <w:tcW w:w="1559"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60.00</w:t>
            </w:r>
          </w:p>
        </w:tc>
        <w:tc>
          <w:tcPr>
            <w:tcW w:w="14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75"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4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417"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220</w:t>
            </w:r>
          </w:p>
        </w:tc>
        <w:tc>
          <w:tcPr>
            <w:tcW w:w="25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国土海洋气象等支出</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300.00　</w:t>
            </w:r>
          </w:p>
        </w:tc>
        <w:tc>
          <w:tcPr>
            <w:tcW w:w="1559"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300.00　</w:t>
            </w:r>
          </w:p>
        </w:tc>
        <w:tc>
          <w:tcPr>
            <w:tcW w:w="14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75"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4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417"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22001</w:t>
            </w:r>
          </w:p>
        </w:tc>
        <w:tc>
          <w:tcPr>
            <w:tcW w:w="25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国土资源事务</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300.00　</w:t>
            </w:r>
          </w:p>
        </w:tc>
        <w:tc>
          <w:tcPr>
            <w:tcW w:w="1559"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300.00　</w:t>
            </w:r>
          </w:p>
        </w:tc>
        <w:tc>
          <w:tcPr>
            <w:tcW w:w="14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75"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4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417"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2200111</w:t>
            </w:r>
          </w:p>
        </w:tc>
        <w:tc>
          <w:tcPr>
            <w:tcW w:w="25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地质灾害防治</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300.00</w:t>
            </w:r>
          </w:p>
        </w:tc>
        <w:tc>
          <w:tcPr>
            <w:tcW w:w="1559"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300.00</w:t>
            </w:r>
          </w:p>
        </w:tc>
        <w:tc>
          <w:tcPr>
            <w:tcW w:w="14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75"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4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417"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221</w:t>
            </w:r>
          </w:p>
        </w:tc>
        <w:tc>
          <w:tcPr>
            <w:tcW w:w="25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住房保障支出</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71.16　</w:t>
            </w:r>
          </w:p>
        </w:tc>
        <w:tc>
          <w:tcPr>
            <w:tcW w:w="1559"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71.16　</w:t>
            </w:r>
          </w:p>
        </w:tc>
        <w:tc>
          <w:tcPr>
            <w:tcW w:w="14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75"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4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417"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22102</w:t>
            </w:r>
          </w:p>
        </w:tc>
        <w:tc>
          <w:tcPr>
            <w:tcW w:w="25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住房改革支出</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71.16　</w:t>
            </w:r>
          </w:p>
        </w:tc>
        <w:tc>
          <w:tcPr>
            <w:tcW w:w="1559"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71.16　</w:t>
            </w:r>
          </w:p>
        </w:tc>
        <w:tc>
          <w:tcPr>
            <w:tcW w:w="14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75"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4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417"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2210201</w:t>
            </w:r>
          </w:p>
        </w:tc>
        <w:tc>
          <w:tcPr>
            <w:tcW w:w="25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住房公积金</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71.16　</w:t>
            </w:r>
          </w:p>
        </w:tc>
        <w:tc>
          <w:tcPr>
            <w:tcW w:w="1559"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71.16　</w:t>
            </w:r>
          </w:p>
        </w:tc>
        <w:tc>
          <w:tcPr>
            <w:tcW w:w="14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75"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4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417"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254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559"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4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75"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4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417"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r>
    </w:tbl>
    <w:p>
      <w:pPr>
        <w:rPr>
          <w:rFonts w:ascii="仿宋_GB2312" w:hAnsi="宋体" w:eastAsia="仿宋_GB2312" w:cs="宋体"/>
          <w:kern w:val="0"/>
          <w:szCs w:val="21"/>
        </w:rPr>
      </w:pPr>
      <w:r>
        <w:rPr>
          <w:rFonts w:hint="eastAsia" w:ascii="仿宋_GB2312" w:hAnsi="宋体" w:eastAsia="仿宋_GB2312" w:cs="宋体"/>
          <w:kern w:val="0"/>
          <w:szCs w:val="21"/>
        </w:rPr>
        <w:t xml:space="preserve">  注：本表反映部门本年度取得的各项收入情况。</w:t>
      </w:r>
    </w:p>
    <w:p>
      <w:pPr>
        <w:jc w:val="right"/>
        <w:rPr>
          <w:rFonts w:ascii="黑体" w:eastAsia="黑体"/>
          <w:b/>
          <w:sz w:val="30"/>
          <w:szCs w:val="30"/>
        </w:rPr>
      </w:pPr>
      <w:r>
        <w:rPr>
          <w:rFonts w:ascii="黑体" w:eastAsia="黑体"/>
          <w:b/>
          <w:sz w:val="30"/>
          <w:szCs w:val="30"/>
        </w:rPr>
        <w:br w:type="page"/>
      </w:r>
    </w:p>
    <w:p>
      <w:pPr>
        <w:jc w:val="center"/>
        <w:rPr>
          <w:rFonts w:ascii="仿宋_GB2312" w:hAnsi="宋体" w:eastAsia="仿宋_GB2312" w:cs="宋体"/>
          <w:b/>
          <w:kern w:val="0"/>
          <w:sz w:val="30"/>
          <w:szCs w:val="30"/>
        </w:rPr>
      </w:pPr>
      <w:r>
        <w:rPr>
          <w:rFonts w:hint="eastAsia" w:ascii="仿宋_GB2312" w:hAnsi="宋体" w:eastAsia="仿宋_GB2312" w:cs="宋体"/>
          <w:b/>
          <w:kern w:val="0"/>
          <w:sz w:val="30"/>
          <w:szCs w:val="30"/>
        </w:rPr>
        <w:t>支出决算表</w:t>
      </w:r>
    </w:p>
    <w:p>
      <w:pPr>
        <w:spacing w:line="380" w:lineRule="exact"/>
        <w:jc w:val="right"/>
        <w:rPr>
          <w:rFonts w:ascii="仿宋_GB2312" w:hAnsi="宋体" w:eastAsia="仿宋_GB2312" w:cs="宋体"/>
          <w:kern w:val="0"/>
          <w:szCs w:val="21"/>
        </w:rPr>
      </w:pPr>
      <w:r>
        <w:rPr>
          <w:rFonts w:hint="eastAsia" w:ascii="仿宋_GB2312" w:hAnsi="宋体" w:eastAsia="仿宋_GB2312" w:cs="宋体"/>
          <w:b/>
          <w:kern w:val="0"/>
          <w:sz w:val="30"/>
          <w:szCs w:val="30"/>
        </w:rPr>
        <w:t xml:space="preserve">                                                                                 </w:t>
      </w:r>
      <w:r>
        <w:rPr>
          <w:rFonts w:hint="eastAsia" w:ascii="仿宋_GB2312" w:hAnsi="宋体" w:eastAsia="仿宋_GB2312" w:cs="宋体"/>
          <w:kern w:val="0"/>
          <w:szCs w:val="21"/>
        </w:rPr>
        <w:t>公开03表</w:t>
      </w:r>
    </w:p>
    <w:p>
      <w:pPr>
        <w:tabs>
          <w:tab w:val="right" w:pos="13958"/>
        </w:tabs>
        <w:spacing w:line="380" w:lineRule="exact"/>
        <w:ind w:firstLine="420" w:firstLineChars="200"/>
        <w:jc w:val="left"/>
        <w:rPr>
          <w:rFonts w:ascii="仿宋_GB2312" w:hAnsi="宋体" w:eastAsia="仿宋_GB2312" w:cs="宋体"/>
          <w:kern w:val="0"/>
          <w:szCs w:val="21"/>
        </w:rPr>
      </w:pPr>
      <w:r>
        <w:rPr>
          <w:rFonts w:hint="eastAsia" w:ascii="仿宋_GB2312" w:hAnsi="宋体" w:eastAsia="仿宋_GB2312" w:cs="宋体"/>
          <w:kern w:val="0"/>
          <w:szCs w:val="21"/>
        </w:rPr>
        <w:t>部门：                                                                                                             金额单位：万元</w:t>
      </w:r>
    </w:p>
    <w:tbl>
      <w:tblPr>
        <w:tblStyle w:val="7"/>
        <w:tblpPr w:leftFromText="180" w:rightFromText="180" w:vertAnchor="text" w:tblpY="1"/>
        <w:tblOverlap w:val="never"/>
        <w:tblW w:w="13875" w:type="dxa"/>
        <w:tblInd w:w="93" w:type="dxa"/>
        <w:tblLayout w:type="autofit"/>
        <w:tblCellMar>
          <w:top w:w="0" w:type="dxa"/>
          <w:left w:w="108" w:type="dxa"/>
          <w:bottom w:w="0" w:type="dxa"/>
          <w:right w:w="108" w:type="dxa"/>
        </w:tblCellMar>
      </w:tblPr>
      <w:tblGrid>
        <w:gridCol w:w="582"/>
        <w:gridCol w:w="567"/>
        <w:gridCol w:w="567"/>
        <w:gridCol w:w="3237"/>
        <w:gridCol w:w="1820"/>
        <w:gridCol w:w="1597"/>
        <w:gridCol w:w="1420"/>
        <w:gridCol w:w="1244"/>
        <w:gridCol w:w="1244"/>
        <w:gridCol w:w="1597"/>
      </w:tblGrid>
      <w:tr>
        <w:tblPrEx>
          <w:tblCellMar>
            <w:top w:w="0" w:type="dxa"/>
            <w:left w:w="108" w:type="dxa"/>
            <w:bottom w:w="0" w:type="dxa"/>
            <w:right w:w="108" w:type="dxa"/>
          </w:tblCellMar>
        </w:tblPrEx>
        <w:trPr>
          <w:trHeight w:val="765" w:hRule="atLeast"/>
        </w:trPr>
        <w:tc>
          <w:tcPr>
            <w:tcW w:w="1716"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科目编码</w:t>
            </w:r>
          </w:p>
        </w:tc>
        <w:tc>
          <w:tcPr>
            <w:tcW w:w="3237"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科目名称</w:t>
            </w:r>
          </w:p>
        </w:tc>
        <w:tc>
          <w:tcPr>
            <w:tcW w:w="18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本年支出合计</w:t>
            </w:r>
          </w:p>
        </w:tc>
        <w:tc>
          <w:tcPr>
            <w:tcW w:w="159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基本支出</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项目支出</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上缴上级 支出</w:t>
            </w:r>
          </w:p>
        </w:tc>
        <w:tc>
          <w:tcPr>
            <w:tcW w:w="124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 xml:space="preserve">经营支出    </w:t>
            </w:r>
          </w:p>
        </w:tc>
        <w:tc>
          <w:tcPr>
            <w:tcW w:w="159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对附属单位补助支出</w:t>
            </w:r>
          </w:p>
        </w:tc>
      </w:tr>
      <w:tr>
        <w:tblPrEx>
          <w:tblCellMar>
            <w:top w:w="0" w:type="dxa"/>
            <w:left w:w="108" w:type="dxa"/>
            <w:bottom w:w="0" w:type="dxa"/>
            <w:right w:w="108" w:type="dxa"/>
          </w:tblCellMar>
        </w:tblPrEx>
        <w:trPr>
          <w:trHeight w:val="345" w:hRule="atLeast"/>
        </w:trPr>
        <w:tc>
          <w:tcPr>
            <w:tcW w:w="582" w:type="dxa"/>
            <w:vMerge w:val="restart"/>
            <w:tcBorders>
              <w:left w:val="single" w:color="auto" w:sz="4" w:space="0"/>
              <w:right w:val="single" w:color="auto" w:sz="4" w:space="0"/>
            </w:tcBorders>
            <w:shd w:val="clear" w:color="auto" w:fill="auto"/>
            <w:vAlign w:val="center"/>
          </w:tcPr>
          <w:p>
            <w:pPr>
              <w:jc w:val="center"/>
              <w:rPr>
                <w:rFonts w:ascii="宋体" w:hAnsi="宋体" w:cs="宋体"/>
                <w:kern w:val="0"/>
                <w:sz w:val="20"/>
                <w:szCs w:val="20"/>
              </w:rPr>
            </w:pPr>
            <w:r>
              <w:rPr>
                <w:rFonts w:hint="eastAsia" w:ascii="宋体" w:hAnsi="宋体" w:cs="宋体"/>
                <w:kern w:val="0"/>
                <w:sz w:val="20"/>
                <w:szCs w:val="20"/>
              </w:rPr>
              <w:t>类</w:t>
            </w:r>
          </w:p>
        </w:tc>
        <w:tc>
          <w:tcPr>
            <w:tcW w:w="567" w:type="dxa"/>
            <w:vMerge w:val="restart"/>
            <w:tcBorders>
              <w:left w:val="nil"/>
              <w:right w:val="single" w:color="auto" w:sz="4" w:space="0"/>
            </w:tcBorders>
            <w:shd w:val="clear" w:color="auto" w:fill="auto"/>
            <w:vAlign w:val="center"/>
          </w:tcPr>
          <w:p>
            <w:pPr>
              <w:jc w:val="center"/>
              <w:rPr>
                <w:rFonts w:ascii="宋体" w:hAnsi="宋体" w:cs="宋体"/>
                <w:kern w:val="0"/>
                <w:sz w:val="20"/>
                <w:szCs w:val="20"/>
              </w:rPr>
            </w:pPr>
            <w:r>
              <w:rPr>
                <w:rFonts w:hint="eastAsia" w:ascii="宋体" w:hAnsi="宋体" w:cs="宋体"/>
                <w:kern w:val="0"/>
                <w:sz w:val="20"/>
                <w:szCs w:val="20"/>
              </w:rPr>
              <w:t>款</w:t>
            </w:r>
          </w:p>
        </w:tc>
        <w:tc>
          <w:tcPr>
            <w:tcW w:w="567" w:type="dxa"/>
            <w:vMerge w:val="restart"/>
            <w:tcBorders>
              <w:left w:val="nil"/>
              <w:right w:val="single" w:color="auto" w:sz="4" w:space="0"/>
            </w:tcBorders>
            <w:shd w:val="clear" w:color="auto" w:fill="auto"/>
            <w:vAlign w:val="center"/>
          </w:tcPr>
          <w:p>
            <w:pPr>
              <w:jc w:val="center"/>
              <w:rPr>
                <w:rFonts w:ascii="宋体" w:hAnsi="宋体" w:cs="宋体"/>
                <w:kern w:val="0"/>
                <w:sz w:val="20"/>
                <w:szCs w:val="20"/>
              </w:rPr>
            </w:pPr>
            <w:r>
              <w:rPr>
                <w:rFonts w:hint="eastAsia" w:ascii="宋体" w:hAnsi="宋体" w:cs="宋体"/>
                <w:kern w:val="0"/>
                <w:sz w:val="20"/>
                <w:szCs w:val="20"/>
              </w:rPr>
              <w:t>项</w:t>
            </w:r>
          </w:p>
        </w:tc>
        <w:tc>
          <w:tcPr>
            <w:tcW w:w="3237"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栏  次</w:t>
            </w:r>
          </w:p>
        </w:tc>
        <w:tc>
          <w:tcPr>
            <w:tcW w:w="182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1</w:t>
            </w: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2</w:t>
            </w:r>
          </w:p>
        </w:tc>
        <w:tc>
          <w:tcPr>
            <w:tcW w:w="142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3</w:t>
            </w: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4</w:t>
            </w: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5</w:t>
            </w: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6</w:t>
            </w:r>
          </w:p>
        </w:tc>
      </w:tr>
      <w:tr>
        <w:tblPrEx>
          <w:tblCellMar>
            <w:top w:w="0" w:type="dxa"/>
            <w:left w:w="108" w:type="dxa"/>
            <w:bottom w:w="0" w:type="dxa"/>
            <w:right w:w="108" w:type="dxa"/>
          </w:tblCellMar>
        </w:tblPrEx>
        <w:trPr>
          <w:trHeight w:val="345" w:hRule="atLeast"/>
        </w:trPr>
        <w:tc>
          <w:tcPr>
            <w:tcW w:w="582" w:type="dxa"/>
            <w:vMerge w:val="continue"/>
            <w:tcBorders>
              <w:left w:val="single" w:color="auto" w:sz="4" w:space="0"/>
              <w:bottom w:val="nil"/>
              <w:right w:val="single" w:color="auto" w:sz="4" w:space="0"/>
            </w:tcBorders>
            <w:shd w:val="clear" w:color="auto" w:fill="auto"/>
            <w:vAlign w:val="center"/>
          </w:tcPr>
          <w:p>
            <w:pPr>
              <w:widowControl/>
              <w:jc w:val="center"/>
              <w:rPr>
                <w:rFonts w:ascii="宋体" w:hAnsi="宋体" w:cs="宋体"/>
                <w:kern w:val="0"/>
                <w:sz w:val="20"/>
                <w:szCs w:val="20"/>
              </w:rPr>
            </w:pPr>
          </w:p>
        </w:tc>
        <w:tc>
          <w:tcPr>
            <w:tcW w:w="567" w:type="dxa"/>
            <w:vMerge w:val="continue"/>
            <w:tcBorders>
              <w:left w:val="nil"/>
              <w:bottom w:val="nil"/>
              <w:right w:val="single" w:color="auto" w:sz="4" w:space="0"/>
            </w:tcBorders>
            <w:shd w:val="clear" w:color="auto" w:fill="auto"/>
            <w:vAlign w:val="center"/>
          </w:tcPr>
          <w:p>
            <w:pPr>
              <w:widowControl/>
              <w:jc w:val="center"/>
              <w:rPr>
                <w:rFonts w:ascii="宋体" w:hAnsi="宋体" w:cs="宋体"/>
                <w:kern w:val="0"/>
                <w:sz w:val="20"/>
                <w:szCs w:val="20"/>
              </w:rPr>
            </w:pPr>
          </w:p>
        </w:tc>
        <w:tc>
          <w:tcPr>
            <w:tcW w:w="567" w:type="dxa"/>
            <w:vMerge w:val="continue"/>
            <w:tcBorders>
              <w:left w:val="nil"/>
              <w:bottom w:val="nil"/>
              <w:right w:val="single" w:color="auto" w:sz="4" w:space="0"/>
            </w:tcBorders>
            <w:shd w:val="clear" w:color="auto" w:fill="auto"/>
            <w:vAlign w:val="center"/>
          </w:tcPr>
          <w:p>
            <w:pPr>
              <w:widowControl/>
              <w:jc w:val="center"/>
              <w:rPr>
                <w:rFonts w:ascii="宋体" w:hAnsi="宋体" w:cs="宋体"/>
                <w:kern w:val="0"/>
                <w:sz w:val="20"/>
                <w:szCs w:val="20"/>
              </w:rPr>
            </w:pPr>
          </w:p>
        </w:tc>
        <w:tc>
          <w:tcPr>
            <w:tcW w:w="3237"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合  计</w:t>
            </w:r>
          </w:p>
        </w:tc>
        <w:tc>
          <w:tcPr>
            <w:tcW w:w="182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18547.64</w:t>
            </w: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3983.27</w:t>
            </w:r>
          </w:p>
        </w:tc>
        <w:tc>
          <w:tcPr>
            <w:tcW w:w="142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14564.37</w:t>
            </w: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jc w:val="center"/>
              <w:rPr>
                <w:rFonts w:ascii="宋体" w:hAnsi="宋体" w:cs="宋体"/>
                <w:kern w:val="0"/>
                <w:sz w:val="20"/>
                <w:szCs w:val="20"/>
              </w:rPr>
            </w:pPr>
            <w:r>
              <w:rPr>
                <w:rFonts w:hint="eastAsia" w:ascii="宋体" w:hAnsi="宋体" w:cs="宋体"/>
                <w:kern w:val="0"/>
                <w:sz w:val="20"/>
                <w:szCs w:val="20"/>
              </w:rPr>
              <w:t>201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20"/>
                <w:szCs w:val="20"/>
              </w:rPr>
            </w:pPr>
            <w:r>
              <w:rPr>
                <w:rFonts w:hint="eastAsia" w:ascii="宋体" w:hAnsi="宋体" w:cs="宋体"/>
                <w:kern w:val="0"/>
                <w:sz w:val="20"/>
                <w:szCs w:val="20"/>
              </w:rPr>
              <w:t>一般公共服务支出</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514.88</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514.88</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20101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宋体" w:hAnsi="宋体" w:cs="宋体"/>
                <w:kern w:val="0"/>
                <w:sz w:val="18"/>
                <w:szCs w:val="18"/>
              </w:rPr>
            </w:pPr>
            <w:r>
              <w:rPr>
                <w:rFonts w:hint="eastAsia" w:ascii="宋体" w:hAnsi="宋体" w:cs="宋体"/>
                <w:kern w:val="0"/>
                <w:sz w:val="18"/>
                <w:szCs w:val="18"/>
              </w:rPr>
              <w:t>人大事务</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12.74</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12.74</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xml:space="preserve">　2010101   </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行政运行</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12.74</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12.74</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20103</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政府办公厅（室）及相关机构事务</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360.93</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360.93</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2010301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360.93</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360.93</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20106</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财政事务</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68.62</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68.62</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2010601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68.62</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68.62</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20131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党委办公厅（室）及相关机构事务</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72.58</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72.58</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780"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2013101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行政运行</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72.58</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72.58</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205</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教育支出</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6532.20</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6532.20</w:t>
            </w: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20502　</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普通教育</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6532.20</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6532.20</w:t>
            </w: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2050299</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其他普通教育支出</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6532.20</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6532.20</w:t>
            </w: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207</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文化体育与传媒支出</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28.74</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28.74</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20701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文化</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28.74</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28.74</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2070101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28.74</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28.74</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208</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社会保障和就业支出</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231.21</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231.21</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20801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人力资源和社会保障管理事务</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46.71</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46.71</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2080101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46.71</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46.71</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20808</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抚恤</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180.08</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180.08</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2080801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死亡抚恤</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168.30</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168.30</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2080899</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其他优抚支出</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11.78</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11.78</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20899</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其他社会保障和就业支出</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4.41</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4.41</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478"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2089901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其他社会保障和就业支出</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4.41</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4.41</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210</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医疗卫生与计划生育支出</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122.29</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122.29</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21001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医疗卫生与计划生育管理事务</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78.07</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78.07</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2100101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78.07</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78.07</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21005</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行政事业单位医疗</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44.22</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44.22</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2100501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行政单位医疗</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16.79</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16.79</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2100502</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事业单位医疗</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27.44</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27.44</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城乡社区支出</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7785.04</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52.87</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7732.17</w:t>
            </w: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21201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城乡社区管理事务</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52.87</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52.87</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2120103</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机关服务</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52.87</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52.87</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21203</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城乡社区公共设施</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5864.03</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5864.03</w:t>
            </w: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2120303</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小城镇基础设施建设</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500.00</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500.00</w:t>
            </w: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468"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2120399</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其他城乡社区公共设施支出</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5364.03</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5364.03</w:t>
            </w: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21208</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3"/>
                <w:szCs w:val="13"/>
              </w:rPr>
            </w:pPr>
            <w:r>
              <w:rPr>
                <w:rFonts w:hint="eastAsia" w:ascii="宋体" w:hAnsi="宋体" w:cs="宋体"/>
                <w:kern w:val="0"/>
                <w:sz w:val="13"/>
                <w:szCs w:val="13"/>
              </w:rPr>
              <w:t>国有土地使用权出让收入及对应专项债务收入安排的支出</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852.44</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852.44</w:t>
            </w: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2120801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征地和拆迁补偿支出</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132.78</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132.78</w:t>
            </w: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2120802</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土地开发支出</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719.66</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719.66</w:t>
            </w: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21210</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3"/>
                <w:szCs w:val="13"/>
              </w:rPr>
            </w:pPr>
            <w:r>
              <w:rPr>
                <w:rFonts w:hint="eastAsia" w:ascii="宋体" w:hAnsi="宋体" w:cs="宋体"/>
                <w:kern w:val="0"/>
                <w:sz w:val="13"/>
                <w:szCs w:val="13"/>
              </w:rPr>
              <w:t>国有土地收益基金及对应专项债务收入安排的支出</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315.70</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315.70</w:t>
            </w: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2121001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征地和拆迁补偿支出</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315.70</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315.70</w:t>
            </w: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21211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农业土地开发资金及对应专项债务收入安排的支出</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500.00</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500.00</w:t>
            </w: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2121100</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5"/>
                <w:szCs w:val="15"/>
              </w:rPr>
            </w:pPr>
            <w:r>
              <w:rPr>
                <w:rFonts w:hint="eastAsia" w:ascii="宋体" w:hAnsi="宋体" w:cs="宋体"/>
                <w:kern w:val="0"/>
                <w:sz w:val="15"/>
                <w:szCs w:val="15"/>
              </w:rPr>
              <w:t>农业土地开发资金及对应专项债务收入安排的支出</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500.00</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500.00</w:t>
            </w: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21213</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城市基础设施配套费及对应专项债务收入安排的支出</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200.00</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200.00</w:t>
            </w: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2121399</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3"/>
                <w:szCs w:val="13"/>
              </w:rPr>
            </w:pPr>
            <w:r>
              <w:rPr>
                <w:rFonts w:hint="eastAsia" w:ascii="宋体" w:hAnsi="宋体" w:cs="宋体"/>
                <w:kern w:val="0"/>
                <w:sz w:val="13"/>
                <w:szCs w:val="13"/>
              </w:rPr>
              <w:t>其他城市基础设施配套费安排的支出</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200.00</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200.00</w:t>
            </w: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农林水支出</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2902.12</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2902.12</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农业</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1856.24</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1856.24</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2130101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174.81</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174.81</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2130148</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5"/>
                <w:szCs w:val="15"/>
              </w:rPr>
            </w:pPr>
            <w:r>
              <w:rPr>
                <w:rFonts w:hint="eastAsia" w:ascii="宋体" w:hAnsi="宋体" w:cs="宋体"/>
                <w:kern w:val="0"/>
                <w:sz w:val="15"/>
                <w:szCs w:val="15"/>
              </w:rPr>
              <w:t>成品油价格改革对渔业的补贴</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1681.43</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1681.43</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21302</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林业</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23.26</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23.26</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2130201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23.26</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23.26</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21303</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水利</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23.19</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23.19</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2130301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23.19</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23.19</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21307</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农村综合改革</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999.42</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999.42</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2130701</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对村级一事一议的补助</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545.50</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545.50</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2130705</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3"/>
                <w:szCs w:val="13"/>
              </w:rPr>
            </w:pPr>
            <w:r>
              <w:rPr>
                <w:rFonts w:hint="eastAsia" w:ascii="宋体" w:hAnsi="宋体" w:cs="宋体"/>
                <w:kern w:val="0"/>
                <w:sz w:val="13"/>
                <w:szCs w:val="13"/>
              </w:rPr>
              <w:t>对村民委员会和村党支部的补助</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353.92</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353.92</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single" w:color="auto" w:sz="4" w:space="0"/>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2130799</w:t>
            </w:r>
          </w:p>
        </w:tc>
        <w:tc>
          <w:tcPr>
            <w:tcW w:w="32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其他农村综合改革支出</w:t>
            </w:r>
          </w:p>
        </w:tc>
        <w:tc>
          <w:tcPr>
            <w:tcW w:w="1820" w:type="dxa"/>
            <w:tcBorders>
              <w:top w:val="single" w:color="auto" w:sz="4" w:space="0"/>
              <w:left w:val="nil"/>
              <w:bottom w:val="single" w:color="auto" w:sz="4" w:space="0"/>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100.00　</w:t>
            </w:r>
          </w:p>
        </w:tc>
        <w:tc>
          <w:tcPr>
            <w:tcW w:w="1597" w:type="dxa"/>
            <w:tcBorders>
              <w:top w:val="single" w:color="auto" w:sz="4" w:space="0"/>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100.00　</w:t>
            </w:r>
          </w:p>
        </w:tc>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44"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597"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45" w:hRule="atLeast"/>
        </w:trPr>
        <w:tc>
          <w:tcPr>
            <w:tcW w:w="1716" w:type="dxa"/>
            <w:gridSpan w:val="3"/>
            <w:tcBorders>
              <w:top w:val="nil"/>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216</w:t>
            </w:r>
          </w:p>
        </w:tc>
        <w:tc>
          <w:tcPr>
            <w:tcW w:w="3237"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商业服务业等支出</w:t>
            </w:r>
          </w:p>
        </w:tc>
        <w:tc>
          <w:tcPr>
            <w:tcW w:w="1820" w:type="dxa"/>
            <w:tcBorders>
              <w:top w:val="nil"/>
              <w:left w:val="nil"/>
              <w:bottom w:val="single" w:color="auto" w:sz="4" w:space="0"/>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60.00</w:t>
            </w:r>
          </w:p>
        </w:tc>
        <w:tc>
          <w:tcPr>
            <w:tcW w:w="1597" w:type="dxa"/>
            <w:tcBorders>
              <w:top w:val="nil"/>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60.00</w:t>
            </w:r>
          </w:p>
        </w:tc>
        <w:tc>
          <w:tcPr>
            <w:tcW w:w="1420" w:type="dxa"/>
            <w:tcBorders>
              <w:top w:val="nil"/>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4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4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597"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45" w:hRule="atLeast"/>
        </w:trPr>
        <w:tc>
          <w:tcPr>
            <w:tcW w:w="1716" w:type="dxa"/>
            <w:gridSpan w:val="3"/>
            <w:tcBorders>
              <w:top w:val="nil"/>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21605</w:t>
            </w:r>
          </w:p>
        </w:tc>
        <w:tc>
          <w:tcPr>
            <w:tcW w:w="3237"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旅游业管理与服务支出</w:t>
            </w:r>
          </w:p>
        </w:tc>
        <w:tc>
          <w:tcPr>
            <w:tcW w:w="1820" w:type="dxa"/>
            <w:tcBorders>
              <w:top w:val="nil"/>
              <w:left w:val="nil"/>
              <w:bottom w:val="single" w:color="auto" w:sz="4" w:space="0"/>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60.00</w:t>
            </w:r>
          </w:p>
        </w:tc>
        <w:tc>
          <w:tcPr>
            <w:tcW w:w="1597" w:type="dxa"/>
            <w:tcBorders>
              <w:top w:val="nil"/>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60.00</w:t>
            </w:r>
          </w:p>
        </w:tc>
        <w:tc>
          <w:tcPr>
            <w:tcW w:w="1420" w:type="dxa"/>
            <w:tcBorders>
              <w:top w:val="nil"/>
              <w:left w:val="single" w:color="auto" w:sz="4" w:space="0"/>
              <w:bottom w:val="single" w:color="auto" w:sz="4" w:space="0"/>
              <w:right w:val="single" w:color="auto" w:sz="4" w:space="0"/>
            </w:tcBorders>
            <w:shd w:val="clear" w:color="auto" w:fill="auto"/>
            <w:vAlign w:val="center"/>
          </w:tcPr>
          <w:p>
            <w:pPr>
              <w:widowControl/>
              <w:ind w:right="90"/>
              <w:jc w:val="right"/>
              <w:rPr>
                <w:rFonts w:ascii="宋体" w:hAnsi="宋体" w:cs="宋体"/>
                <w:kern w:val="0"/>
                <w:sz w:val="18"/>
                <w:szCs w:val="18"/>
              </w:rPr>
            </w:pPr>
            <w:r>
              <w:rPr>
                <w:rFonts w:hint="eastAsia" w:ascii="宋体" w:hAnsi="宋体" w:cs="宋体"/>
                <w:kern w:val="0"/>
                <w:sz w:val="18"/>
                <w:szCs w:val="18"/>
              </w:rPr>
              <w:t>　</w:t>
            </w:r>
          </w:p>
        </w:tc>
        <w:tc>
          <w:tcPr>
            <w:tcW w:w="124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4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597"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45" w:hRule="atLeast"/>
        </w:trPr>
        <w:tc>
          <w:tcPr>
            <w:tcW w:w="1716" w:type="dxa"/>
            <w:gridSpan w:val="3"/>
            <w:tcBorders>
              <w:top w:val="nil"/>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2160599</w:t>
            </w:r>
          </w:p>
        </w:tc>
        <w:tc>
          <w:tcPr>
            <w:tcW w:w="3237"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其他旅游业管理与服务支出</w:t>
            </w:r>
          </w:p>
        </w:tc>
        <w:tc>
          <w:tcPr>
            <w:tcW w:w="1820" w:type="dxa"/>
            <w:tcBorders>
              <w:top w:val="nil"/>
              <w:left w:val="nil"/>
              <w:bottom w:val="single" w:color="auto" w:sz="4" w:space="0"/>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60.00</w:t>
            </w:r>
          </w:p>
        </w:tc>
        <w:tc>
          <w:tcPr>
            <w:tcW w:w="1597" w:type="dxa"/>
            <w:tcBorders>
              <w:top w:val="nil"/>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60.00</w:t>
            </w:r>
          </w:p>
        </w:tc>
        <w:tc>
          <w:tcPr>
            <w:tcW w:w="1420" w:type="dxa"/>
            <w:tcBorders>
              <w:top w:val="nil"/>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4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4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597"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45" w:hRule="atLeast"/>
        </w:trPr>
        <w:tc>
          <w:tcPr>
            <w:tcW w:w="1716" w:type="dxa"/>
            <w:gridSpan w:val="3"/>
            <w:tcBorders>
              <w:top w:val="nil"/>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220</w:t>
            </w:r>
          </w:p>
        </w:tc>
        <w:tc>
          <w:tcPr>
            <w:tcW w:w="3237"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国土海洋气象等支出</w:t>
            </w:r>
          </w:p>
        </w:tc>
        <w:tc>
          <w:tcPr>
            <w:tcW w:w="1820" w:type="dxa"/>
            <w:tcBorders>
              <w:top w:val="nil"/>
              <w:left w:val="nil"/>
              <w:bottom w:val="single" w:color="auto" w:sz="4" w:space="0"/>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300.00　</w:t>
            </w:r>
          </w:p>
        </w:tc>
        <w:tc>
          <w:tcPr>
            <w:tcW w:w="1597" w:type="dxa"/>
            <w:tcBorders>
              <w:top w:val="nil"/>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420" w:type="dxa"/>
            <w:tcBorders>
              <w:top w:val="nil"/>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300.00　</w:t>
            </w:r>
          </w:p>
        </w:tc>
        <w:tc>
          <w:tcPr>
            <w:tcW w:w="124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4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597"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45" w:hRule="atLeast"/>
        </w:trPr>
        <w:tc>
          <w:tcPr>
            <w:tcW w:w="1716" w:type="dxa"/>
            <w:gridSpan w:val="3"/>
            <w:tcBorders>
              <w:top w:val="nil"/>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22001</w:t>
            </w:r>
          </w:p>
        </w:tc>
        <w:tc>
          <w:tcPr>
            <w:tcW w:w="3237"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国土资源事务</w:t>
            </w:r>
          </w:p>
        </w:tc>
        <w:tc>
          <w:tcPr>
            <w:tcW w:w="1820" w:type="dxa"/>
            <w:tcBorders>
              <w:top w:val="nil"/>
              <w:left w:val="nil"/>
              <w:bottom w:val="single" w:color="auto" w:sz="4" w:space="0"/>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300.00　</w:t>
            </w:r>
          </w:p>
        </w:tc>
        <w:tc>
          <w:tcPr>
            <w:tcW w:w="1597" w:type="dxa"/>
            <w:tcBorders>
              <w:top w:val="nil"/>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420" w:type="dxa"/>
            <w:tcBorders>
              <w:top w:val="nil"/>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300.00　</w:t>
            </w:r>
          </w:p>
        </w:tc>
        <w:tc>
          <w:tcPr>
            <w:tcW w:w="124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4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597"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45" w:hRule="atLeast"/>
        </w:trPr>
        <w:tc>
          <w:tcPr>
            <w:tcW w:w="1716" w:type="dxa"/>
            <w:gridSpan w:val="3"/>
            <w:tcBorders>
              <w:top w:val="nil"/>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2200111</w:t>
            </w:r>
          </w:p>
        </w:tc>
        <w:tc>
          <w:tcPr>
            <w:tcW w:w="3237"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地质灾害防治</w:t>
            </w:r>
          </w:p>
        </w:tc>
        <w:tc>
          <w:tcPr>
            <w:tcW w:w="1820" w:type="dxa"/>
            <w:tcBorders>
              <w:top w:val="nil"/>
              <w:left w:val="nil"/>
              <w:bottom w:val="single" w:color="auto" w:sz="4" w:space="0"/>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300.00</w:t>
            </w:r>
          </w:p>
        </w:tc>
        <w:tc>
          <w:tcPr>
            <w:tcW w:w="1597" w:type="dxa"/>
            <w:tcBorders>
              <w:top w:val="nil"/>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420" w:type="dxa"/>
            <w:tcBorders>
              <w:top w:val="nil"/>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300.00</w:t>
            </w:r>
          </w:p>
        </w:tc>
        <w:tc>
          <w:tcPr>
            <w:tcW w:w="124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4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597"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45" w:hRule="atLeast"/>
        </w:trPr>
        <w:tc>
          <w:tcPr>
            <w:tcW w:w="1716" w:type="dxa"/>
            <w:gridSpan w:val="3"/>
            <w:tcBorders>
              <w:top w:val="nil"/>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221</w:t>
            </w:r>
          </w:p>
        </w:tc>
        <w:tc>
          <w:tcPr>
            <w:tcW w:w="3237"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住房保障支出</w:t>
            </w:r>
          </w:p>
        </w:tc>
        <w:tc>
          <w:tcPr>
            <w:tcW w:w="1820" w:type="dxa"/>
            <w:tcBorders>
              <w:top w:val="nil"/>
              <w:left w:val="nil"/>
              <w:bottom w:val="single" w:color="auto" w:sz="4" w:space="0"/>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71.16　</w:t>
            </w:r>
          </w:p>
        </w:tc>
        <w:tc>
          <w:tcPr>
            <w:tcW w:w="1597" w:type="dxa"/>
            <w:tcBorders>
              <w:top w:val="nil"/>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71.16　</w:t>
            </w:r>
          </w:p>
        </w:tc>
        <w:tc>
          <w:tcPr>
            <w:tcW w:w="1420" w:type="dxa"/>
            <w:tcBorders>
              <w:top w:val="nil"/>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4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24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597"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45" w:hRule="atLeast"/>
        </w:trPr>
        <w:tc>
          <w:tcPr>
            <w:tcW w:w="1716" w:type="dxa"/>
            <w:gridSpan w:val="3"/>
            <w:tcBorders>
              <w:top w:val="nil"/>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22102</w:t>
            </w:r>
          </w:p>
        </w:tc>
        <w:tc>
          <w:tcPr>
            <w:tcW w:w="3237"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住房改革支出</w:t>
            </w:r>
          </w:p>
        </w:tc>
        <w:tc>
          <w:tcPr>
            <w:tcW w:w="1820" w:type="dxa"/>
            <w:tcBorders>
              <w:top w:val="nil"/>
              <w:left w:val="nil"/>
              <w:bottom w:val="single" w:color="auto" w:sz="4" w:space="0"/>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71.16　</w:t>
            </w:r>
          </w:p>
        </w:tc>
        <w:tc>
          <w:tcPr>
            <w:tcW w:w="1597" w:type="dxa"/>
            <w:tcBorders>
              <w:top w:val="nil"/>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71.16　</w:t>
            </w:r>
          </w:p>
        </w:tc>
        <w:tc>
          <w:tcPr>
            <w:tcW w:w="1420" w:type="dxa"/>
            <w:tcBorders>
              <w:top w:val="nil"/>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nil"/>
              <w:left w:val="single" w:color="auto" w:sz="4" w:space="0"/>
              <w:bottom w:val="single" w:color="auto" w:sz="4" w:space="0"/>
              <w:right w:val="nil"/>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2210201</w:t>
            </w:r>
          </w:p>
        </w:tc>
        <w:tc>
          <w:tcPr>
            <w:tcW w:w="3237"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住房公积金</w:t>
            </w:r>
          </w:p>
        </w:tc>
        <w:tc>
          <w:tcPr>
            <w:tcW w:w="1820" w:type="dxa"/>
            <w:tcBorders>
              <w:top w:val="nil"/>
              <w:left w:val="nil"/>
              <w:bottom w:val="single" w:color="auto" w:sz="4" w:space="0"/>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71.16　</w:t>
            </w:r>
          </w:p>
        </w:tc>
        <w:tc>
          <w:tcPr>
            <w:tcW w:w="1597" w:type="dxa"/>
            <w:tcBorders>
              <w:top w:val="nil"/>
              <w:left w:val="single" w:color="auto" w:sz="4" w:space="0"/>
              <w:bottom w:val="single" w:color="auto" w:sz="4" w:space="0"/>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71.16　</w:t>
            </w:r>
          </w:p>
        </w:tc>
        <w:tc>
          <w:tcPr>
            <w:tcW w:w="1420" w:type="dxa"/>
            <w:tcBorders>
              <w:top w:val="nil"/>
              <w:left w:val="single" w:color="auto" w:sz="4" w:space="0"/>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16" w:type="dxa"/>
            <w:gridSpan w:val="3"/>
            <w:tcBorders>
              <w:top w:val="nil"/>
              <w:left w:val="single" w:color="auto" w:sz="4" w:space="0"/>
              <w:bottom w:val="nil"/>
              <w:right w:val="nil"/>
            </w:tcBorders>
            <w:shd w:val="clear" w:color="auto" w:fill="auto"/>
            <w:vAlign w:val="center"/>
          </w:tcPr>
          <w:p>
            <w:pPr>
              <w:widowControl/>
              <w:jc w:val="left"/>
              <w:rPr>
                <w:rFonts w:ascii="宋体" w:hAnsi="宋体" w:cs="宋体"/>
                <w:kern w:val="0"/>
                <w:sz w:val="18"/>
                <w:szCs w:val="18"/>
              </w:rPr>
            </w:pPr>
          </w:p>
        </w:tc>
        <w:tc>
          <w:tcPr>
            <w:tcW w:w="3237" w:type="dxa"/>
            <w:tcBorders>
              <w:top w:val="nil"/>
              <w:left w:val="single" w:color="auto" w:sz="4" w:space="0"/>
              <w:bottom w:val="nil"/>
              <w:right w:val="single" w:color="auto" w:sz="4" w:space="0"/>
            </w:tcBorders>
            <w:shd w:val="clear" w:color="auto" w:fill="auto"/>
            <w:vAlign w:val="center"/>
          </w:tcPr>
          <w:p>
            <w:pPr>
              <w:widowControl/>
              <w:jc w:val="left"/>
              <w:rPr>
                <w:rFonts w:ascii="宋体" w:hAnsi="宋体" w:cs="宋体"/>
                <w:kern w:val="0"/>
                <w:sz w:val="18"/>
                <w:szCs w:val="18"/>
              </w:rPr>
            </w:pPr>
          </w:p>
        </w:tc>
        <w:tc>
          <w:tcPr>
            <w:tcW w:w="1820" w:type="dxa"/>
            <w:tcBorders>
              <w:top w:val="nil"/>
              <w:left w:val="nil"/>
              <w:bottom w:val="nil"/>
              <w:right w:val="nil"/>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597" w:type="dxa"/>
            <w:tcBorders>
              <w:top w:val="nil"/>
              <w:left w:val="single" w:color="auto" w:sz="4" w:space="0"/>
              <w:bottom w:val="nil"/>
              <w:right w:val="nil"/>
            </w:tcBorders>
            <w:shd w:val="clear" w:color="auto" w:fill="auto"/>
            <w:vAlign w:val="center"/>
          </w:tcPr>
          <w:p>
            <w:pPr>
              <w:widowControl/>
              <w:jc w:val="right"/>
              <w:rPr>
                <w:rFonts w:ascii="宋体" w:hAnsi="宋体" w:cs="宋体"/>
                <w:kern w:val="0"/>
                <w:sz w:val="18"/>
                <w:szCs w:val="18"/>
              </w:rPr>
            </w:pPr>
          </w:p>
        </w:tc>
        <w:tc>
          <w:tcPr>
            <w:tcW w:w="1420" w:type="dxa"/>
            <w:tcBorders>
              <w:top w:val="nil"/>
              <w:left w:val="single" w:color="auto" w:sz="4" w:space="0"/>
              <w:bottom w:val="nil"/>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nil"/>
              <w:left w:val="nil"/>
              <w:bottom w:val="nil"/>
              <w:right w:val="single" w:color="auto" w:sz="4" w:space="0"/>
            </w:tcBorders>
            <w:shd w:val="clear" w:color="auto" w:fill="auto"/>
            <w:vAlign w:val="center"/>
          </w:tcPr>
          <w:p>
            <w:pPr>
              <w:widowControl/>
              <w:jc w:val="right"/>
              <w:rPr>
                <w:rFonts w:ascii="宋体" w:hAnsi="宋体" w:cs="宋体"/>
                <w:kern w:val="0"/>
                <w:sz w:val="18"/>
                <w:szCs w:val="18"/>
              </w:rPr>
            </w:pPr>
          </w:p>
        </w:tc>
        <w:tc>
          <w:tcPr>
            <w:tcW w:w="1244" w:type="dxa"/>
            <w:tcBorders>
              <w:top w:val="nil"/>
              <w:left w:val="nil"/>
              <w:bottom w:val="nil"/>
              <w:right w:val="single" w:color="auto" w:sz="4" w:space="0"/>
            </w:tcBorders>
            <w:shd w:val="clear" w:color="auto" w:fill="auto"/>
            <w:vAlign w:val="center"/>
          </w:tcPr>
          <w:p>
            <w:pPr>
              <w:widowControl/>
              <w:jc w:val="right"/>
              <w:rPr>
                <w:rFonts w:ascii="宋体" w:hAnsi="宋体" w:cs="宋体"/>
                <w:kern w:val="0"/>
                <w:sz w:val="18"/>
                <w:szCs w:val="18"/>
              </w:rPr>
            </w:pPr>
          </w:p>
        </w:tc>
        <w:tc>
          <w:tcPr>
            <w:tcW w:w="1597" w:type="dxa"/>
            <w:tcBorders>
              <w:top w:val="nil"/>
              <w:left w:val="nil"/>
              <w:bottom w:val="nil"/>
              <w:right w:val="single" w:color="auto" w:sz="4" w:space="0"/>
            </w:tcBorders>
            <w:shd w:val="clear" w:color="auto" w:fill="auto"/>
            <w:vAlign w:val="center"/>
          </w:tcPr>
          <w:p>
            <w:pPr>
              <w:widowControl/>
              <w:jc w:val="right"/>
              <w:rPr>
                <w:rFonts w:ascii="宋体" w:hAnsi="宋体" w:cs="宋体"/>
                <w:kern w:val="0"/>
                <w:sz w:val="18"/>
                <w:szCs w:val="18"/>
              </w:rPr>
            </w:pPr>
          </w:p>
        </w:tc>
      </w:tr>
    </w:tbl>
    <w:p>
      <w:pPr>
        <w:rPr>
          <w:rFonts w:ascii="仿宋_GB2312" w:hAnsi="宋体" w:eastAsia="仿宋_GB2312" w:cs="宋体"/>
          <w:kern w:val="0"/>
          <w:szCs w:val="21"/>
        </w:rPr>
      </w:pPr>
      <w:r>
        <w:rPr>
          <w:rFonts w:hint="eastAsia" w:ascii="仿宋_GB2312" w:hAnsi="宋体" w:eastAsia="仿宋_GB2312" w:cs="宋体"/>
          <w:kern w:val="0"/>
          <w:szCs w:val="21"/>
        </w:rPr>
        <w:t>注：本表反映部门本年度各项支出情况。</w:t>
      </w:r>
    </w:p>
    <w:p>
      <w:pPr>
        <w:rPr>
          <w:rFonts w:ascii="仿宋_GB2312" w:hAnsi="宋体" w:eastAsia="仿宋_GB2312" w:cs="宋体"/>
          <w:kern w:val="0"/>
          <w:szCs w:val="21"/>
        </w:rPr>
      </w:pPr>
    </w:p>
    <w:p>
      <w:pPr>
        <w:rPr>
          <w:rFonts w:ascii="仿宋_GB2312" w:hAnsi="宋体" w:eastAsia="仿宋_GB2312" w:cs="宋体"/>
          <w:kern w:val="0"/>
          <w:szCs w:val="21"/>
        </w:rPr>
      </w:pPr>
    </w:p>
    <w:p>
      <w:pPr>
        <w:rPr>
          <w:rFonts w:ascii="仿宋_GB2312" w:hAnsi="宋体" w:eastAsia="仿宋_GB2312" w:cs="宋体"/>
          <w:kern w:val="0"/>
          <w:szCs w:val="21"/>
        </w:rPr>
      </w:pPr>
    </w:p>
    <w:p>
      <w:pPr>
        <w:rPr>
          <w:rFonts w:ascii="仿宋_GB2312" w:hAnsi="宋体" w:eastAsia="仿宋_GB2312" w:cs="宋体"/>
          <w:kern w:val="0"/>
          <w:szCs w:val="21"/>
        </w:rPr>
      </w:pPr>
    </w:p>
    <w:p>
      <w:pPr>
        <w:rPr>
          <w:rFonts w:ascii="仿宋_GB2312" w:hAnsi="宋体" w:eastAsia="仿宋_GB2312" w:cs="宋体"/>
          <w:kern w:val="0"/>
          <w:szCs w:val="21"/>
        </w:rPr>
      </w:pPr>
    </w:p>
    <w:p>
      <w:pPr>
        <w:rPr>
          <w:rFonts w:ascii="仿宋_GB2312" w:hAnsi="宋体" w:eastAsia="仿宋_GB2312" w:cs="宋体"/>
          <w:kern w:val="0"/>
          <w:szCs w:val="21"/>
        </w:rPr>
      </w:pPr>
    </w:p>
    <w:p>
      <w:pPr>
        <w:rPr>
          <w:rFonts w:ascii="仿宋_GB2312" w:hAnsi="宋体" w:eastAsia="仿宋_GB2312" w:cs="宋体"/>
          <w:kern w:val="0"/>
          <w:szCs w:val="21"/>
        </w:rPr>
      </w:pPr>
    </w:p>
    <w:p>
      <w:pPr>
        <w:rPr>
          <w:rFonts w:ascii="仿宋_GB2312" w:hAnsi="宋体" w:eastAsia="仿宋_GB2312" w:cs="宋体"/>
          <w:kern w:val="0"/>
          <w:szCs w:val="21"/>
        </w:rPr>
      </w:pPr>
    </w:p>
    <w:p>
      <w:pPr>
        <w:rPr>
          <w:rFonts w:ascii="仿宋_GB2312" w:hAnsi="宋体" w:eastAsia="仿宋_GB2312" w:cs="宋体"/>
          <w:kern w:val="0"/>
          <w:szCs w:val="21"/>
        </w:rPr>
      </w:pPr>
    </w:p>
    <w:p>
      <w:pPr>
        <w:rPr>
          <w:rFonts w:ascii="仿宋_GB2312" w:hAnsi="宋体" w:eastAsia="仿宋_GB2312" w:cs="宋体"/>
          <w:kern w:val="0"/>
          <w:szCs w:val="21"/>
        </w:rPr>
      </w:pPr>
    </w:p>
    <w:p>
      <w:pPr>
        <w:rPr>
          <w:rFonts w:ascii="仿宋_GB2312" w:hAnsi="宋体" w:eastAsia="仿宋_GB2312" w:cs="宋体"/>
          <w:kern w:val="0"/>
          <w:szCs w:val="21"/>
        </w:rPr>
      </w:pPr>
    </w:p>
    <w:p>
      <w:pPr>
        <w:rPr>
          <w:rFonts w:ascii="仿宋_GB2312" w:hAnsi="宋体" w:eastAsia="仿宋_GB2312" w:cs="宋体"/>
          <w:kern w:val="0"/>
          <w:szCs w:val="21"/>
        </w:rPr>
      </w:pPr>
    </w:p>
    <w:p>
      <w:pPr>
        <w:rPr>
          <w:rFonts w:ascii="仿宋_GB2312" w:hAnsi="宋体" w:eastAsia="仿宋_GB2312" w:cs="宋体"/>
          <w:kern w:val="0"/>
          <w:szCs w:val="21"/>
        </w:rPr>
      </w:pPr>
    </w:p>
    <w:tbl>
      <w:tblPr>
        <w:tblStyle w:val="7"/>
        <w:tblW w:w="13515" w:type="dxa"/>
        <w:tblInd w:w="93"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2895"/>
        <w:gridCol w:w="540"/>
        <w:gridCol w:w="722"/>
        <w:gridCol w:w="916"/>
        <w:gridCol w:w="236"/>
        <w:gridCol w:w="2266"/>
        <w:gridCol w:w="540"/>
        <w:gridCol w:w="847"/>
        <w:gridCol w:w="680"/>
        <w:gridCol w:w="273"/>
        <w:gridCol w:w="407"/>
        <w:gridCol w:w="1194"/>
        <w:gridCol w:w="199"/>
        <w:gridCol w:w="180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515" w:type="dxa"/>
            <w:gridSpan w:val="14"/>
            <w:tcBorders>
              <w:top w:val="nil"/>
              <w:left w:val="nil"/>
              <w:bottom w:val="nil"/>
              <w:right w:val="nil"/>
            </w:tcBorders>
            <w:shd w:val="clear" w:color="auto" w:fill="auto"/>
            <w:noWrap/>
            <w:vAlign w:val="center"/>
          </w:tcPr>
          <w:p>
            <w:pPr>
              <w:widowControl/>
              <w:jc w:val="center"/>
              <w:rPr>
                <w:rFonts w:ascii="仿宋_GB2312" w:hAnsi="华文中宋" w:eastAsia="仿宋_GB2312" w:cs="宋体"/>
                <w:b/>
                <w:color w:val="000000"/>
                <w:kern w:val="0"/>
                <w:sz w:val="30"/>
                <w:szCs w:val="30"/>
              </w:rPr>
            </w:pPr>
            <w:r>
              <w:rPr>
                <w:rFonts w:ascii="仿宋_GB2312" w:eastAsia="仿宋_GB2312"/>
                <w:b/>
                <w:sz w:val="30"/>
                <w:szCs w:val="30"/>
              </w:rPr>
              <w:br w:type="page"/>
            </w:r>
            <w:r>
              <w:rPr>
                <w:rFonts w:hint="eastAsia" w:ascii="仿宋_GB2312" w:hAnsi="华文中宋" w:eastAsia="仿宋_GB2312" w:cs="宋体"/>
                <w:b/>
                <w:color w:val="000000"/>
                <w:kern w:val="0"/>
                <w:sz w:val="30"/>
                <w:szCs w:val="30"/>
              </w:rPr>
              <w:t>财政拨款收入支出决算总表</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99" w:hRule="atLeast"/>
        </w:trPr>
        <w:tc>
          <w:tcPr>
            <w:tcW w:w="4157" w:type="dxa"/>
            <w:gridSpan w:val="3"/>
            <w:tcBorders>
              <w:top w:val="nil"/>
              <w:left w:val="nil"/>
              <w:bottom w:val="nil"/>
            </w:tcBorders>
            <w:shd w:val="clear" w:color="auto" w:fill="auto"/>
            <w:noWrap/>
            <w:vAlign w:val="center"/>
          </w:tcPr>
          <w:p>
            <w:pPr>
              <w:widowControl/>
              <w:jc w:val="right"/>
              <w:rPr>
                <w:rFonts w:ascii="宋体" w:hAnsi="宋体" w:cs="宋体"/>
                <w:kern w:val="0"/>
                <w:sz w:val="24"/>
              </w:rPr>
            </w:pPr>
            <w:r>
              <w:rPr>
                <w:rFonts w:hint="eastAsia" w:ascii="宋体" w:hAnsi="宋体" w:cs="宋体"/>
                <w:kern w:val="0"/>
                <w:sz w:val="24"/>
              </w:rPr>
              <w:t>　</w:t>
            </w:r>
          </w:p>
        </w:tc>
        <w:tc>
          <w:tcPr>
            <w:tcW w:w="916" w:type="dxa"/>
            <w:tcBorders>
              <w:top w:val="nil"/>
              <w:bottom w:val="nil"/>
            </w:tcBorders>
            <w:shd w:val="clear" w:color="auto" w:fill="auto"/>
            <w:noWrap/>
            <w:vAlign w:val="center"/>
          </w:tcPr>
          <w:p>
            <w:pPr>
              <w:widowControl/>
              <w:jc w:val="right"/>
              <w:rPr>
                <w:rFonts w:ascii="宋体" w:hAnsi="宋体" w:cs="宋体"/>
                <w:kern w:val="0"/>
                <w:sz w:val="24"/>
              </w:rPr>
            </w:pPr>
            <w:r>
              <w:rPr>
                <w:rFonts w:hint="eastAsia" w:ascii="宋体" w:hAnsi="宋体" w:cs="宋体"/>
                <w:kern w:val="0"/>
                <w:sz w:val="24"/>
              </w:rPr>
              <w:t>　</w:t>
            </w:r>
          </w:p>
        </w:tc>
        <w:tc>
          <w:tcPr>
            <w:tcW w:w="236" w:type="dxa"/>
            <w:tcBorders>
              <w:top w:val="nil"/>
              <w:bottom w:val="nil"/>
            </w:tcBorders>
            <w:shd w:val="clear" w:color="auto" w:fill="auto"/>
            <w:noWrap/>
            <w:vAlign w:val="center"/>
          </w:tcPr>
          <w:p>
            <w:pPr>
              <w:widowControl/>
              <w:jc w:val="right"/>
              <w:rPr>
                <w:rFonts w:ascii="宋体" w:hAnsi="宋体" w:cs="宋体"/>
                <w:kern w:val="0"/>
                <w:sz w:val="24"/>
              </w:rPr>
            </w:pPr>
            <w:r>
              <w:rPr>
                <w:rFonts w:hint="eastAsia" w:ascii="宋体" w:hAnsi="宋体" w:cs="宋体"/>
                <w:kern w:val="0"/>
                <w:sz w:val="24"/>
              </w:rPr>
              <w:t>　</w:t>
            </w:r>
          </w:p>
        </w:tc>
        <w:tc>
          <w:tcPr>
            <w:tcW w:w="3653" w:type="dxa"/>
            <w:gridSpan w:val="3"/>
            <w:tcBorders>
              <w:top w:val="nil"/>
              <w:bottom w:val="nil"/>
            </w:tcBorders>
            <w:shd w:val="clear" w:color="auto" w:fill="auto"/>
            <w:noWrap/>
            <w:vAlign w:val="center"/>
          </w:tcPr>
          <w:p>
            <w:pPr>
              <w:widowControl/>
              <w:jc w:val="right"/>
              <w:rPr>
                <w:rFonts w:ascii="宋体" w:hAnsi="宋体" w:cs="宋体"/>
                <w:kern w:val="0"/>
                <w:sz w:val="24"/>
              </w:rPr>
            </w:pPr>
            <w:r>
              <w:rPr>
                <w:rFonts w:hint="eastAsia" w:ascii="宋体" w:hAnsi="宋体" w:cs="宋体"/>
                <w:kern w:val="0"/>
                <w:sz w:val="24"/>
              </w:rPr>
              <w:t>　</w:t>
            </w:r>
          </w:p>
        </w:tc>
        <w:tc>
          <w:tcPr>
            <w:tcW w:w="680" w:type="dxa"/>
            <w:tcBorders>
              <w:top w:val="nil"/>
              <w:bottom w:val="nil"/>
            </w:tcBorders>
            <w:shd w:val="clear" w:color="auto" w:fill="auto"/>
            <w:noWrap/>
            <w:vAlign w:val="center"/>
          </w:tcPr>
          <w:p>
            <w:pPr>
              <w:widowControl/>
              <w:jc w:val="right"/>
              <w:rPr>
                <w:rFonts w:ascii="宋体" w:hAnsi="宋体" w:cs="宋体"/>
                <w:kern w:val="0"/>
                <w:sz w:val="24"/>
              </w:rPr>
            </w:pPr>
            <w:r>
              <w:rPr>
                <w:rFonts w:hint="eastAsia" w:ascii="宋体" w:hAnsi="宋体" w:cs="宋体"/>
                <w:kern w:val="0"/>
                <w:sz w:val="24"/>
              </w:rPr>
              <w:t>　</w:t>
            </w:r>
          </w:p>
        </w:tc>
        <w:tc>
          <w:tcPr>
            <w:tcW w:w="680" w:type="dxa"/>
            <w:gridSpan w:val="2"/>
            <w:tcBorders>
              <w:top w:val="nil"/>
              <w:bottom w:val="nil"/>
            </w:tcBorders>
            <w:shd w:val="clear" w:color="auto" w:fill="auto"/>
            <w:noWrap/>
            <w:vAlign w:val="center"/>
          </w:tcPr>
          <w:p>
            <w:pPr>
              <w:widowControl/>
              <w:jc w:val="right"/>
              <w:rPr>
                <w:rFonts w:ascii="宋体" w:hAnsi="宋体" w:cs="宋体"/>
                <w:kern w:val="0"/>
                <w:sz w:val="24"/>
              </w:rPr>
            </w:pPr>
            <w:r>
              <w:rPr>
                <w:rFonts w:hint="eastAsia" w:ascii="宋体" w:hAnsi="宋体" w:cs="宋体"/>
                <w:kern w:val="0"/>
                <w:sz w:val="24"/>
              </w:rPr>
              <w:t>　</w:t>
            </w:r>
          </w:p>
        </w:tc>
        <w:tc>
          <w:tcPr>
            <w:tcW w:w="1194" w:type="dxa"/>
            <w:tcBorders>
              <w:top w:val="nil"/>
              <w:bottom w:val="nil"/>
            </w:tcBorders>
            <w:shd w:val="clear" w:color="auto" w:fill="auto"/>
            <w:noWrap/>
            <w:vAlign w:val="center"/>
          </w:tcPr>
          <w:p>
            <w:pPr>
              <w:widowControl/>
              <w:jc w:val="right"/>
              <w:rPr>
                <w:rFonts w:ascii="宋体" w:hAnsi="宋体" w:cs="宋体"/>
                <w:kern w:val="0"/>
                <w:sz w:val="24"/>
              </w:rPr>
            </w:pPr>
            <w:r>
              <w:rPr>
                <w:rFonts w:hint="eastAsia" w:ascii="宋体" w:hAnsi="宋体" w:cs="宋体"/>
                <w:kern w:val="0"/>
                <w:sz w:val="24"/>
              </w:rPr>
              <w:t>　</w:t>
            </w:r>
          </w:p>
        </w:tc>
        <w:tc>
          <w:tcPr>
            <w:tcW w:w="1999" w:type="dxa"/>
            <w:gridSpan w:val="2"/>
            <w:tcBorders>
              <w:top w:val="nil"/>
              <w:bottom w:val="nil"/>
              <w:right w:val="nil"/>
            </w:tcBorders>
            <w:shd w:val="clear" w:color="auto" w:fill="auto"/>
            <w:noWrap/>
            <w:vAlign w:val="center"/>
          </w:tcPr>
          <w:p>
            <w:pPr>
              <w:widowControl/>
              <w:spacing w:line="380" w:lineRule="exact"/>
              <w:jc w:val="righ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公开04表</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157" w:type="dxa"/>
            <w:gridSpan w:val="3"/>
            <w:tcBorders>
              <w:top w:val="nil"/>
              <w:left w:val="nil"/>
              <w:bottom w:val="single" w:color="auto" w:sz="4" w:space="0"/>
            </w:tcBorders>
            <w:shd w:val="clear" w:color="auto" w:fill="auto"/>
            <w:noWrap/>
            <w:vAlign w:val="center"/>
          </w:tcPr>
          <w:p>
            <w:pPr>
              <w:widowControl/>
              <w:spacing w:line="380" w:lineRule="exact"/>
              <w:jc w:val="left"/>
              <w:rPr>
                <w:rFonts w:ascii="宋体" w:hAnsi="宋体" w:cs="宋体"/>
                <w:color w:val="000000"/>
                <w:kern w:val="0"/>
                <w:sz w:val="20"/>
                <w:szCs w:val="20"/>
              </w:rPr>
            </w:pPr>
            <w:r>
              <w:rPr>
                <w:rFonts w:hint="eastAsia" w:ascii="仿宋_GB2312" w:hAnsi="宋体" w:eastAsia="仿宋_GB2312" w:cs="宋体"/>
                <w:color w:val="000000"/>
                <w:kern w:val="0"/>
                <w:szCs w:val="21"/>
              </w:rPr>
              <w:t>　部门：</w:t>
            </w:r>
          </w:p>
        </w:tc>
        <w:tc>
          <w:tcPr>
            <w:tcW w:w="916" w:type="dxa"/>
            <w:tcBorders>
              <w:top w:val="nil"/>
              <w:bottom w:val="single" w:color="auto" w:sz="4" w:space="0"/>
            </w:tcBorders>
            <w:shd w:val="clear" w:color="auto" w:fill="auto"/>
            <w:noWrap/>
            <w:vAlign w:val="center"/>
          </w:tcPr>
          <w:p>
            <w:pPr>
              <w:widowControl/>
              <w:jc w:val="right"/>
              <w:rPr>
                <w:rFonts w:ascii="宋体" w:hAnsi="宋体" w:cs="宋体"/>
                <w:kern w:val="0"/>
                <w:sz w:val="24"/>
              </w:rPr>
            </w:pPr>
            <w:r>
              <w:rPr>
                <w:rFonts w:hint="eastAsia" w:ascii="宋体" w:hAnsi="宋体" w:cs="宋体"/>
                <w:kern w:val="0"/>
                <w:sz w:val="24"/>
              </w:rPr>
              <w:t>　</w:t>
            </w:r>
          </w:p>
        </w:tc>
        <w:tc>
          <w:tcPr>
            <w:tcW w:w="236" w:type="dxa"/>
            <w:tcBorders>
              <w:top w:val="nil"/>
              <w:bottom w:val="single" w:color="auto" w:sz="4" w:space="0"/>
            </w:tcBorders>
            <w:shd w:val="clear" w:color="auto" w:fill="auto"/>
            <w:noWrap/>
            <w:vAlign w:val="center"/>
          </w:tcPr>
          <w:p>
            <w:pPr>
              <w:widowControl/>
              <w:jc w:val="right"/>
              <w:rPr>
                <w:rFonts w:ascii="宋体" w:hAnsi="宋体" w:cs="宋体"/>
                <w:kern w:val="0"/>
                <w:sz w:val="24"/>
              </w:rPr>
            </w:pPr>
            <w:r>
              <w:rPr>
                <w:rFonts w:hint="eastAsia" w:ascii="宋体" w:hAnsi="宋体" w:cs="宋体"/>
                <w:kern w:val="0"/>
                <w:sz w:val="24"/>
              </w:rPr>
              <w:t>　</w:t>
            </w:r>
          </w:p>
        </w:tc>
        <w:tc>
          <w:tcPr>
            <w:tcW w:w="3653" w:type="dxa"/>
            <w:gridSpan w:val="3"/>
            <w:tcBorders>
              <w:top w:val="nil"/>
              <w:bottom w:val="single" w:color="auto" w:sz="4" w:space="0"/>
            </w:tcBorders>
            <w:shd w:val="clear" w:color="auto" w:fill="auto"/>
            <w:noWrap/>
            <w:vAlign w:val="center"/>
          </w:tcPr>
          <w:p>
            <w:pPr>
              <w:widowControl/>
              <w:jc w:val="right"/>
              <w:rPr>
                <w:rFonts w:ascii="宋体" w:hAnsi="宋体" w:cs="宋体"/>
                <w:kern w:val="0"/>
                <w:sz w:val="24"/>
              </w:rPr>
            </w:pPr>
            <w:r>
              <w:rPr>
                <w:rFonts w:hint="eastAsia" w:ascii="宋体" w:hAnsi="宋体" w:cs="宋体"/>
                <w:kern w:val="0"/>
                <w:sz w:val="24"/>
              </w:rPr>
              <w:t>　</w:t>
            </w:r>
          </w:p>
        </w:tc>
        <w:tc>
          <w:tcPr>
            <w:tcW w:w="680" w:type="dxa"/>
            <w:tcBorders>
              <w:top w:val="nil"/>
              <w:bottom w:val="single" w:color="auto" w:sz="4" w:space="0"/>
            </w:tcBorders>
            <w:shd w:val="clear" w:color="auto" w:fill="auto"/>
            <w:noWrap/>
            <w:vAlign w:val="center"/>
          </w:tcPr>
          <w:p>
            <w:pPr>
              <w:widowControl/>
              <w:jc w:val="right"/>
              <w:rPr>
                <w:rFonts w:ascii="宋体" w:hAnsi="宋体" w:cs="宋体"/>
                <w:kern w:val="0"/>
                <w:sz w:val="24"/>
              </w:rPr>
            </w:pPr>
            <w:r>
              <w:rPr>
                <w:rFonts w:hint="eastAsia" w:ascii="宋体" w:hAnsi="宋体" w:cs="宋体"/>
                <w:kern w:val="0"/>
                <w:sz w:val="24"/>
              </w:rPr>
              <w:t>　</w:t>
            </w:r>
          </w:p>
        </w:tc>
        <w:tc>
          <w:tcPr>
            <w:tcW w:w="680" w:type="dxa"/>
            <w:gridSpan w:val="2"/>
            <w:tcBorders>
              <w:top w:val="nil"/>
              <w:bottom w:val="single" w:color="auto" w:sz="4" w:space="0"/>
            </w:tcBorders>
            <w:shd w:val="clear" w:color="auto" w:fill="auto"/>
            <w:noWrap/>
            <w:vAlign w:val="center"/>
          </w:tcPr>
          <w:p>
            <w:pPr>
              <w:widowControl/>
              <w:jc w:val="right"/>
              <w:rPr>
                <w:rFonts w:ascii="宋体" w:hAnsi="宋体" w:cs="宋体"/>
                <w:kern w:val="0"/>
                <w:sz w:val="24"/>
              </w:rPr>
            </w:pPr>
            <w:r>
              <w:rPr>
                <w:rFonts w:hint="eastAsia" w:ascii="宋体" w:hAnsi="宋体" w:cs="宋体"/>
                <w:kern w:val="0"/>
                <w:sz w:val="24"/>
              </w:rPr>
              <w:t>　</w:t>
            </w:r>
          </w:p>
        </w:tc>
        <w:tc>
          <w:tcPr>
            <w:tcW w:w="1194" w:type="dxa"/>
            <w:tcBorders>
              <w:top w:val="nil"/>
              <w:bottom w:val="single" w:color="auto" w:sz="4" w:space="0"/>
            </w:tcBorders>
            <w:shd w:val="clear" w:color="auto" w:fill="auto"/>
            <w:noWrap/>
            <w:vAlign w:val="center"/>
          </w:tcPr>
          <w:p>
            <w:pPr>
              <w:widowControl/>
              <w:jc w:val="right"/>
              <w:rPr>
                <w:rFonts w:ascii="宋体" w:hAnsi="宋体" w:cs="宋体"/>
                <w:kern w:val="0"/>
                <w:sz w:val="24"/>
              </w:rPr>
            </w:pPr>
            <w:r>
              <w:rPr>
                <w:rFonts w:hint="eastAsia" w:ascii="宋体" w:hAnsi="宋体" w:cs="宋体"/>
                <w:kern w:val="0"/>
                <w:sz w:val="24"/>
              </w:rPr>
              <w:t>　</w:t>
            </w:r>
          </w:p>
        </w:tc>
        <w:tc>
          <w:tcPr>
            <w:tcW w:w="1999" w:type="dxa"/>
            <w:gridSpan w:val="2"/>
            <w:tcBorders>
              <w:top w:val="nil"/>
              <w:bottom w:val="single" w:color="auto" w:sz="4" w:space="0"/>
              <w:right w:val="nil"/>
            </w:tcBorders>
            <w:shd w:val="clear" w:color="auto" w:fill="auto"/>
            <w:noWrap/>
            <w:vAlign w:val="center"/>
          </w:tcPr>
          <w:p>
            <w:pPr>
              <w:widowControl/>
              <w:spacing w:line="380" w:lineRule="exact"/>
              <w:jc w:val="righ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金额单位：万元</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5073" w:type="dxa"/>
            <w:gridSpan w:val="4"/>
            <w:tcBorders>
              <w:top w:val="single" w:color="auto" w:sz="4" w:space="0"/>
              <w:bottom w:val="single" w:color="auto" w:sz="4" w:space="0"/>
              <w:right w:val="nil"/>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收入</w:t>
            </w:r>
          </w:p>
        </w:tc>
        <w:tc>
          <w:tcPr>
            <w:tcW w:w="8442" w:type="dxa"/>
            <w:gridSpan w:val="10"/>
            <w:tcBorders>
              <w:top w:val="single" w:color="auto" w:sz="4" w:space="0"/>
              <w:left w:val="nil"/>
              <w:bottom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支出</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2895" w:type="dxa"/>
            <w:tcBorders>
              <w:top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项    目</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行次</w:t>
            </w:r>
          </w:p>
        </w:tc>
        <w:tc>
          <w:tcPr>
            <w:tcW w:w="1638"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金额</w:t>
            </w:r>
          </w:p>
        </w:tc>
        <w:tc>
          <w:tcPr>
            <w:tcW w:w="2502"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项    目</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行次</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合计</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rPr>
                <w:rFonts w:ascii="宋体" w:hAnsi="宋体" w:cs="宋体"/>
                <w:kern w:val="0"/>
                <w:sz w:val="20"/>
                <w:szCs w:val="20"/>
              </w:rPr>
            </w:pPr>
            <w:r>
              <w:rPr>
                <w:rFonts w:hint="eastAsia" w:ascii="宋体" w:hAnsi="宋体" w:cs="宋体"/>
                <w:kern w:val="0"/>
                <w:sz w:val="20"/>
                <w:szCs w:val="20"/>
              </w:rPr>
              <w:t>一般公共预算</w:t>
            </w:r>
            <w:r>
              <w:rPr>
                <w:rFonts w:ascii="宋体" w:hAnsi="宋体" w:cs="宋体"/>
                <w:kern w:val="0"/>
                <w:sz w:val="20"/>
                <w:szCs w:val="20"/>
              </w:rPr>
              <w:br w:type="textWrapping"/>
            </w:r>
            <w:r>
              <w:rPr>
                <w:rFonts w:hint="eastAsia" w:ascii="宋体" w:hAnsi="宋体" w:cs="宋体"/>
                <w:kern w:val="0"/>
                <w:sz w:val="20"/>
                <w:szCs w:val="20"/>
              </w:rPr>
              <w:t>财政拨款</w:t>
            </w:r>
          </w:p>
        </w:tc>
        <w:tc>
          <w:tcPr>
            <w:tcW w:w="1800" w:type="dxa"/>
            <w:tcBorders>
              <w:top w:val="single" w:color="auto" w:sz="4" w:space="0"/>
              <w:left w:val="single" w:color="auto" w:sz="4" w:space="0"/>
              <w:bottom w:val="single" w:color="auto" w:sz="4" w:space="0"/>
            </w:tcBorders>
            <w:shd w:val="clear" w:color="auto" w:fill="FFFFFF"/>
            <w:vAlign w:val="center"/>
          </w:tcPr>
          <w:p>
            <w:pPr>
              <w:widowControl/>
              <w:jc w:val="center"/>
              <w:rPr>
                <w:rFonts w:ascii="宋体" w:hAnsi="宋体" w:cs="宋体"/>
                <w:kern w:val="0"/>
                <w:sz w:val="20"/>
                <w:szCs w:val="20"/>
              </w:rPr>
            </w:pPr>
            <w:r>
              <w:rPr>
                <w:rFonts w:hint="eastAsia" w:ascii="宋体" w:hAnsi="宋体" w:cs="宋体"/>
                <w:kern w:val="0"/>
                <w:sz w:val="20"/>
                <w:szCs w:val="20"/>
              </w:rPr>
              <w:t>政府性基金预算财政拨款</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auto"/>
            <w:noWrap/>
            <w:vAlign w:val="center"/>
          </w:tcPr>
          <w:p>
            <w:pPr>
              <w:widowControl/>
              <w:ind w:firstLine="1000" w:firstLineChars="500"/>
              <w:rPr>
                <w:rFonts w:ascii="宋体" w:hAnsi="宋体" w:cs="宋体"/>
                <w:kern w:val="0"/>
                <w:sz w:val="20"/>
                <w:szCs w:val="20"/>
              </w:rPr>
            </w:pPr>
            <w:r>
              <w:rPr>
                <w:rFonts w:hint="eastAsia" w:ascii="宋体" w:hAnsi="宋体" w:cs="宋体"/>
                <w:kern w:val="0"/>
                <w:sz w:val="20"/>
                <w:szCs w:val="20"/>
              </w:rPr>
              <w:t>栏   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1</w:t>
            </w:r>
          </w:p>
        </w:tc>
        <w:tc>
          <w:tcPr>
            <w:tcW w:w="2502"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栏  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2</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3</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4</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一、一般公共预算财政拨款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1</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16679.50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left"/>
              <w:rPr>
                <w:rFonts w:ascii="宋体" w:hAnsi="宋体" w:cs="宋体"/>
                <w:kern w:val="0"/>
                <w:sz w:val="20"/>
                <w:szCs w:val="20"/>
              </w:rPr>
            </w:pPr>
            <w:r>
              <w:rPr>
                <w:rFonts w:hint="eastAsia" w:ascii="宋体" w:hAnsi="宋体" w:cs="宋体"/>
                <w:kern w:val="0"/>
                <w:sz w:val="20"/>
                <w:szCs w:val="20"/>
              </w:rPr>
              <w:t>一、一般公共服务支出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28</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　514.88</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　514.88</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pPr>
              <w:widowControl/>
              <w:jc w:val="left"/>
              <w:rPr>
                <w:rFonts w:ascii="宋体" w:hAnsi="宋体" w:cs="宋体"/>
                <w:kern w:val="0"/>
                <w:sz w:val="20"/>
                <w:szCs w:val="20"/>
              </w:rPr>
            </w:pPr>
            <w:r>
              <w:rPr>
                <w:rFonts w:hint="eastAsia" w:ascii="宋体" w:hAnsi="宋体" w:cs="宋体"/>
                <w:kern w:val="0"/>
                <w:sz w:val="20"/>
                <w:szCs w:val="20"/>
              </w:rPr>
              <w:t>二、政府性基金预算财政拨款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2</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1868.14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left"/>
              <w:rPr>
                <w:rFonts w:ascii="宋体" w:hAnsi="宋体" w:cs="宋体"/>
                <w:kern w:val="0"/>
                <w:sz w:val="20"/>
                <w:szCs w:val="20"/>
              </w:rPr>
            </w:pPr>
            <w:r>
              <w:rPr>
                <w:rFonts w:hint="eastAsia" w:ascii="宋体" w:hAnsi="宋体" w:cs="宋体"/>
                <w:kern w:val="0"/>
                <w:sz w:val="20"/>
                <w:szCs w:val="20"/>
              </w:rPr>
              <w:t>二、外交支出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29</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　0.00</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　0.00</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3</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left"/>
              <w:rPr>
                <w:rFonts w:ascii="宋体" w:hAnsi="宋体" w:cs="宋体"/>
                <w:kern w:val="0"/>
                <w:sz w:val="20"/>
                <w:szCs w:val="20"/>
              </w:rPr>
            </w:pPr>
            <w:r>
              <w:rPr>
                <w:rFonts w:hint="eastAsia" w:ascii="宋体" w:hAnsi="宋体" w:cs="宋体"/>
                <w:kern w:val="0"/>
                <w:sz w:val="20"/>
                <w:szCs w:val="20"/>
              </w:rPr>
              <w:t>三、国防支出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30</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　0.00</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　0.00</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4</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left"/>
              <w:rPr>
                <w:rFonts w:ascii="宋体" w:hAnsi="宋体" w:cs="宋体"/>
                <w:kern w:val="0"/>
                <w:sz w:val="20"/>
                <w:szCs w:val="20"/>
              </w:rPr>
            </w:pPr>
            <w:r>
              <w:rPr>
                <w:rFonts w:hint="eastAsia" w:ascii="宋体" w:hAnsi="宋体" w:cs="宋体"/>
                <w:kern w:val="0"/>
                <w:sz w:val="20"/>
                <w:szCs w:val="20"/>
              </w:rPr>
              <w:t>四、公共安全支出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31</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　0.00</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　0.00</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5</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left"/>
              <w:rPr>
                <w:rFonts w:ascii="宋体" w:hAnsi="宋体" w:cs="宋体"/>
                <w:kern w:val="0"/>
                <w:sz w:val="20"/>
                <w:szCs w:val="20"/>
              </w:rPr>
            </w:pPr>
            <w:r>
              <w:rPr>
                <w:rFonts w:hint="eastAsia" w:ascii="宋体" w:hAnsi="宋体" w:cs="宋体"/>
                <w:kern w:val="0"/>
                <w:sz w:val="20"/>
                <w:szCs w:val="20"/>
              </w:rPr>
              <w:t>五、教育支出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32</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6532.20　</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6532.20　</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6</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left"/>
              <w:rPr>
                <w:rFonts w:ascii="宋体" w:hAnsi="宋体" w:cs="宋体"/>
                <w:kern w:val="0"/>
                <w:sz w:val="20"/>
                <w:szCs w:val="20"/>
              </w:rPr>
            </w:pPr>
            <w:r>
              <w:rPr>
                <w:rFonts w:hint="eastAsia" w:ascii="宋体" w:hAnsi="宋体" w:cs="宋体"/>
                <w:kern w:val="0"/>
                <w:sz w:val="20"/>
                <w:szCs w:val="20"/>
              </w:rPr>
              <w:t>六、科学技术支出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33</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　0.00</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　0.00</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pPr>
              <w:widowControl/>
              <w:jc w:val="left"/>
              <w:rPr>
                <w:rFonts w:ascii="宋体" w:hAnsi="宋体" w:cs="宋体"/>
                <w:kern w:val="0"/>
                <w:sz w:val="20"/>
                <w:szCs w:val="20"/>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7</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七、文化体育与传媒支出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34</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28.74</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28.74</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right"/>
              <w:rPr>
                <w:rFonts w:ascii="宋体" w:hAnsi="宋体" w:cs="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pPr>
              <w:widowControl/>
              <w:jc w:val="left"/>
              <w:rPr>
                <w:rFonts w:ascii="宋体" w:hAnsi="宋体" w:cs="宋体"/>
                <w:kern w:val="0"/>
                <w:sz w:val="20"/>
                <w:szCs w:val="20"/>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8</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八、社会保障和就业支出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35</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231.21</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231.21</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right"/>
              <w:rPr>
                <w:rFonts w:ascii="宋体" w:hAnsi="宋体" w:cs="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pPr>
              <w:widowControl/>
              <w:jc w:val="left"/>
              <w:rPr>
                <w:rFonts w:ascii="宋体" w:hAnsi="宋体" w:cs="宋体"/>
                <w:kern w:val="0"/>
                <w:sz w:val="20"/>
                <w:szCs w:val="20"/>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9</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九、医疗卫生与计划生育支出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36</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122.29</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122.29</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right"/>
              <w:rPr>
                <w:rFonts w:ascii="宋体" w:hAnsi="宋体" w:cs="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pPr>
              <w:widowControl/>
              <w:jc w:val="left"/>
              <w:rPr>
                <w:rFonts w:ascii="宋体" w:hAnsi="宋体" w:cs="宋体"/>
                <w:kern w:val="0"/>
                <w:sz w:val="20"/>
                <w:szCs w:val="20"/>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10</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十、节能环保支出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37</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0.00</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0.00</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right"/>
              <w:rPr>
                <w:rFonts w:ascii="宋体" w:hAnsi="宋体" w:cs="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pPr>
              <w:widowControl/>
              <w:jc w:val="left"/>
              <w:rPr>
                <w:rFonts w:ascii="宋体" w:hAnsi="宋体" w:cs="宋体"/>
                <w:kern w:val="0"/>
                <w:sz w:val="20"/>
                <w:szCs w:val="20"/>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11</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hAnsi="宋体" w:cs="宋体"/>
                <w:kern w:val="0"/>
                <w:sz w:val="20"/>
                <w:szCs w:val="20"/>
              </w:rPr>
            </w:pPr>
            <w:r>
              <w:rPr>
                <w:rFonts w:hint="eastAsia" w:ascii="宋体" w:hAnsi="宋体" w:cs="宋体"/>
                <w:kern w:val="0"/>
                <w:sz w:val="20"/>
                <w:szCs w:val="20"/>
              </w:rPr>
              <w:t>十一、城乡社区支出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38</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7785.04</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5916.90</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1868.14</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pPr>
              <w:widowControl/>
              <w:jc w:val="left"/>
              <w:rPr>
                <w:rFonts w:ascii="宋体" w:hAnsi="宋体" w:cs="宋体"/>
                <w:kern w:val="0"/>
                <w:sz w:val="20"/>
                <w:szCs w:val="20"/>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12</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hAnsi="宋体" w:cs="宋体"/>
                <w:kern w:val="0"/>
                <w:sz w:val="20"/>
                <w:szCs w:val="20"/>
              </w:rPr>
            </w:pPr>
            <w:r>
              <w:rPr>
                <w:rFonts w:hint="eastAsia" w:ascii="宋体" w:hAnsi="宋体" w:cs="宋体"/>
                <w:kern w:val="0"/>
                <w:sz w:val="20"/>
                <w:szCs w:val="20"/>
              </w:rPr>
              <w:t>十二、农林水支出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39</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2902.12</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2902.12</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right"/>
              <w:rPr>
                <w:rFonts w:ascii="宋体" w:hAnsi="宋体" w:cs="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pPr>
              <w:widowControl/>
              <w:jc w:val="left"/>
              <w:rPr>
                <w:rFonts w:ascii="宋体" w:hAnsi="宋体" w:cs="宋体"/>
                <w:kern w:val="0"/>
                <w:sz w:val="20"/>
                <w:szCs w:val="20"/>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13</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十三、交通运输支出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40</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0.00</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0.00</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right"/>
              <w:rPr>
                <w:rFonts w:ascii="宋体" w:hAnsi="宋体" w:cs="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pPr>
              <w:widowControl/>
              <w:jc w:val="left"/>
              <w:rPr>
                <w:rFonts w:ascii="宋体" w:hAnsi="宋体" w:cs="宋体"/>
                <w:kern w:val="0"/>
                <w:sz w:val="20"/>
                <w:szCs w:val="20"/>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14</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十四、资源勘探信息等支出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41</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0.00</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0.00</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right"/>
              <w:rPr>
                <w:rFonts w:ascii="宋体" w:hAnsi="宋体" w:cs="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pPr>
              <w:widowControl/>
              <w:jc w:val="left"/>
              <w:rPr>
                <w:rFonts w:ascii="宋体" w:hAnsi="宋体" w:cs="宋体"/>
                <w:kern w:val="0"/>
                <w:sz w:val="20"/>
                <w:szCs w:val="20"/>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15</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十五、商业服务业等支出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42</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60.00</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60.00</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right"/>
              <w:rPr>
                <w:rFonts w:ascii="宋体" w:hAnsi="宋体" w:cs="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pPr>
              <w:widowControl/>
              <w:jc w:val="left"/>
              <w:rPr>
                <w:rFonts w:ascii="宋体" w:hAnsi="宋体" w:cs="宋体"/>
                <w:kern w:val="0"/>
                <w:sz w:val="20"/>
                <w:szCs w:val="20"/>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16</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hAnsi="宋体" w:cs="宋体"/>
                <w:kern w:val="0"/>
                <w:sz w:val="20"/>
                <w:szCs w:val="20"/>
              </w:rPr>
            </w:pPr>
            <w:r>
              <w:rPr>
                <w:rFonts w:hint="eastAsia" w:ascii="宋体" w:hAnsi="宋体" w:cs="宋体"/>
                <w:kern w:val="0"/>
                <w:sz w:val="20"/>
                <w:szCs w:val="20"/>
              </w:rPr>
              <w:t>十六、金融支出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43</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0.00</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0.00</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right"/>
              <w:rPr>
                <w:rFonts w:ascii="宋体" w:hAnsi="宋体" w:cs="宋体"/>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17</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十七、援助其他地区支出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44</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　0.00</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　0.00</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18</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hAnsi="宋体" w:cs="宋体"/>
                <w:kern w:val="0"/>
                <w:sz w:val="20"/>
                <w:szCs w:val="20"/>
              </w:rPr>
            </w:pPr>
            <w:r>
              <w:rPr>
                <w:rFonts w:hint="eastAsia" w:ascii="宋体" w:hAnsi="宋体" w:cs="宋体"/>
                <w:kern w:val="0"/>
                <w:sz w:val="20"/>
                <w:szCs w:val="20"/>
              </w:rPr>
              <w:t>十八、国土海洋气象等支出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45</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　300.00</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　300.00</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Cs/>
                <w:kern w:val="0"/>
                <w:sz w:val="20"/>
                <w:szCs w:val="20"/>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19</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hAnsi="宋体" w:cs="宋体"/>
                <w:kern w:val="0"/>
                <w:sz w:val="20"/>
                <w:szCs w:val="20"/>
              </w:rPr>
            </w:pPr>
            <w:r>
              <w:rPr>
                <w:rFonts w:hint="eastAsia" w:ascii="宋体" w:hAnsi="宋体" w:cs="宋体"/>
                <w:kern w:val="0"/>
                <w:sz w:val="20"/>
                <w:szCs w:val="20"/>
              </w:rPr>
              <w:t>十九、住房保障支出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46</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71.16</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71.16</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left"/>
              <w:rPr>
                <w:rFonts w:ascii="宋体" w:hAnsi="宋体" w:cs="宋体"/>
                <w:b/>
                <w:bCs/>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Cs/>
                <w:kern w:val="0"/>
                <w:sz w:val="20"/>
                <w:szCs w:val="20"/>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20</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hAnsi="宋体" w:cs="宋体"/>
                <w:kern w:val="0"/>
                <w:sz w:val="20"/>
                <w:szCs w:val="20"/>
              </w:rPr>
            </w:pPr>
            <w:r>
              <w:rPr>
                <w:rFonts w:hint="eastAsia" w:ascii="宋体" w:hAnsi="宋体" w:cs="宋体"/>
                <w:kern w:val="0"/>
                <w:sz w:val="20"/>
                <w:szCs w:val="20"/>
              </w:rPr>
              <w:t>二十、粮油物资储备支出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47</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0.00</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0.00</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left"/>
              <w:rPr>
                <w:rFonts w:ascii="宋体" w:hAnsi="宋体" w:cs="宋体"/>
                <w:b/>
                <w:bCs/>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Cs/>
                <w:kern w:val="0"/>
                <w:sz w:val="20"/>
                <w:szCs w:val="20"/>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21</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hAnsi="宋体" w:cs="宋体"/>
                <w:kern w:val="0"/>
                <w:sz w:val="20"/>
                <w:szCs w:val="20"/>
              </w:rPr>
            </w:pPr>
            <w:r>
              <w:rPr>
                <w:rFonts w:hint="eastAsia" w:ascii="宋体" w:hAnsi="宋体" w:cs="宋体"/>
                <w:kern w:val="0"/>
                <w:sz w:val="20"/>
                <w:szCs w:val="20"/>
              </w:rPr>
              <w:t>二十一、其他支出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48</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0.00</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0.00</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left"/>
              <w:rPr>
                <w:rFonts w:ascii="宋体" w:hAnsi="宋体" w:cs="宋体"/>
                <w:b/>
                <w:bCs/>
                <w:kern w:val="0"/>
                <w:sz w:val="20"/>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Cs/>
                <w:kern w:val="0"/>
                <w:sz w:val="20"/>
                <w:szCs w:val="20"/>
              </w:rPr>
            </w:pPr>
            <w:r>
              <w:rPr>
                <w:rFonts w:hint="eastAsia" w:ascii="宋体" w:hAnsi="宋体" w:cs="宋体"/>
                <w:bCs/>
                <w:kern w:val="0"/>
                <w:sz w:val="20"/>
                <w:szCs w:val="20"/>
              </w:rPr>
              <w:t>本年收入合计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22</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18547.64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Cs/>
                <w:kern w:val="0"/>
                <w:sz w:val="20"/>
                <w:szCs w:val="20"/>
              </w:rPr>
            </w:pPr>
            <w:r>
              <w:rPr>
                <w:rFonts w:hint="eastAsia" w:ascii="宋体" w:hAnsi="宋体" w:cs="宋体"/>
                <w:bCs/>
                <w:kern w:val="0"/>
                <w:sz w:val="20"/>
                <w:szCs w:val="20"/>
              </w:rPr>
              <w:t>本年支出合计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49</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18547.64　</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16679.50　</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left"/>
              <w:rPr>
                <w:rFonts w:ascii="宋体" w:hAnsi="宋体" w:cs="宋体"/>
                <w:b/>
                <w:bCs/>
                <w:kern w:val="0"/>
                <w:sz w:val="20"/>
                <w:szCs w:val="20"/>
              </w:rPr>
            </w:pPr>
            <w:r>
              <w:rPr>
                <w:rFonts w:hint="eastAsia" w:ascii="宋体" w:hAnsi="宋体" w:cs="宋体"/>
                <w:b/>
                <w:bCs/>
                <w:kern w:val="0"/>
                <w:sz w:val="20"/>
                <w:szCs w:val="20"/>
              </w:rPr>
              <w:t>　</w:t>
            </w:r>
            <w:r>
              <w:rPr>
                <w:rFonts w:hint="eastAsia" w:ascii="宋体" w:hAnsi="宋体" w:cs="宋体"/>
                <w:kern w:val="0"/>
                <w:sz w:val="20"/>
                <w:szCs w:val="20"/>
              </w:rPr>
              <w:t>1868.14</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auto"/>
            <w:noWrap/>
            <w:vAlign w:val="center"/>
          </w:tcPr>
          <w:p>
            <w:pPr>
              <w:widowControl/>
              <w:rPr>
                <w:rFonts w:ascii="宋体" w:hAnsi="宋体" w:cs="宋体"/>
                <w:kern w:val="0"/>
                <w:sz w:val="20"/>
                <w:szCs w:val="20"/>
              </w:rPr>
            </w:pPr>
            <w:r>
              <w:rPr>
                <w:rFonts w:hint="eastAsia" w:ascii="宋体" w:hAnsi="宋体" w:cs="宋体"/>
                <w:kern w:val="0"/>
                <w:sz w:val="20"/>
                <w:szCs w:val="20"/>
              </w:rPr>
              <w:t>年初财政拨款结转和结余</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23</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hAnsi="宋体" w:cs="宋体"/>
                <w:kern w:val="0"/>
                <w:sz w:val="20"/>
                <w:szCs w:val="20"/>
              </w:rPr>
            </w:pPr>
            <w:r>
              <w:rPr>
                <w:rFonts w:hint="eastAsia" w:ascii="宋体" w:hAnsi="宋体" w:cs="宋体"/>
                <w:kern w:val="0"/>
                <w:sz w:val="20"/>
                <w:szCs w:val="20"/>
              </w:rPr>
              <w:t>年末财政拨款结转和结余</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50</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xml:space="preserve">   一般公共预算财政拨款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24</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51</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xml:space="preserve">    政府性基金预算财政拨款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25</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52</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26</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53</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bCs/>
                <w:kern w:val="0"/>
                <w:sz w:val="20"/>
                <w:szCs w:val="20"/>
              </w:rPr>
            </w:pPr>
            <w:r>
              <w:rPr>
                <w:rFonts w:hint="eastAsia" w:ascii="宋体" w:hAnsi="宋体" w:cs="宋体"/>
                <w:bCs/>
                <w:kern w:val="0"/>
                <w:sz w:val="20"/>
                <w:szCs w:val="20"/>
              </w:rPr>
              <w:t>合计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27</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18547.64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bCs/>
                <w:kern w:val="0"/>
                <w:sz w:val="20"/>
                <w:szCs w:val="20"/>
              </w:rPr>
            </w:pPr>
            <w:r>
              <w:rPr>
                <w:rFonts w:hint="eastAsia" w:ascii="宋体" w:hAnsi="宋体" w:cs="宋体"/>
                <w:bCs/>
                <w:kern w:val="0"/>
                <w:sz w:val="20"/>
                <w:szCs w:val="20"/>
              </w:rPr>
              <w:t>合计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54</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18547.64　</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jc w:val="center"/>
              <w:rPr>
                <w:rFonts w:ascii="宋体" w:hAnsi="宋体" w:cs="宋体"/>
                <w:kern w:val="0"/>
                <w:sz w:val="20"/>
                <w:szCs w:val="20"/>
              </w:rPr>
            </w:pPr>
            <w:r>
              <w:rPr>
                <w:rFonts w:hint="eastAsia" w:ascii="宋体" w:hAnsi="宋体" w:cs="宋体"/>
                <w:kern w:val="0"/>
                <w:sz w:val="20"/>
                <w:szCs w:val="20"/>
              </w:rPr>
              <w:t>16679.50　</w:t>
            </w:r>
          </w:p>
        </w:tc>
        <w:tc>
          <w:tcPr>
            <w:tcW w:w="1800" w:type="dxa"/>
            <w:tcBorders>
              <w:top w:val="single" w:color="auto" w:sz="4" w:space="0"/>
              <w:left w:val="single" w:color="auto" w:sz="4" w:space="0"/>
              <w:bottom w:val="single" w:color="auto" w:sz="4" w:space="0"/>
            </w:tcBorders>
            <w:shd w:val="clear" w:color="auto" w:fill="auto"/>
            <w:noWrap/>
            <w:vAlign w:val="center"/>
          </w:tcPr>
          <w:p>
            <w:pPr>
              <w:widowControl/>
              <w:jc w:val="left"/>
              <w:rPr>
                <w:rFonts w:ascii="宋体" w:hAnsi="宋体" w:cs="宋体"/>
                <w:b/>
                <w:bCs/>
                <w:kern w:val="0"/>
                <w:sz w:val="20"/>
                <w:szCs w:val="20"/>
              </w:rPr>
            </w:pPr>
            <w:r>
              <w:rPr>
                <w:rFonts w:hint="eastAsia" w:ascii="宋体" w:hAnsi="宋体" w:cs="宋体"/>
                <w:b/>
                <w:bCs/>
                <w:kern w:val="0"/>
                <w:sz w:val="20"/>
                <w:szCs w:val="20"/>
              </w:rPr>
              <w:t>　</w:t>
            </w:r>
            <w:r>
              <w:rPr>
                <w:rFonts w:hint="eastAsia" w:ascii="宋体" w:hAnsi="宋体" w:cs="宋体"/>
                <w:kern w:val="0"/>
                <w:sz w:val="20"/>
                <w:szCs w:val="20"/>
              </w:rPr>
              <w:t>1868.14</w:t>
            </w:r>
          </w:p>
        </w:tc>
      </w:tr>
    </w:tbl>
    <w:p>
      <w:pPr>
        <w:rPr>
          <w:rFonts w:ascii="仿宋_GB2312" w:hAnsi="宋体" w:eastAsia="仿宋_GB2312" w:cs="宋体"/>
          <w:kern w:val="0"/>
          <w:szCs w:val="21"/>
        </w:rPr>
      </w:pPr>
      <w:r>
        <w:rPr>
          <w:rFonts w:hint="eastAsia" w:ascii="仿宋_GB2312" w:hAnsi="宋体" w:eastAsia="仿宋_GB2312" w:cs="宋体"/>
          <w:kern w:val="0"/>
          <w:szCs w:val="21"/>
        </w:rPr>
        <w:t>注：本表反映部门本年度一般公共预算财政拨款和政府性基金预算财政拨款的总收支和年末结转结余情况。</w:t>
      </w:r>
    </w:p>
    <w:p>
      <w:pPr>
        <w:jc w:val="center"/>
        <w:rPr>
          <w:rFonts w:ascii="仿宋_GB2312" w:eastAsia="仿宋_GB2312"/>
          <w:b/>
          <w:sz w:val="30"/>
          <w:szCs w:val="30"/>
        </w:rPr>
      </w:pPr>
    </w:p>
    <w:p>
      <w:pPr>
        <w:jc w:val="center"/>
        <w:rPr>
          <w:rFonts w:ascii="仿宋_GB2312" w:eastAsia="仿宋_GB2312"/>
          <w:b/>
          <w:sz w:val="30"/>
          <w:szCs w:val="30"/>
        </w:rPr>
      </w:pPr>
    </w:p>
    <w:p>
      <w:pPr>
        <w:jc w:val="center"/>
        <w:rPr>
          <w:rFonts w:ascii="仿宋_GB2312" w:eastAsia="仿宋_GB2312"/>
          <w:b/>
          <w:sz w:val="30"/>
          <w:szCs w:val="30"/>
        </w:rPr>
      </w:pPr>
    </w:p>
    <w:p>
      <w:pPr>
        <w:jc w:val="center"/>
        <w:rPr>
          <w:rFonts w:ascii="仿宋_GB2312" w:eastAsia="仿宋_GB2312"/>
          <w:b/>
          <w:sz w:val="30"/>
          <w:szCs w:val="30"/>
        </w:rPr>
      </w:pPr>
    </w:p>
    <w:p>
      <w:pPr>
        <w:jc w:val="center"/>
        <w:rPr>
          <w:rFonts w:ascii="仿宋_GB2312" w:eastAsia="仿宋_GB2312"/>
          <w:b/>
          <w:sz w:val="30"/>
          <w:szCs w:val="30"/>
        </w:rPr>
      </w:pPr>
    </w:p>
    <w:p>
      <w:pPr>
        <w:jc w:val="center"/>
        <w:rPr>
          <w:rFonts w:ascii="仿宋_GB2312" w:hAnsi="宋体" w:eastAsia="仿宋_GB2312" w:cs="宋体"/>
          <w:b/>
          <w:kern w:val="0"/>
          <w:sz w:val="30"/>
          <w:szCs w:val="30"/>
        </w:rPr>
      </w:pPr>
      <w:r>
        <w:rPr>
          <w:rFonts w:hint="eastAsia" w:ascii="仿宋_GB2312" w:eastAsia="仿宋_GB2312"/>
          <w:b/>
          <w:sz w:val="30"/>
          <w:szCs w:val="30"/>
        </w:rPr>
        <w:t>一般公共预算</w:t>
      </w:r>
      <w:r>
        <w:rPr>
          <w:rFonts w:hint="eastAsia" w:ascii="仿宋_GB2312" w:hAnsi="宋体" w:eastAsia="仿宋_GB2312" w:cs="宋体"/>
          <w:b/>
          <w:kern w:val="0"/>
          <w:sz w:val="30"/>
          <w:szCs w:val="30"/>
        </w:rPr>
        <w:t>财政拨款支出决算表</w:t>
      </w:r>
    </w:p>
    <w:p>
      <w:pPr>
        <w:spacing w:line="320" w:lineRule="exact"/>
        <w:ind w:right="420"/>
        <w:jc w:val="right"/>
        <w:rPr>
          <w:rFonts w:ascii="仿宋_GB2312" w:eastAsia="仿宋_GB2312"/>
          <w:szCs w:val="21"/>
        </w:rPr>
      </w:pPr>
      <w:r>
        <w:rPr>
          <w:rFonts w:hint="eastAsia" w:ascii="仿宋_GB2312" w:eastAsia="仿宋_GB2312"/>
          <w:szCs w:val="21"/>
        </w:rPr>
        <w:t>公开05表</w:t>
      </w:r>
    </w:p>
    <w:p>
      <w:pPr>
        <w:spacing w:line="320" w:lineRule="exact"/>
        <w:ind w:right="420"/>
        <w:rPr>
          <w:rFonts w:ascii="黑体" w:eastAsia="黑体"/>
          <w:b/>
          <w:sz w:val="30"/>
          <w:szCs w:val="30"/>
        </w:rPr>
      </w:pPr>
      <w:r>
        <w:rPr>
          <w:rFonts w:hint="eastAsia" w:ascii="仿宋_GB2312" w:eastAsia="仿宋_GB2312"/>
          <w:szCs w:val="21"/>
        </w:rPr>
        <w:t xml:space="preserve"> </w:t>
      </w:r>
      <w:r>
        <w:rPr>
          <w:rFonts w:hint="eastAsia" w:ascii="仿宋_GB2312" w:hAnsi="宋体" w:eastAsia="仿宋_GB2312" w:cs="宋体"/>
          <w:kern w:val="0"/>
          <w:szCs w:val="21"/>
        </w:rPr>
        <w:t>部门：                                                                                                            金额单位：万元</w:t>
      </w:r>
    </w:p>
    <w:tbl>
      <w:tblPr>
        <w:tblStyle w:val="7"/>
        <w:tblpPr w:leftFromText="180" w:rightFromText="180" w:vertAnchor="text" w:tblpY="1"/>
        <w:tblOverlap w:val="never"/>
        <w:tblW w:w="13875" w:type="dxa"/>
        <w:tblInd w:w="93" w:type="dxa"/>
        <w:tblLayout w:type="autofit"/>
        <w:tblCellMar>
          <w:top w:w="0" w:type="dxa"/>
          <w:left w:w="108" w:type="dxa"/>
          <w:bottom w:w="0" w:type="dxa"/>
          <w:right w:w="108" w:type="dxa"/>
        </w:tblCellMar>
      </w:tblPr>
      <w:tblGrid>
        <w:gridCol w:w="580"/>
        <w:gridCol w:w="580"/>
        <w:gridCol w:w="580"/>
        <w:gridCol w:w="5020"/>
        <w:gridCol w:w="2615"/>
        <w:gridCol w:w="2160"/>
        <w:gridCol w:w="2340"/>
      </w:tblGrid>
      <w:tr>
        <w:tblPrEx>
          <w:tblCellMar>
            <w:top w:w="0" w:type="dxa"/>
            <w:left w:w="108" w:type="dxa"/>
            <w:bottom w:w="0" w:type="dxa"/>
            <w:right w:w="108" w:type="dxa"/>
          </w:tblCellMar>
        </w:tblPrEx>
        <w:trPr>
          <w:trHeight w:val="499" w:hRule="atLeast"/>
        </w:trPr>
        <w:tc>
          <w:tcPr>
            <w:tcW w:w="1740" w:type="dxa"/>
            <w:gridSpan w:val="3"/>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科目编码</w:t>
            </w:r>
          </w:p>
        </w:tc>
        <w:tc>
          <w:tcPr>
            <w:tcW w:w="502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科目名称</w:t>
            </w:r>
          </w:p>
        </w:tc>
        <w:tc>
          <w:tcPr>
            <w:tcW w:w="261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本年支出合计</w:t>
            </w:r>
          </w:p>
        </w:tc>
        <w:tc>
          <w:tcPr>
            <w:tcW w:w="216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基本支出</w:t>
            </w:r>
          </w:p>
        </w:tc>
        <w:tc>
          <w:tcPr>
            <w:tcW w:w="23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项目支出</w:t>
            </w:r>
          </w:p>
        </w:tc>
      </w:tr>
      <w:tr>
        <w:tblPrEx>
          <w:tblCellMar>
            <w:top w:w="0" w:type="dxa"/>
            <w:left w:w="108" w:type="dxa"/>
            <w:bottom w:w="0" w:type="dxa"/>
            <w:right w:w="108" w:type="dxa"/>
          </w:tblCellMar>
        </w:tblPrEx>
        <w:trPr>
          <w:trHeight w:val="377" w:hRule="atLeast"/>
        </w:trPr>
        <w:tc>
          <w:tcPr>
            <w:tcW w:w="580" w:type="dxa"/>
            <w:vMerge w:val="restart"/>
            <w:tcBorders>
              <w:left w:val="single" w:color="auto" w:sz="4" w:space="0"/>
              <w:right w:val="single" w:color="auto" w:sz="4" w:space="0"/>
            </w:tcBorders>
            <w:shd w:val="clear" w:color="auto" w:fill="auto"/>
            <w:noWrap/>
            <w:vAlign w:val="center"/>
          </w:tcPr>
          <w:p>
            <w:pPr>
              <w:jc w:val="center"/>
              <w:rPr>
                <w:rFonts w:ascii="宋体" w:hAnsi="宋体" w:cs="宋体"/>
                <w:kern w:val="0"/>
                <w:sz w:val="18"/>
                <w:szCs w:val="18"/>
              </w:rPr>
            </w:pPr>
            <w:r>
              <w:rPr>
                <w:rFonts w:hint="eastAsia" w:ascii="宋体" w:hAnsi="宋体" w:cs="宋体"/>
                <w:kern w:val="0"/>
                <w:sz w:val="18"/>
                <w:szCs w:val="18"/>
              </w:rPr>
              <w:t>类</w:t>
            </w:r>
          </w:p>
        </w:tc>
        <w:tc>
          <w:tcPr>
            <w:tcW w:w="580" w:type="dxa"/>
            <w:vMerge w:val="restart"/>
            <w:tcBorders>
              <w:left w:val="nil"/>
              <w:right w:val="single" w:color="auto" w:sz="4" w:space="0"/>
            </w:tcBorders>
            <w:shd w:val="clear" w:color="auto" w:fill="auto"/>
            <w:noWrap/>
            <w:vAlign w:val="center"/>
          </w:tcPr>
          <w:p>
            <w:pPr>
              <w:jc w:val="center"/>
              <w:rPr>
                <w:rFonts w:ascii="宋体" w:hAnsi="宋体" w:cs="宋体"/>
                <w:kern w:val="0"/>
                <w:sz w:val="18"/>
                <w:szCs w:val="18"/>
              </w:rPr>
            </w:pPr>
            <w:r>
              <w:rPr>
                <w:rFonts w:hint="eastAsia" w:ascii="宋体" w:hAnsi="宋体" w:cs="宋体"/>
                <w:kern w:val="0"/>
                <w:sz w:val="18"/>
                <w:szCs w:val="18"/>
              </w:rPr>
              <w:t>款</w:t>
            </w:r>
          </w:p>
        </w:tc>
        <w:tc>
          <w:tcPr>
            <w:tcW w:w="580" w:type="dxa"/>
            <w:vMerge w:val="restart"/>
            <w:tcBorders>
              <w:left w:val="nil"/>
              <w:right w:val="single" w:color="auto" w:sz="4" w:space="0"/>
            </w:tcBorders>
            <w:shd w:val="clear" w:color="auto" w:fill="auto"/>
            <w:noWrap/>
            <w:vAlign w:val="center"/>
          </w:tcPr>
          <w:p>
            <w:pPr>
              <w:jc w:val="center"/>
              <w:rPr>
                <w:rFonts w:ascii="宋体" w:hAnsi="宋体" w:cs="宋体"/>
                <w:kern w:val="0"/>
                <w:sz w:val="18"/>
                <w:szCs w:val="18"/>
              </w:rPr>
            </w:pPr>
            <w:r>
              <w:rPr>
                <w:rFonts w:hint="eastAsia" w:ascii="宋体" w:hAnsi="宋体" w:cs="宋体"/>
                <w:kern w:val="0"/>
                <w:sz w:val="18"/>
                <w:szCs w:val="18"/>
              </w:rPr>
              <w:t>项</w:t>
            </w:r>
          </w:p>
        </w:tc>
        <w:tc>
          <w:tcPr>
            <w:tcW w:w="502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栏  次</w:t>
            </w:r>
          </w:p>
        </w:tc>
        <w:tc>
          <w:tcPr>
            <w:tcW w:w="2615"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1</w:t>
            </w:r>
          </w:p>
        </w:tc>
        <w:tc>
          <w:tcPr>
            <w:tcW w:w="216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2</w:t>
            </w:r>
          </w:p>
        </w:tc>
        <w:tc>
          <w:tcPr>
            <w:tcW w:w="23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3</w:t>
            </w:r>
          </w:p>
        </w:tc>
      </w:tr>
      <w:tr>
        <w:tblPrEx>
          <w:tblCellMar>
            <w:top w:w="0" w:type="dxa"/>
            <w:left w:w="108" w:type="dxa"/>
            <w:bottom w:w="0" w:type="dxa"/>
            <w:right w:w="108" w:type="dxa"/>
          </w:tblCellMar>
        </w:tblPrEx>
        <w:trPr>
          <w:trHeight w:val="377" w:hRule="atLeast"/>
        </w:trPr>
        <w:tc>
          <w:tcPr>
            <w:tcW w:w="580" w:type="dxa"/>
            <w:vMerge w:val="continue"/>
            <w:tcBorders>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p>
        </w:tc>
        <w:tc>
          <w:tcPr>
            <w:tcW w:w="580" w:type="dxa"/>
            <w:vMerge w:val="continue"/>
            <w:tcBorders>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p>
        </w:tc>
        <w:tc>
          <w:tcPr>
            <w:tcW w:w="580" w:type="dxa"/>
            <w:vMerge w:val="continue"/>
            <w:tcBorders>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p>
        </w:tc>
        <w:tc>
          <w:tcPr>
            <w:tcW w:w="502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合  计</w:t>
            </w:r>
          </w:p>
        </w:tc>
        <w:tc>
          <w:tcPr>
            <w:tcW w:w="2615"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16679.50</w:t>
            </w:r>
          </w:p>
        </w:tc>
        <w:tc>
          <w:tcPr>
            <w:tcW w:w="216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3983.27</w:t>
            </w:r>
          </w:p>
        </w:tc>
        <w:tc>
          <w:tcPr>
            <w:tcW w:w="234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18"/>
                <w:szCs w:val="18"/>
              </w:rPr>
            </w:pPr>
            <w:r>
              <w:rPr>
                <w:rFonts w:hint="eastAsia" w:ascii="宋体" w:hAnsi="宋体" w:cs="宋体"/>
                <w:kern w:val="0"/>
                <w:sz w:val="18"/>
                <w:szCs w:val="18"/>
              </w:rPr>
              <w:t>12696.23</w:t>
            </w: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jc w:val="center"/>
              <w:rPr>
                <w:rFonts w:ascii="宋体" w:hAnsi="宋体" w:cs="宋体"/>
                <w:kern w:val="0"/>
                <w:sz w:val="20"/>
                <w:szCs w:val="20"/>
              </w:rPr>
            </w:pPr>
            <w:r>
              <w:rPr>
                <w:rFonts w:hint="eastAsia" w:ascii="宋体" w:hAnsi="宋体" w:cs="宋体"/>
                <w:kern w:val="0"/>
                <w:sz w:val="20"/>
                <w:szCs w:val="20"/>
              </w:rPr>
              <w:t>201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20"/>
                <w:szCs w:val="20"/>
              </w:rPr>
            </w:pPr>
            <w:r>
              <w:rPr>
                <w:rFonts w:hint="eastAsia" w:ascii="宋体" w:hAnsi="宋体" w:cs="宋体"/>
                <w:kern w:val="0"/>
                <w:sz w:val="20"/>
                <w:szCs w:val="20"/>
              </w:rPr>
              <w:t>一般公共服务支出</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514.88</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514.88</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20101</w:t>
            </w:r>
          </w:p>
        </w:tc>
        <w:tc>
          <w:tcPr>
            <w:tcW w:w="5020" w:type="dxa"/>
            <w:tcBorders>
              <w:top w:val="nil"/>
              <w:left w:val="nil"/>
              <w:bottom w:val="single" w:color="auto" w:sz="4" w:space="0"/>
              <w:right w:val="single" w:color="auto" w:sz="4" w:space="0"/>
            </w:tcBorders>
            <w:shd w:val="clear" w:color="auto" w:fill="auto"/>
            <w:vAlign w:val="center"/>
          </w:tcPr>
          <w:p>
            <w:pPr>
              <w:widowControl/>
              <w:rPr>
                <w:rFonts w:ascii="宋体" w:hAnsi="宋体" w:cs="宋体"/>
                <w:kern w:val="0"/>
                <w:sz w:val="18"/>
                <w:szCs w:val="18"/>
              </w:rPr>
            </w:pPr>
            <w:r>
              <w:rPr>
                <w:rFonts w:hint="eastAsia" w:ascii="宋体" w:hAnsi="宋体" w:cs="宋体"/>
                <w:kern w:val="0"/>
                <w:sz w:val="18"/>
                <w:szCs w:val="18"/>
              </w:rPr>
              <w:t>人大事务</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12.74</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12.74</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xml:space="preserve">　2010101   </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行政运行</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12.74</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12.74</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20103</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政府办公厅（室）及相关机构事务</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360.93</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360.93</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2010301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360.93</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360.93</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20106</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财政事务</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68.62</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68.62</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2010601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68.62</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68.62</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20131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党委办公厅（室）及相关机构事务</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72.58</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72.58</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2013101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行政运行</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72.58</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72.58</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205</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教育支出</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6532.20</w:t>
            </w:r>
          </w:p>
        </w:tc>
        <w:tc>
          <w:tcPr>
            <w:tcW w:w="21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c>
          <w:tcPr>
            <w:tcW w:w="23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6532.20</w:t>
            </w: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20502　</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普通教育</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6532.20</w:t>
            </w:r>
          </w:p>
        </w:tc>
        <w:tc>
          <w:tcPr>
            <w:tcW w:w="21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c>
          <w:tcPr>
            <w:tcW w:w="23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6532.20</w:t>
            </w: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2050299</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其他普通教育支出</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6532.20</w:t>
            </w:r>
          </w:p>
        </w:tc>
        <w:tc>
          <w:tcPr>
            <w:tcW w:w="21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c>
          <w:tcPr>
            <w:tcW w:w="23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6532.20</w:t>
            </w: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207</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文化体育与传媒支出</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28.74</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28.74</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20701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文化</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28.74</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28.74</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2070101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28.74</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28.74</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208</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社会保障和就业支出</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231.21</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231.21</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20801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人力资源和社会保障管理事务</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46.71</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46.71</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2080101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46.71</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46.71</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20808</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抚恤</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180.08</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180.08</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2080801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死亡抚恤</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168.30</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168.30</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2080899</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其他优抚支出</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11.78</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11.78</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20899</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其他社会保障和就业支出</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4.41</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4.41</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2089901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其他社会保障和就业支出</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4.41</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4.41</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210</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医疗卫生与计划生育支出</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122.29</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122.29</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21001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医疗卫生与计划生育管理事务</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78.07</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78.07</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2100101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78.07</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78.07</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21005</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行政事业单位医疗</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44.22</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44.22</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2100501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行政单位医疗</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16.79</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16.79</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2100502</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事业单位医疗</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27.44</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27.44</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城乡社区支出</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5916.90</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52.87</w:t>
            </w:r>
          </w:p>
        </w:tc>
        <w:tc>
          <w:tcPr>
            <w:tcW w:w="23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5864.03</w:t>
            </w: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21201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城乡社区管理事务</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52.87</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52.87</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2120103</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机关服务</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52.87</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52.87</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21203</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城乡社区公共设施</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5864.03</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p>
        </w:tc>
        <w:tc>
          <w:tcPr>
            <w:tcW w:w="23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5864.03</w:t>
            </w: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2120303</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小城镇基础设施建设</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500.00</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p>
        </w:tc>
        <w:tc>
          <w:tcPr>
            <w:tcW w:w="23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500.00</w:t>
            </w: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2120399</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其他城乡社区公共设施支出</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5364.03</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p>
        </w:tc>
        <w:tc>
          <w:tcPr>
            <w:tcW w:w="23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5364.03</w:t>
            </w: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农林水支出</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2902.12</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2902.12</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农业</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1856.24</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1856.24</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2130101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174.81</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174.81</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2130148</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5"/>
                <w:szCs w:val="15"/>
              </w:rPr>
            </w:pPr>
            <w:r>
              <w:rPr>
                <w:rFonts w:hint="eastAsia" w:ascii="宋体" w:hAnsi="宋体" w:cs="宋体"/>
                <w:kern w:val="0"/>
                <w:sz w:val="15"/>
                <w:szCs w:val="15"/>
              </w:rPr>
              <w:t>成品油价格改革对渔业的补贴</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1681.43</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1681.43</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21302</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林业</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23.26</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23.26</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2130201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23.26</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23.26</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21303</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水利</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23.19</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23.19</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2130301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行政运行</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23.19</w:t>
            </w:r>
          </w:p>
        </w:tc>
        <w:tc>
          <w:tcPr>
            <w:tcW w:w="2160"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23.19</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21307</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农村综合改革</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999.42</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999.42</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2130701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对村级一事一议的补助</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545.50</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0"/>
                <w:szCs w:val="20"/>
              </w:rPr>
            </w:pPr>
            <w:r>
              <w:rPr>
                <w:rFonts w:hint="eastAsia" w:ascii="宋体" w:hAnsi="宋体" w:cs="宋体"/>
                <w:kern w:val="0"/>
                <w:sz w:val="20"/>
                <w:szCs w:val="20"/>
              </w:rPr>
              <w:t>545.50</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2130705</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3"/>
                <w:szCs w:val="13"/>
              </w:rPr>
            </w:pPr>
            <w:r>
              <w:rPr>
                <w:rFonts w:hint="eastAsia" w:ascii="宋体" w:hAnsi="宋体" w:cs="宋体"/>
                <w:kern w:val="0"/>
                <w:sz w:val="13"/>
                <w:szCs w:val="13"/>
              </w:rPr>
              <w:t>对村民委员会和村党支部的补助</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353.92</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353.92</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2130799</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其他农村综合改革支出</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100.00　</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100.00　</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216</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商业服务业等支出</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60.00</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60.00</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21605</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旅游业管理与服务支出</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60.00</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60.00</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2160599</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其他旅游业管理与服务支出</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60.00</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60.00</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220</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国土海洋气象等支出</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300.00　</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p>
        </w:tc>
        <w:tc>
          <w:tcPr>
            <w:tcW w:w="23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300.00　</w:t>
            </w: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22001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国土资源事务</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300.00　</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p>
        </w:tc>
        <w:tc>
          <w:tcPr>
            <w:tcW w:w="23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300.00　</w:t>
            </w: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2200111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地质灾害防治</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300.00</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p>
        </w:tc>
        <w:tc>
          <w:tcPr>
            <w:tcW w:w="234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300.00</w:t>
            </w: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221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住房保障支出</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71.16　</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71.16　</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22102</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住房改革支出</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71.16　</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71.16　</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r>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2210201</w:t>
            </w:r>
          </w:p>
        </w:tc>
        <w:tc>
          <w:tcPr>
            <w:tcW w:w="5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住房公积金</w:t>
            </w:r>
          </w:p>
        </w:tc>
        <w:tc>
          <w:tcPr>
            <w:tcW w:w="2615"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71.16　</w:t>
            </w:r>
          </w:p>
        </w:tc>
        <w:tc>
          <w:tcPr>
            <w:tcW w:w="2160"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71.16　</w:t>
            </w:r>
          </w:p>
        </w:tc>
        <w:tc>
          <w:tcPr>
            <w:tcW w:w="23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p>
        </w:tc>
      </w:tr>
    </w:tbl>
    <w:p>
      <w:pPr>
        <w:rPr>
          <w:rFonts w:ascii="仿宋_GB2312" w:hAnsi="宋体" w:eastAsia="仿宋_GB2312" w:cs="宋体"/>
          <w:kern w:val="0"/>
          <w:szCs w:val="21"/>
        </w:rPr>
      </w:pPr>
      <w:r>
        <w:rPr>
          <w:rFonts w:hint="eastAsia" w:ascii="仿宋_GB2312" w:hAnsi="宋体" w:eastAsia="仿宋_GB2312" w:cs="宋体"/>
          <w:kern w:val="0"/>
          <w:szCs w:val="21"/>
        </w:rPr>
        <w:t>注：本表反映部门本年度一般公共预算财政拨款支出情况。</w:t>
      </w:r>
    </w:p>
    <w:p>
      <w:pPr>
        <w:jc w:val="center"/>
        <w:rPr>
          <w:rFonts w:ascii="黑体" w:eastAsia="黑体"/>
          <w:b/>
          <w:sz w:val="30"/>
          <w:szCs w:val="30"/>
        </w:rPr>
      </w:pPr>
    </w:p>
    <w:p>
      <w:pPr>
        <w:rPr>
          <w:rFonts w:ascii="黑体" w:eastAsia="黑体"/>
          <w:b/>
          <w:sz w:val="30"/>
          <w:szCs w:val="30"/>
        </w:rPr>
      </w:pPr>
    </w:p>
    <w:p>
      <w:pPr>
        <w:rPr>
          <w:rFonts w:ascii="黑体" w:eastAsia="黑体"/>
          <w:b/>
          <w:sz w:val="30"/>
          <w:szCs w:val="30"/>
        </w:rPr>
      </w:pPr>
    </w:p>
    <w:tbl>
      <w:tblPr>
        <w:tblStyle w:val="7"/>
        <w:tblW w:w="15435" w:type="dxa"/>
        <w:tblInd w:w="93" w:type="dxa"/>
        <w:tblLayout w:type="autofit"/>
        <w:tblCellMar>
          <w:top w:w="0" w:type="dxa"/>
          <w:left w:w="108" w:type="dxa"/>
          <w:bottom w:w="0" w:type="dxa"/>
          <w:right w:w="108" w:type="dxa"/>
        </w:tblCellMar>
      </w:tblPr>
      <w:tblGrid>
        <w:gridCol w:w="716"/>
        <w:gridCol w:w="3439"/>
        <w:gridCol w:w="1260"/>
        <w:gridCol w:w="716"/>
        <w:gridCol w:w="2270"/>
        <w:gridCol w:w="1154"/>
        <w:gridCol w:w="716"/>
        <w:gridCol w:w="2709"/>
        <w:gridCol w:w="1435"/>
        <w:gridCol w:w="1020"/>
      </w:tblGrid>
      <w:tr>
        <w:tblPrEx>
          <w:tblCellMar>
            <w:top w:w="0" w:type="dxa"/>
            <w:left w:w="108" w:type="dxa"/>
            <w:bottom w:w="0" w:type="dxa"/>
            <w:right w:w="108" w:type="dxa"/>
          </w:tblCellMar>
        </w:tblPrEx>
        <w:trPr>
          <w:trHeight w:val="435" w:hRule="atLeast"/>
        </w:trPr>
        <w:tc>
          <w:tcPr>
            <w:tcW w:w="14415" w:type="dxa"/>
            <w:gridSpan w:val="9"/>
            <w:tcBorders>
              <w:top w:val="nil"/>
              <w:left w:val="nil"/>
              <w:bottom w:val="nil"/>
              <w:right w:val="nil"/>
            </w:tcBorders>
            <w:shd w:val="clear" w:color="auto" w:fill="auto"/>
            <w:noWrap/>
            <w:vAlign w:val="center"/>
          </w:tcPr>
          <w:p>
            <w:pPr>
              <w:jc w:val="center"/>
              <w:rPr>
                <w:rFonts w:ascii="华文中宋" w:hAnsi="华文中宋" w:eastAsia="华文中宋" w:cs="宋体"/>
                <w:color w:val="000000"/>
                <w:kern w:val="0"/>
                <w:sz w:val="32"/>
                <w:szCs w:val="32"/>
              </w:rPr>
            </w:pPr>
            <w:r>
              <w:rPr>
                <w:rFonts w:hint="eastAsia" w:ascii="仿宋_GB2312" w:eastAsia="仿宋_GB2312"/>
                <w:b/>
                <w:sz w:val="30"/>
                <w:szCs w:val="30"/>
              </w:rPr>
              <w:t>一般公共预算财政拨款基本支出决算表</w:t>
            </w:r>
          </w:p>
        </w:tc>
        <w:tc>
          <w:tcPr>
            <w:tcW w:w="10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312" w:hRule="atLeast"/>
        </w:trPr>
        <w:tc>
          <w:tcPr>
            <w:tcW w:w="716" w:type="dxa"/>
            <w:tcBorders>
              <w:top w:val="nil"/>
              <w:left w:val="nil"/>
              <w:bottom w:val="nil"/>
              <w:right w:val="nil"/>
            </w:tcBorders>
            <w:shd w:val="clear" w:color="auto" w:fill="FFFFFF"/>
            <w:vAlign w:val="center"/>
          </w:tcPr>
          <w:p>
            <w:pPr>
              <w:widowControl/>
              <w:jc w:val="center"/>
              <w:rPr>
                <w:rFonts w:ascii="宋体" w:hAnsi="宋体" w:cs="宋体"/>
                <w:kern w:val="0"/>
                <w:sz w:val="24"/>
              </w:rPr>
            </w:pPr>
            <w:r>
              <w:rPr>
                <w:rFonts w:hint="eastAsia" w:ascii="宋体" w:hAnsi="宋体" w:cs="宋体"/>
                <w:kern w:val="0"/>
                <w:sz w:val="24"/>
              </w:rPr>
              <w:t>　</w:t>
            </w:r>
          </w:p>
        </w:tc>
        <w:tc>
          <w:tcPr>
            <w:tcW w:w="3439" w:type="dxa"/>
            <w:tcBorders>
              <w:top w:val="nil"/>
              <w:left w:val="nil"/>
              <w:bottom w:val="nil"/>
              <w:right w:val="nil"/>
            </w:tcBorders>
            <w:shd w:val="clear" w:color="auto" w:fill="FFFFFF"/>
            <w:vAlign w:val="center"/>
          </w:tcPr>
          <w:p>
            <w:pPr>
              <w:widowControl/>
              <w:jc w:val="center"/>
              <w:rPr>
                <w:rFonts w:ascii="宋体" w:hAnsi="宋体" w:cs="宋体"/>
                <w:kern w:val="0"/>
                <w:sz w:val="24"/>
              </w:rPr>
            </w:pPr>
            <w:r>
              <w:rPr>
                <w:rFonts w:hint="eastAsia" w:ascii="宋体" w:hAnsi="宋体" w:cs="宋体"/>
                <w:kern w:val="0"/>
                <w:sz w:val="24"/>
              </w:rPr>
              <w:t>　</w:t>
            </w:r>
          </w:p>
        </w:tc>
        <w:tc>
          <w:tcPr>
            <w:tcW w:w="1260" w:type="dxa"/>
            <w:tcBorders>
              <w:top w:val="nil"/>
              <w:left w:val="nil"/>
              <w:bottom w:val="nil"/>
              <w:right w:val="nil"/>
            </w:tcBorders>
            <w:shd w:val="clear" w:color="auto" w:fill="FFFFFF"/>
            <w:vAlign w:val="center"/>
          </w:tcPr>
          <w:p>
            <w:pPr>
              <w:widowControl/>
              <w:jc w:val="center"/>
              <w:rPr>
                <w:rFonts w:ascii="宋体" w:hAnsi="宋体" w:cs="宋体"/>
                <w:kern w:val="0"/>
                <w:sz w:val="24"/>
              </w:rPr>
            </w:pPr>
            <w:r>
              <w:rPr>
                <w:rFonts w:hint="eastAsia" w:ascii="宋体" w:hAnsi="宋体" w:cs="宋体"/>
                <w:kern w:val="0"/>
                <w:sz w:val="24"/>
              </w:rPr>
              <w:t>　</w:t>
            </w:r>
          </w:p>
        </w:tc>
        <w:tc>
          <w:tcPr>
            <w:tcW w:w="716" w:type="dxa"/>
            <w:tcBorders>
              <w:top w:val="nil"/>
              <w:left w:val="nil"/>
              <w:bottom w:val="nil"/>
              <w:right w:val="nil"/>
            </w:tcBorders>
            <w:shd w:val="clear" w:color="auto" w:fill="FFFFFF"/>
            <w:vAlign w:val="center"/>
          </w:tcPr>
          <w:p>
            <w:pPr>
              <w:widowControl/>
              <w:jc w:val="left"/>
              <w:rPr>
                <w:rFonts w:ascii="宋体" w:hAnsi="宋体" w:cs="宋体"/>
                <w:kern w:val="0"/>
                <w:sz w:val="24"/>
              </w:rPr>
            </w:pPr>
            <w:r>
              <w:rPr>
                <w:rFonts w:hint="eastAsia" w:ascii="宋体" w:hAnsi="宋体" w:cs="宋体"/>
                <w:kern w:val="0"/>
                <w:sz w:val="24"/>
              </w:rPr>
              <w:t>　</w:t>
            </w:r>
          </w:p>
        </w:tc>
        <w:tc>
          <w:tcPr>
            <w:tcW w:w="2270" w:type="dxa"/>
            <w:tcBorders>
              <w:top w:val="nil"/>
              <w:left w:val="nil"/>
              <w:bottom w:val="nil"/>
              <w:right w:val="nil"/>
            </w:tcBorders>
            <w:shd w:val="clear" w:color="auto" w:fill="FFFFFF"/>
            <w:vAlign w:val="center"/>
          </w:tcPr>
          <w:p>
            <w:pPr>
              <w:widowControl/>
              <w:jc w:val="left"/>
              <w:rPr>
                <w:rFonts w:ascii="宋体" w:hAnsi="宋体" w:cs="宋体"/>
                <w:kern w:val="0"/>
                <w:sz w:val="24"/>
              </w:rPr>
            </w:pPr>
            <w:r>
              <w:rPr>
                <w:rFonts w:hint="eastAsia" w:ascii="宋体" w:hAnsi="宋体" w:cs="宋体"/>
                <w:kern w:val="0"/>
                <w:sz w:val="24"/>
              </w:rPr>
              <w:t>　</w:t>
            </w:r>
          </w:p>
        </w:tc>
        <w:tc>
          <w:tcPr>
            <w:tcW w:w="1154" w:type="dxa"/>
            <w:tcBorders>
              <w:top w:val="nil"/>
              <w:left w:val="nil"/>
              <w:bottom w:val="nil"/>
              <w:right w:val="nil"/>
            </w:tcBorders>
            <w:shd w:val="clear" w:color="auto" w:fill="FFFFFF"/>
            <w:vAlign w:val="center"/>
          </w:tcPr>
          <w:p>
            <w:pPr>
              <w:widowControl/>
              <w:jc w:val="left"/>
              <w:rPr>
                <w:rFonts w:ascii="宋体" w:hAnsi="宋体" w:cs="宋体"/>
                <w:kern w:val="0"/>
                <w:sz w:val="24"/>
              </w:rPr>
            </w:pPr>
            <w:r>
              <w:rPr>
                <w:rFonts w:hint="eastAsia" w:ascii="宋体" w:hAnsi="宋体" w:cs="宋体"/>
                <w:kern w:val="0"/>
                <w:sz w:val="24"/>
              </w:rPr>
              <w:t>　</w:t>
            </w:r>
          </w:p>
        </w:tc>
        <w:tc>
          <w:tcPr>
            <w:tcW w:w="716" w:type="dxa"/>
            <w:tcBorders>
              <w:top w:val="nil"/>
              <w:left w:val="nil"/>
              <w:bottom w:val="nil"/>
              <w:right w:val="nil"/>
            </w:tcBorders>
            <w:shd w:val="clear" w:color="auto" w:fill="FFFFFF"/>
            <w:vAlign w:val="center"/>
          </w:tcPr>
          <w:p>
            <w:pPr>
              <w:widowControl/>
              <w:jc w:val="left"/>
              <w:rPr>
                <w:rFonts w:ascii="宋体" w:hAnsi="宋体" w:cs="宋体"/>
                <w:kern w:val="0"/>
                <w:sz w:val="24"/>
              </w:rPr>
            </w:pPr>
            <w:r>
              <w:rPr>
                <w:rFonts w:hint="eastAsia" w:ascii="宋体" w:hAnsi="宋体" w:cs="宋体"/>
                <w:kern w:val="0"/>
                <w:sz w:val="24"/>
              </w:rPr>
              <w:t>　</w:t>
            </w:r>
          </w:p>
        </w:tc>
        <w:tc>
          <w:tcPr>
            <w:tcW w:w="2709" w:type="dxa"/>
            <w:tcBorders>
              <w:top w:val="nil"/>
              <w:left w:val="nil"/>
              <w:bottom w:val="nil"/>
              <w:right w:val="nil"/>
            </w:tcBorders>
            <w:shd w:val="clear" w:color="auto" w:fill="FFFFFF"/>
            <w:vAlign w:val="center"/>
          </w:tcPr>
          <w:p>
            <w:pPr>
              <w:widowControl/>
              <w:jc w:val="left"/>
              <w:rPr>
                <w:rFonts w:ascii="宋体" w:hAnsi="宋体" w:cs="宋体"/>
                <w:kern w:val="0"/>
                <w:sz w:val="24"/>
              </w:rPr>
            </w:pPr>
            <w:r>
              <w:rPr>
                <w:rFonts w:hint="eastAsia" w:ascii="宋体" w:hAnsi="宋体" w:cs="宋体"/>
                <w:kern w:val="0"/>
                <w:sz w:val="24"/>
              </w:rPr>
              <w:t>　</w:t>
            </w:r>
          </w:p>
        </w:tc>
        <w:tc>
          <w:tcPr>
            <w:tcW w:w="1435" w:type="dxa"/>
            <w:tcBorders>
              <w:top w:val="nil"/>
              <w:left w:val="nil"/>
              <w:bottom w:val="nil"/>
              <w:right w:val="nil"/>
            </w:tcBorders>
            <w:shd w:val="clear" w:color="auto" w:fill="FFFFFF"/>
            <w:noWrap/>
            <w:vAlign w:val="center"/>
          </w:tcPr>
          <w:p>
            <w:pPr>
              <w:spacing w:line="380" w:lineRule="exact"/>
              <w:jc w:val="right"/>
              <w:rPr>
                <w:rFonts w:ascii="仿宋_GB2312" w:hAnsi="宋体" w:eastAsia="仿宋_GB2312" w:cs="宋体"/>
                <w:kern w:val="0"/>
                <w:szCs w:val="21"/>
              </w:rPr>
            </w:pPr>
            <w:r>
              <w:rPr>
                <w:rFonts w:hint="eastAsia" w:ascii="仿宋_GB2312" w:hAnsi="宋体" w:eastAsia="仿宋_GB2312" w:cs="宋体"/>
                <w:kern w:val="0"/>
                <w:szCs w:val="21"/>
              </w:rPr>
              <w:t xml:space="preserve"> 公开06表</w:t>
            </w:r>
          </w:p>
        </w:tc>
        <w:tc>
          <w:tcPr>
            <w:tcW w:w="1020" w:type="dxa"/>
            <w:tcBorders>
              <w:top w:val="nil"/>
              <w:left w:val="nil"/>
              <w:bottom w:val="nil"/>
              <w:right w:val="nil"/>
            </w:tcBorders>
            <w:shd w:val="clear" w:color="auto" w:fill="FFFFFF"/>
            <w:vAlign w:val="center"/>
          </w:tcPr>
          <w:p>
            <w:pPr>
              <w:widowControl/>
              <w:jc w:val="left"/>
              <w:rPr>
                <w:rFonts w:ascii="宋体" w:hAnsi="宋体" w:cs="宋体"/>
                <w:kern w:val="0"/>
                <w:sz w:val="24"/>
              </w:rPr>
            </w:pPr>
            <w:r>
              <w:rPr>
                <w:rFonts w:hint="eastAsia" w:ascii="宋体" w:hAnsi="宋体" w:cs="宋体"/>
                <w:kern w:val="0"/>
                <w:sz w:val="24"/>
              </w:rPr>
              <w:t>　</w:t>
            </w:r>
          </w:p>
        </w:tc>
      </w:tr>
      <w:tr>
        <w:tblPrEx>
          <w:tblCellMar>
            <w:top w:w="0" w:type="dxa"/>
            <w:left w:w="108" w:type="dxa"/>
            <w:bottom w:w="0" w:type="dxa"/>
            <w:right w:w="108" w:type="dxa"/>
          </w:tblCellMar>
        </w:tblPrEx>
        <w:trPr>
          <w:trHeight w:val="300" w:hRule="atLeast"/>
        </w:trPr>
        <w:tc>
          <w:tcPr>
            <w:tcW w:w="716" w:type="dxa"/>
            <w:tcBorders>
              <w:top w:val="nil"/>
              <w:left w:val="nil"/>
              <w:bottom w:val="nil"/>
              <w:right w:val="nil"/>
            </w:tcBorders>
            <w:shd w:val="clear" w:color="auto" w:fill="auto"/>
            <w:noWrap/>
            <w:vAlign w:val="center"/>
          </w:tcPr>
          <w:p>
            <w:pPr>
              <w:spacing w:line="380" w:lineRule="exact"/>
              <w:jc w:val="right"/>
              <w:rPr>
                <w:rFonts w:ascii="仿宋_GB2312" w:hAnsi="宋体" w:eastAsia="仿宋_GB2312" w:cs="宋体"/>
                <w:kern w:val="0"/>
                <w:szCs w:val="21"/>
              </w:rPr>
            </w:pPr>
            <w:r>
              <w:rPr>
                <w:rFonts w:hint="eastAsia" w:ascii="仿宋_GB2312" w:hAnsi="宋体" w:eastAsia="仿宋_GB2312" w:cs="宋体"/>
                <w:kern w:val="0"/>
                <w:szCs w:val="21"/>
              </w:rPr>
              <w:t xml:space="preserve">           </w:t>
            </w:r>
          </w:p>
        </w:tc>
        <w:tc>
          <w:tcPr>
            <w:tcW w:w="3439" w:type="dxa"/>
            <w:tcBorders>
              <w:top w:val="nil"/>
              <w:left w:val="nil"/>
              <w:bottom w:val="nil"/>
              <w:right w:val="nil"/>
            </w:tcBorders>
            <w:shd w:val="clear" w:color="auto" w:fill="auto"/>
            <w:noWrap/>
            <w:vAlign w:val="center"/>
          </w:tcPr>
          <w:p>
            <w:pPr>
              <w:spacing w:line="380" w:lineRule="exact"/>
              <w:jc w:val="left"/>
              <w:rPr>
                <w:rFonts w:ascii="仿宋_GB2312" w:hAnsi="宋体" w:eastAsia="仿宋_GB2312" w:cs="宋体"/>
                <w:kern w:val="0"/>
                <w:szCs w:val="21"/>
              </w:rPr>
            </w:pPr>
            <w:r>
              <w:rPr>
                <w:rFonts w:hint="eastAsia" w:ascii="仿宋_GB2312" w:hAnsi="宋体" w:eastAsia="仿宋_GB2312" w:cs="宋体"/>
                <w:kern w:val="0"/>
                <w:szCs w:val="21"/>
              </w:rPr>
              <w:t>部门：</w:t>
            </w:r>
          </w:p>
        </w:tc>
        <w:tc>
          <w:tcPr>
            <w:tcW w:w="126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4"/>
              </w:rPr>
            </w:pPr>
          </w:p>
        </w:tc>
        <w:tc>
          <w:tcPr>
            <w:tcW w:w="716" w:type="dxa"/>
            <w:tcBorders>
              <w:top w:val="nil"/>
              <w:left w:val="nil"/>
              <w:bottom w:val="nil"/>
              <w:right w:val="nil"/>
            </w:tcBorders>
            <w:shd w:val="clear" w:color="auto" w:fill="auto"/>
            <w:noWrap/>
            <w:vAlign w:val="center"/>
          </w:tcPr>
          <w:p>
            <w:pPr>
              <w:widowControl/>
              <w:jc w:val="left"/>
              <w:rPr>
                <w:rFonts w:ascii="Arial" w:hAnsi="Arial" w:cs="Arial"/>
                <w:color w:val="000000"/>
                <w:kern w:val="0"/>
                <w:sz w:val="24"/>
              </w:rPr>
            </w:pPr>
          </w:p>
        </w:tc>
        <w:tc>
          <w:tcPr>
            <w:tcW w:w="227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4"/>
              </w:rPr>
            </w:pPr>
          </w:p>
        </w:tc>
        <w:tc>
          <w:tcPr>
            <w:tcW w:w="1154" w:type="dxa"/>
            <w:tcBorders>
              <w:top w:val="nil"/>
              <w:left w:val="nil"/>
              <w:bottom w:val="nil"/>
              <w:right w:val="nil"/>
            </w:tcBorders>
            <w:shd w:val="clear" w:color="auto" w:fill="auto"/>
            <w:noWrap/>
            <w:vAlign w:val="center"/>
          </w:tcPr>
          <w:p>
            <w:pPr>
              <w:widowControl/>
              <w:jc w:val="left"/>
              <w:rPr>
                <w:rFonts w:ascii="Arial" w:hAnsi="Arial" w:cs="Arial"/>
                <w:color w:val="000000"/>
                <w:kern w:val="0"/>
                <w:sz w:val="24"/>
              </w:rPr>
            </w:pPr>
          </w:p>
        </w:tc>
        <w:tc>
          <w:tcPr>
            <w:tcW w:w="716" w:type="dxa"/>
            <w:tcBorders>
              <w:top w:val="nil"/>
              <w:left w:val="nil"/>
              <w:bottom w:val="nil"/>
              <w:right w:val="nil"/>
            </w:tcBorders>
            <w:shd w:val="clear" w:color="auto" w:fill="auto"/>
            <w:noWrap/>
            <w:vAlign w:val="center"/>
          </w:tcPr>
          <w:p>
            <w:pPr>
              <w:widowControl/>
              <w:jc w:val="left"/>
              <w:rPr>
                <w:rFonts w:ascii="Arial" w:hAnsi="Arial" w:cs="Arial"/>
                <w:color w:val="000000"/>
                <w:kern w:val="0"/>
                <w:sz w:val="24"/>
              </w:rPr>
            </w:pPr>
          </w:p>
        </w:tc>
        <w:tc>
          <w:tcPr>
            <w:tcW w:w="4144" w:type="dxa"/>
            <w:gridSpan w:val="2"/>
            <w:tcBorders>
              <w:top w:val="nil"/>
              <w:left w:val="nil"/>
              <w:bottom w:val="nil"/>
              <w:right w:val="nil"/>
            </w:tcBorders>
            <w:shd w:val="clear" w:color="auto" w:fill="auto"/>
            <w:noWrap/>
            <w:vAlign w:val="center"/>
          </w:tcPr>
          <w:p>
            <w:pPr>
              <w:spacing w:line="380" w:lineRule="exact"/>
              <w:jc w:val="right"/>
              <w:rPr>
                <w:rFonts w:ascii="仿宋_GB2312" w:hAnsi="宋体" w:eastAsia="仿宋_GB2312" w:cs="宋体"/>
                <w:kern w:val="0"/>
                <w:szCs w:val="21"/>
              </w:rPr>
            </w:pPr>
            <w:r>
              <w:rPr>
                <w:rFonts w:hint="eastAsia" w:ascii="仿宋_GB2312" w:hAnsi="宋体" w:eastAsia="仿宋_GB2312" w:cs="宋体"/>
                <w:kern w:val="0"/>
                <w:szCs w:val="21"/>
              </w:rPr>
              <w:t>金额单位：万元</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4"/>
              </w:rPr>
            </w:pPr>
          </w:p>
        </w:tc>
      </w:tr>
      <w:tr>
        <w:tblPrEx>
          <w:tblCellMar>
            <w:top w:w="0" w:type="dxa"/>
            <w:left w:w="108" w:type="dxa"/>
            <w:bottom w:w="0" w:type="dxa"/>
            <w:right w:w="108" w:type="dxa"/>
          </w:tblCellMar>
        </w:tblPrEx>
        <w:trPr>
          <w:trHeight w:val="300" w:hRule="atLeast"/>
        </w:trPr>
        <w:tc>
          <w:tcPr>
            <w:tcW w:w="5415" w:type="dxa"/>
            <w:gridSpan w:val="3"/>
            <w:tcBorders>
              <w:top w:val="single" w:color="auto" w:sz="8" w:space="0"/>
              <w:left w:val="single" w:color="auto" w:sz="8" w:space="0"/>
              <w:bottom w:val="single" w:color="auto" w:sz="4" w:space="0"/>
              <w:right w:val="single" w:color="auto" w:sz="4" w:space="0"/>
            </w:tcBorders>
            <w:shd w:val="clear" w:color="auto" w:fill="auto"/>
            <w:noWrap/>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人员经费</w:t>
            </w:r>
          </w:p>
        </w:tc>
        <w:tc>
          <w:tcPr>
            <w:tcW w:w="9000" w:type="dxa"/>
            <w:gridSpan w:val="6"/>
            <w:tcBorders>
              <w:top w:val="single" w:color="auto" w:sz="8" w:space="0"/>
              <w:left w:val="nil"/>
              <w:bottom w:val="single" w:color="auto" w:sz="4" w:space="0"/>
              <w:right w:val="single" w:color="000000" w:sz="8" w:space="0"/>
            </w:tcBorders>
            <w:shd w:val="clear" w:color="auto" w:fill="auto"/>
            <w:noWrap/>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公用经费</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300" w:hRule="atLeast"/>
        </w:trPr>
        <w:tc>
          <w:tcPr>
            <w:tcW w:w="716" w:type="dxa"/>
            <w:vMerge w:val="restart"/>
            <w:tcBorders>
              <w:top w:val="nil"/>
              <w:left w:val="single" w:color="auto" w:sz="8"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科目</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编码</w:t>
            </w:r>
          </w:p>
        </w:tc>
        <w:tc>
          <w:tcPr>
            <w:tcW w:w="3439"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科目名称</w:t>
            </w:r>
          </w:p>
        </w:tc>
        <w:tc>
          <w:tcPr>
            <w:tcW w:w="12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金额</w:t>
            </w:r>
          </w:p>
        </w:tc>
        <w:tc>
          <w:tcPr>
            <w:tcW w:w="716"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科目</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编码</w:t>
            </w:r>
          </w:p>
        </w:tc>
        <w:tc>
          <w:tcPr>
            <w:tcW w:w="227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科目名称</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金额</w:t>
            </w:r>
          </w:p>
        </w:tc>
        <w:tc>
          <w:tcPr>
            <w:tcW w:w="716"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科目</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编码</w:t>
            </w:r>
          </w:p>
        </w:tc>
        <w:tc>
          <w:tcPr>
            <w:tcW w:w="2709"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科目名称</w:t>
            </w:r>
          </w:p>
        </w:tc>
        <w:tc>
          <w:tcPr>
            <w:tcW w:w="1435" w:type="dxa"/>
            <w:vMerge w:val="restart"/>
            <w:tcBorders>
              <w:top w:val="nil"/>
              <w:left w:val="single" w:color="auto" w:sz="4" w:space="0"/>
              <w:bottom w:val="single" w:color="auto" w:sz="4" w:space="0"/>
              <w:right w:val="single" w:color="auto" w:sz="8"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金额</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300" w:hRule="atLeast"/>
        </w:trPr>
        <w:tc>
          <w:tcPr>
            <w:tcW w:w="716" w:type="dxa"/>
            <w:vMerge w:val="continue"/>
            <w:tcBorders>
              <w:top w:val="nil"/>
              <w:left w:val="single" w:color="auto" w:sz="8" w:space="0"/>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p>
        </w:tc>
        <w:tc>
          <w:tcPr>
            <w:tcW w:w="3439" w:type="dxa"/>
            <w:vMerge w:val="continue"/>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p>
        </w:tc>
        <w:tc>
          <w:tcPr>
            <w:tcW w:w="1260" w:type="dxa"/>
            <w:vMerge w:val="continue"/>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p>
        </w:tc>
        <w:tc>
          <w:tcPr>
            <w:tcW w:w="716" w:type="dxa"/>
            <w:vMerge w:val="continue"/>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p>
        </w:tc>
        <w:tc>
          <w:tcPr>
            <w:tcW w:w="2270" w:type="dxa"/>
            <w:vMerge w:val="continue"/>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p>
        </w:tc>
        <w:tc>
          <w:tcPr>
            <w:tcW w:w="1154" w:type="dxa"/>
            <w:vMerge w:val="continue"/>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p>
        </w:tc>
        <w:tc>
          <w:tcPr>
            <w:tcW w:w="716" w:type="dxa"/>
            <w:vMerge w:val="continue"/>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p>
        </w:tc>
        <w:tc>
          <w:tcPr>
            <w:tcW w:w="2709" w:type="dxa"/>
            <w:vMerge w:val="continue"/>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p>
        </w:tc>
        <w:tc>
          <w:tcPr>
            <w:tcW w:w="1435" w:type="dxa"/>
            <w:vMerge w:val="continue"/>
            <w:tcBorders>
              <w:top w:val="nil"/>
              <w:left w:val="single" w:color="auto" w:sz="4" w:space="0"/>
              <w:bottom w:val="single" w:color="auto" w:sz="4" w:space="0"/>
              <w:right w:val="single" w:color="auto" w:sz="8" w:space="0"/>
            </w:tcBorders>
            <w:shd w:val="clear" w:color="auto" w:fill="auto"/>
            <w:vAlign w:val="center"/>
          </w:tcPr>
          <w:p>
            <w:pPr>
              <w:widowControl/>
              <w:jc w:val="left"/>
              <w:rPr>
                <w:rFonts w:ascii="宋体" w:hAnsi="宋体" w:cs="宋体"/>
                <w:color w:val="000000"/>
                <w:kern w:val="0"/>
                <w:sz w:val="20"/>
                <w:szCs w:val="20"/>
              </w:rPr>
            </w:pP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437"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301</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工资福利支出</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758.12</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商品和服务支出</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2861.83</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310</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其他资本性支出</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30101</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基本工资</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245.13</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30201</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办公费</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2.77</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31001</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房屋建筑物购建</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30102</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津贴补贴</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317.22</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30202</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印刷费</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4.96</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31002</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办公设备购置</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30103</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奖金</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50.02</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30203</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咨询费</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3.00</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31003</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专用设备购置</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30104</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其他社会保障缴费</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48.64</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30204</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手续费</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0.09</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31005</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基础设施建设</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30106</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伙食补助费</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30205</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水费</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0.40</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31006</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大型修缮</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30107</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绩效工资</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30206</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电费</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0.97</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31007</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信息网络及软件购置更新</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30108</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机关事业单位基本养老保险缴费</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97.11</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30207</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邮电费</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2.17</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31008</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物资储备</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30109</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职业年金缴费</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30208</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取暖费</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13.11</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31009</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土地补偿</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30199</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其他工资福利支出</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30209</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物业管理费</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31010</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安置补助</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303</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对个人和家庭的补助</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363.32</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30211</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差旅费</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7.96</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31011</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地上附着物和青苗补偿</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30301</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离休费</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30212</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因公出国（境）费用</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31012</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拆迁补偿</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30302</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退休费</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30213</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维修(护)费</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1074.28</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31013</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公务用车购置</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30303</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退职（役）费</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30214</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租赁费</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31019</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其他交通工具购置</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30304</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抚恤金</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180.08</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30215</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会议费</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31020</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产权参股</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30305</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生活补助</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26.28</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30216</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培训费</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1.40</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31099</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其他资本性支出</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30306</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救济费</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30217</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公务接待费</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0.66</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304</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对企事业单位的补贴</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30307</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医疗费</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30218</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专用材料费</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1681.43</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30401</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企业政策性补贴</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450"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30308</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助学金</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30224</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被装购置费</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30402</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事业单位补贴</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30309</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奖励金</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30225</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专用燃料费</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30403</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财政贴息</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30310</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生产补贴</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30226</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劳务费</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14.72</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30499</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其他对企事业单位的补贴</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30311</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住房公积金</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71.16</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30227</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委托业务费</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307</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债务利息支出</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30312</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提租补贴</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30228</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工会经费</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11.20</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30701</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国内债务付息</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30313</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购房补贴</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85.80</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30229</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福利费</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0.73</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30707</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国外债务付息</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30314</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采暖补贴</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30231</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公务用车运行维护费</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23.49</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399</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其他支出</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30315</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物业服务补贴</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30239</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其他交通费用</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18.48</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39906</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赠与</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30399</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其他对个人和家庭的补助支出</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30240</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税金及附加费用</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43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260"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30299</w:t>
            </w:r>
          </w:p>
        </w:tc>
        <w:tc>
          <w:tcPr>
            <w:tcW w:w="227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其他商品和服务支出</w:t>
            </w:r>
          </w:p>
        </w:tc>
        <w:tc>
          <w:tcPr>
            <w:tcW w:w="1154" w:type="dxa"/>
            <w:tcBorders>
              <w:top w:val="nil"/>
              <w:left w:val="nil"/>
              <w:bottom w:val="single" w:color="auto" w:sz="4"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2709"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435" w:type="dxa"/>
            <w:tcBorders>
              <w:top w:val="nil"/>
              <w:left w:val="nil"/>
              <w:bottom w:val="single" w:color="auto" w:sz="4"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300" w:hRule="atLeast"/>
        </w:trPr>
        <w:tc>
          <w:tcPr>
            <w:tcW w:w="4155" w:type="dxa"/>
            <w:gridSpan w:val="2"/>
            <w:tcBorders>
              <w:top w:val="single" w:color="auto" w:sz="4" w:space="0"/>
              <w:left w:val="single" w:color="auto" w:sz="8" w:space="0"/>
              <w:bottom w:val="single" w:color="auto" w:sz="8" w:space="0"/>
              <w:right w:val="single" w:color="auto" w:sz="4" w:space="0"/>
            </w:tcBorders>
            <w:shd w:val="clear" w:color="auto" w:fill="auto"/>
            <w:noWrap/>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人员经费合计</w:t>
            </w:r>
          </w:p>
        </w:tc>
        <w:tc>
          <w:tcPr>
            <w:tcW w:w="1260" w:type="dxa"/>
            <w:tcBorders>
              <w:top w:val="nil"/>
              <w:left w:val="nil"/>
              <w:bottom w:val="single" w:color="auto" w:sz="8" w:space="0"/>
              <w:right w:val="single" w:color="auto" w:sz="4"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1121.44</w:t>
            </w:r>
            <w:r>
              <w:rPr>
                <w:rFonts w:ascii="Arial" w:hAnsi="Arial" w:cs="Arial"/>
                <w:color w:val="000000"/>
                <w:kern w:val="0"/>
                <w:sz w:val="20"/>
                <w:szCs w:val="20"/>
              </w:rPr>
              <w:t>　</w:t>
            </w:r>
          </w:p>
        </w:tc>
        <w:tc>
          <w:tcPr>
            <w:tcW w:w="7565" w:type="dxa"/>
            <w:gridSpan w:val="5"/>
            <w:tcBorders>
              <w:top w:val="single" w:color="auto" w:sz="4" w:space="0"/>
              <w:left w:val="nil"/>
              <w:bottom w:val="single" w:color="auto" w:sz="8" w:space="0"/>
              <w:right w:val="single" w:color="auto" w:sz="4" w:space="0"/>
            </w:tcBorders>
            <w:shd w:val="clear" w:color="auto" w:fill="auto"/>
            <w:noWrap/>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公用经费合计</w:t>
            </w:r>
          </w:p>
        </w:tc>
        <w:tc>
          <w:tcPr>
            <w:tcW w:w="1435" w:type="dxa"/>
            <w:tcBorders>
              <w:top w:val="nil"/>
              <w:left w:val="nil"/>
              <w:bottom w:val="single" w:color="auto" w:sz="8" w:space="0"/>
              <w:right w:val="single" w:color="auto" w:sz="8" w:space="0"/>
            </w:tcBorders>
            <w:shd w:val="clear" w:color="auto" w:fill="auto"/>
            <w:noWrap/>
            <w:vAlign w:val="center"/>
          </w:tcPr>
          <w:p>
            <w:pPr>
              <w:widowControl/>
              <w:jc w:val="right"/>
              <w:rPr>
                <w:rFonts w:ascii="Arial" w:hAnsi="Arial" w:cs="Arial"/>
                <w:color w:val="000000"/>
                <w:kern w:val="0"/>
                <w:sz w:val="20"/>
                <w:szCs w:val="20"/>
              </w:rPr>
            </w:pPr>
            <w:r>
              <w:rPr>
                <w:rFonts w:hint="eastAsia" w:ascii="Arial" w:hAnsi="Arial" w:cs="Arial"/>
                <w:color w:val="000000"/>
                <w:kern w:val="0"/>
                <w:sz w:val="20"/>
                <w:szCs w:val="20"/>
              </w:rPr>
              <w:t>2861.83</w:t>
            </w: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390" w:hRule="atLeast"/>
        </w:trPr>
        <w:tc>
          <w:tcPr>
            <w:tcW w:w="14415" w:type="dxa"/>
            <w:gridSpan w:val="9"/>
            <w:tcBorders>
              <w:top w:val="nil"/>
              <w:left w:val="nil"/>
              <w:bottom w:val="nil"/>
              <w:right w:val="nil"/>
            </w:tcBorders>
            <w:shd w:val="clear" w:color="auto" w:fill="auto"/>
            <w:noWrap/>
            <w:vAlign w:val="center"/>
          </w:tcPr>
          <w:p>
            <w:pPr>
              <w:widowControl/>
              <w:jc w:val="left"/>
              <w:rPr>
                <w:rFonts w:ascii="仿宋" w:hAnsi="仿宋" w:eastAsia="仿宋" w:cs="宋体"/>
                <w:color w:val="000000"/>
                <w:kern w:val="0"/>
                <w:szCs w:val="21"/>
              </w:rPr>
            </w:pPr>
            <w:r>
              <w:rPr>
                <w:rFonts w:hint="eastAsia" w:ascii="仿宋" w:hAnsi="仿宋" w:eastAsia="仿宋" w:cs="宋体"/>
                <w:color w:val="000000"/>
                <w:kern w:val="0"/>
                <w:szCs w:val="21"/>
              </w:rPr>
              <w:t>注:本表反映部门本年度一般公共预算财政拨款基本支出明细情况。</w:t>
            </w:r>
          </w:p>
        </w:tc>
        <w:tc>
          <w:tcPr>
            <w:tcW w:w="10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r>
      <w:tr>
        <w:tblPrEx>
          <w:tblCellMar>
            <w:top w:w="0" w:type="dxa"/>
            <w:left w:w="108" w:type="dxa"/>
            <w:bottom w:w="0" w:type="dxa"/>
            <w:right w:w="108" w:type="dxa"/>
          </w:tblCellMar>
        </w:tblPrEx>
        <w:trPr>
          <w:trHeight w:val="390" w:hRule="atLeast"/>
        </w:trPr>
        <w:tc>
          <w:tcPr>
            <w:tcW w:w="14415" w:type="dxa"/>
            <w:gridSpan w:val="9"/>
            <w:tcBorders>
              <w:top w:val="nil"/>
              <w:left w:val="nil"/>
              <w:bottom w:val="nil"/>
              <w:right w:val="nil"/>
            </w:tcBorders>
            <w:shd w:val="clear" w:color="auto" w:fill="auto"/>
            <w:noWrap/>
            <w:vAlign w:val="center"/>
          </w:tcPr>
          <w:p>
            <w:pPr>
              <w:widowControl/>
              <w:jc w:val="left"/>
              <w:rPr>
                <w:rFonts w:ascii="宋体" w:hAnsi="宋体" w:cs="宋体"/>
                <w:color w:val="000000"/>
                <w:kern w:val="0"/>
                <w:szCs w:val="21"/>
              </w:rPr>
            </w:pPr>
          </w:p>
        </w:tc>
        <w:tc>
          <w:tcPr>
            <w:tcW w:w="1020" w:type="dxa"/>
            <w:tcBorders>
              <w:top w:val="nil"/>
              <w:left w:val="nil"/>
              <w:bottom w:val="nil"/>
              <w:right w:val="nil"/>
            </w:tcBorders>
            <w:shd w:val="clear" w:color="auto" w:fill="auto"/>
            <w:noWrap/>
            <w:vAlign w:val="bottom"/>
          </w:tcPr>
          <w:p>
            <w:pPr>
              <w:widowControl/>
              <w:jc w:val="left"/>
              <w:rPr>
                <w:rFonts w:ascii="Arial" w:hAnsi="Arial" w:cs="Arial"/>
                <w:color w:val="000000"/>
                <w:kern w:val="0"/>
                <w:sz w:val="20"/>
                <w:szCs w:val="20"/>
              </w:rPr>
            </w:pPr>
          </w:p>
        </w:tc>
      </w:tr>
    </w:tbl>
    <w:p>
      <w:pPr>
        <w:jc w:val="center"/>
        <w:rPr>
          <w:rFonts w:ascii="黑体" w:eastAsia="黑体"/>
          <w:b/>
          <w:sz w:val="30"/>
          <w:szCs w:val="30"/>
        </w:rPr>
      </w:pPr>
    </w:p>
    <w:p>
      <w:pPr>
        <w:jc w:val="center"/>
        <w:rPr>
          <w:rFonts w:ascii="黑体" w:eastAsia="黑体"/>
          <w:b/>
          <w:sz w:val="30"/>
          <w:szCs w:val="30"/>
        </w:rPr>
      </w:pPr>
    </w:p>
    <w:p>
      <w:pPr>
        <w:jc w:val="center"/>
        <w:rPr>
          <w:rFonts w:ascii="黑体" w:eastAsia="黑体"/>
          <w:b/>
          <w:sz w:val="30"/>
          <w:szCs w:val="30"/>
        </w:rPr>
      </w:pPr>
    </w:p>
    <w:p>
      <w:pPr>
        <w:jc w:val="center"/>
        <w:rPr>
          <w:rFonts w:ascii="黑体" w:eastAsia="黑体"/>
          <w:b/>
          <w:sz w:val="30"/>
          <w:szCs w:val="30"/>
        </w:rPr>
      </w:pPr>
    </w:p>
    <w:p>
      <w:pPr>
        <w:jc w:val="center"/>
        <w:rPr>
          <w:rFonts w:ascii="黑体" w:eastAsia="黑体"/>
          <w:b/>
          <w:sz w:val="30"/>
          <w:szCs w:val="30"/>
        </w:rPr>
      </w:pPr>
    </w:p>
    <w:p>
      <w:pPr>
        <w:jc w:val="center"/>
        <w:rPr>
          <w:rFonts w:ascii="黑体" w:eastAsia="黑体"/>
          <w:b/>
          <w:sz w:val="30"/>
          <w:szCs w:val="30"/>
        </w:rPr>
      </w:pPr>
    </w:p>
    <w:p>
      <w:pPr>
        <w:jc w:val="center"/>
        <w:rPr>
          <w:rFonts w:ascii="黑体" w:eastAsia="黑体"/>
          <w:b/>
          <w:sz w:val="30"/>
          <w:szCs w:val="30"/>
        </w:rPr>
      </w:pPr>
    </w:p>
    <w:p>
      <w:pPr>
        <w:jc w:val="center"/>
        <w:rPr>
          <w:rFonts w:ascii="仿宋_GB2312" w:hAnsi="宋体" w:eastAsia="仿宋_GB2312" w:cs="宋体"/>
          <w:b/>
          <w:kern w:val="0"/>
          <w:sz w:val="30"/>
          <w:szCs w:val="30"/>
        </w:rPr>
      </w:pPr>
      <w:r>
        <w:rPr>
          <w:rFonts w:hint="eastAsia" w:ascii="仿宋_GB2312" w:hAnsi="宋体" w:eastAsia="仿宋_GB2312" w:cs="宋体"/>
          <w:b/>
          <w:kern w:val="0"/>
          <w:sz w:val="30"/>
          <w:szCs w:val="30"/>
        </w:rPr>
        <w:t>政府性基金预算财政拨款收入支出决算表</w:t>
      </w:r>
    </w:p>
    <w:p>
      <w:pPr>
        <w:spacing w:line="380" w:lineRule="exact"/>
        <w:jc w:val="right"/>
        <w:rPr>
          <w:rFonts w:ascii="仿宋_GB2312" w:eastAsia="仿宋_GB2312"/>
          <w:szCs w:val="21"/>
        </w:rPr>
      </w:pPr>
      <w:r>
        <w:rPr>
          <w:rFonts w:hint="eastAsia" w:ascii="黑体" w:eastAsia="黑体"/>
          <w:b/>
          <w:sz w:val="30"/>
          <w:szCs w:val="30"/>
        </w:rPr>
        <w:t xml:space="preserve">                                                                                  </w:t>
      </w:r>
      <w:r>
        <w:rPr>
          <w:rFonts w:hint="eastAsia" w:ascii="仿宋_GB2312" w:eastAsia="仿宋_GB2312"/>
          <w:szCs w:val="21"/>
        </w:rPr>
        <w:t>公开07表</w:t>
      </w:r>
    </w:p>
    <w:p>
      <w:pPr>
        <w:wordWrap w:val="0"/>
        <w:spacing w:line="380" w:lineRule="exact"/>
        <w:ind w:firstLine="420" w:firstLineChars="200"/>
        <w:jc w:val="right"/>
        <w:rPr>
          <w:rFonts w:ascii="仿宋_GB2312" w:hAnsi="宋体" w:eastAsia="仿宋_GB2312" w:cs="宋体"/>
          <w:kern w:val="0"/>
          <w:szCs w:val="21"/>
        </w:rPr>
      </w:pPr>
      <w:r>
        <w:rPr>
          <w:rFonts w:hint="eastAsia" w:ascii="仿宋_GB2312" w:eastAsia="仿宋_GB2312"/>
          <w:szCs w:val="21"/>
        </w:rPr>
        <w:t xml:space="preserve">部门： </w:t>
      </w:r>
      <w:r>
        <w:rPr>
          <w:rFonts w:hint="eastAsia" w:ascii="黑体" w:eastAsia="黑体"/>
          <w:b/>
          <w:sz w:val="30"/>
          <w:szCs w:val="30"/>
        </w:rPr>
        <w:t xml:space="preserve">                                                                           </w:t>
      </w:r>
      <w:r>
        <w:rPr>
          <w:rFonts w:hint="eastAsia" w:ascii="仿宋_GB2312" w:eastAsia="仿宋_GB2312"/>
          <w:szCs w:val="21"/>
        </w:rPr>
        <w:t>金额单位：</w:t>
      </w:r>
      <w:r>
        <w:rPr>
          <w:rFonts w:hint="eastAsia" w:ascii="仿宋_GB2312" w:hAnsi="宋体" w:eastAsia="仿宋_GB2312" w:cs="宋体"/>
          <w:kern w:val="0"/>
          <w:szCs w:val="21"/>
        </w:rPr>
        <w:t>万元</w:t>
      </w:r>
    </w:p>
    <w:tbl>
      <w:tblPr>
        <w:tblStyle w:val="7"/>
        <w:tblpPr w:leftFromText="180" w:rightFromText="180" w:vertAnchor="text" w:tblpY="1"/>
        <w:tblOverlap w:val="never"/>
        <w:tblW w:w="13875" w:type="dxa"/>
        <w:tblInd w:w="93" w:type="dxa"/>
        <w:tblLayout w:type="autofit"/>
        <w:tblCellMar>
          <w:top w:w="0" w:type="dxa"/>
          <w:left w:w="108" w:type="dxa"/>
          <w:bottom w:w="0" w:type="dxa"/>
          <w:right w:w="108" w:type="dxa"/>
        </w:tblCellMar>
      </w:tblPr>
      <w:tblGrid>
        <w:gridCol w:w="580"/>
        <w:gridCol w:w="515"/>
        <w:gridCol w:w="540"/>
        <w:gridCol w:w="3483"/>
        <w:gridCol w:w="1276"/>
        <w:gridCol w:w="1276"/>
        <w:gridCol w:w="1559"/>
        <w:gridCol w:w="1701"/>
        <w:gridCol w:w="1701"/>
        <w:gridCol w:w="1244"/>
      </w:tblGrid>
      <w:tr>
        <w:tblPrEx>
          <w:tblCellMar>
            <w:top w:w="0" w:type="dxa"/>
            <w:left w:w="108" w:type="dxa"/>
            <w:bottom w:w="0" w:type="dxa"/>
            <w:right w:w="108" w:type="dxa"/>
          </w:tblCellMar>
        </w:tblPrEx>
        <w:trPr>
          <w:trHeight w:val="453" w:hRule="atLeast"/>
        </w:trPr>
        <w:tc>
          <w:tcPr>
            <w:tcW w:w="1635" w:type="dxa"/>
            <w:gridSpan w:val="3"/>
            <w:vMerge w:val="restart"/>
            <w:tcBorders>
              <w:top w:val="single" w:color="auto" w:sz="4" w:space="0"/>
              <w:left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科目编码</w:t>
            </w:r>
          </w:p>
        </w:tc>
        <w:tc>
          <w:tcPr>
            <w:tcW w:w="3483" w:type="dxa"/>
            <w:vMerge w:val="restart"/>
            <w:tcBorders>
              <w:top w:val="single" w:color="auto" w:sz="4" w:space="0"/>
              <w:left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科目名称</w:t>
            </w:r>
          </w:p>
        </w:tc>
        <w:tc>
          <w:tcPr>
            <w:tcW w:w="1276" w:type="dxa"/>
            <w:vMerge w:val="restart"/>
            <w:tcBorders>
              <w:top w:val="single" w:color="auto" w:sz="4" w:space="0"/>
              <w:left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年初结转和结余</w:t>
            </w:r>
          </w:p>
        </w:tc>
        <w:tc>
          <w:tcPr>
            <w:tcW w:w="1276" w:type="dxa"/>
            <w:vMerge w:val="restart"/>
            <w:tcBorders>
              <w:top w:val="single" w:color="auto" w:sz="4" w:space="0"/>
              <w:left w:val="nil"/>
              <w:right w:val="single" w:color="auto" w:sz="4" w:space="0"/>
            </w:tcBorders>
            <w:shd w:val="clear" w:color="auto" w:fill="auto"/>
            <w:noWrap/>
            <w:vAlign w:val="center"/>
          </w:tcPr>
          <w:p>
            <w:pPr>
              <w:jc w:val="center"/>
              <w:rPr>
                <w:rFonts w:ascii="宋体" w:hAnsi="宋体" w:cs="宋体"/>
                <w:kern w:val="0"/>
                <w:sz w:val="20"/>
                <w:szCs w:val="20"/>
              </w:rPr>
            </w:pPr>
            <w:r>
              <w:rPr>
                <w:rFonts w:hint="eastAsia" w:ascii="宋体" w:hAnsi="宋体" w:cs="宋体"/>
                <w:kern w:val="0"/>
                <w:sz w:val="20"/>
                <w:szCs w:val="20"/>
              </w:rPr>
              <w:t>本年收入</w:t>
            </w:r>
          </w:p>
        </w:tc>
        <w:tc>
          <w:tcPr>
            <w:tcW w:w="4961" w:type="dxa"/>
            <w:gridSpan w:val="3"/>
            <w:tcBorders>
              <w:top w:val="single" w:color="auto" w:sz="4" w:space="0"/>
              <w:left w:val="nil"/>
              <w:bottom w:val="single" w:color="auto" w:sz="4" w:space="0"/>
              <w:right w:val="single" w:color="auto" w:sz="4" w:space="0"/>
            </w:tcBorders>
            <w:shd w:val="clear" w:color="auto" w:fill="auto"/>
            <w:vAlign w:val="center"/>
          </w:tcPr>
          <w:p>
            <w:pPr>
              <w:jc w:val="center"/>
              <w:rPr>
                <w:rFonts w:ascii="宋体" w:hAnsi="宋体" w:cs="宋体"/>
                <w:kern w:val="0"/>
                <w:sz w:val="20"/>
                <w:szCs w:val="20"/>
              </w:rPr>
            </w:pPr>
            <w:r>
              <w:rPr>
                <w:rFonts w:hint="eastAsia" w:ascii="宋体" w:hAnsi="宋体" w:cs="宋体"/>
                <w:kern w:val="0"/>
                <w:sz w:val="20"/>
                <w:szCs w:val="20"/>
              </w:rPr>
              <w:t>本年支出</w:t>
            </w:r>
          </w:p>
        </w:tc>
        <w:tc>
          <w:tcPr>
            <w:tcW w:w="1244" w:type="dxa"/>
            <w:vMerge w:val="restart"/>
            <w:tcBorders>
              <w:top w:val="single" w:color="auto" w:sz="4" w:space="0"/>
              <w:left w:val="nil"/>
              <w:right w:val="single" w:color="auto" w:sz="4" w:space="0"/>
            </w:tcBorders>
            <w:shd w:val="clear" w:color="auto" w:fill="auto"/>
            <w:vAlign w:val="center"/>
          </w:tcPr>
          <w:p>
            <w:pPr>
              <w:jc w:val="center"/>
              <w:rPr>
                <w:rFonts w:ascii="宋体" w:hAnsi="宋体" w:cs="宋体"/>
                <w:kern w:val="0"/>
                <w:sz w:val="20"/>
                <w:szCs w:val="20"/>
              </w:rPr>
            </w:pPr>
            <w:r>
              <w:rPr>
                <w:rFonts w:hint="eastAsia" w:ascii="宋体" w:hAnsi="宋体" w:cs="宋体"/>
                <w:kern w:val="0"/>
                <w:sz w:val="20"/>
                <w:szCs w:val="20"/>
              </w:rPr>
              <w:t>年末结转和结余</w:t>
            </w:r>
          </w:p>
        </w:tc>
      </w:tr>
      <w:tr>
        <w:tblPrEx>
          <w:tblCellMar>
            <w:top w:w="0" w:type="dxa"/>
            <w:left w:w="108" w:type="dxa"/>
            <w:bottom w:w="0" w:type="dxa"/>
            <w:right w:w="108" w:type="dxa"/>
          </w:tblCellMar>
        </w:tblPrEx>
        <w:trPr>
          <w:trHeight w:val="372" w:hRule="atLeast"/>
        </w:trPr>
        <w:tc>
          <w:tcPr>
            <w:tcW w:w="1635" w:type="dxa"/>
            <w:gridSpan w:val="3"/>
            <w:vMerge w:val="continue"/>
            <w:tcBorders>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p>
        </w:tc>
        <w:tc>
          <w:tcPr>
            <w:tcW w:w="3483" w:type="dxa"/>
            <w:vMerge w:val="continue"/>
            <w:tcBorders>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p>
        </w:tc>
        <w:tc>
          <w:tcPr>
            <w:tcW w:w="1276" w:type="dxa"/>
            <w:vMerge w:val="continue"/>
            <w:tcBorders>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p>
        </w:tc>
        <w:tc>
          <w:tcPr>
            <w:tcW w:w="1276" w:type="dxa"/>
            <w:vMerge w:val="continue"/>
            <w:tcBorders>
              <w:left w:val="nil"/>
              <w:bottom w:val="single" w:color="auto" w:sz="4" w:space="0"/>
              <w:right w:val="single" w:color="auto" w:sz="4" w:space="0"/>
            </w:tcBorders>
            <w:shd w:val="clear" w:color="auto" w:fill="auto"/>
            <w:noWrap/>
            <w:vAlign w:val="center"/>
          </w:tcPr>
          <w:p>
            <w:pPr>
              <w:jc w:val="center"/>
              <w:rPr>
                <w:rFonts w:ascii="宋体" w:hAnsi="宋体" w:cs="宋体"/>
                <w:kern w:val="0"/>
                <w:sz w:val="20"/>
                <w:szCs w:val="20"/>
              </w:rPr>
            </w:pPr>
          </w:p>
        </w:tc>
        <w:tc>
          <w:tcPr>
            <w:tcW w:w="1559" w:type="dxa"/>
            <w:tcBorders>
              <w:top w:val="single" w:color="auto" w:sz="4" w:space="0"/>
              <w:left w:val="nil"/>
              <w:bottom w:val="single" w:color="auto" w:sz="4" w:space="0"/>
              <w:right w:val="single" w:color="auto" w:sz="4" w:space="0"/>
            </w:tcBorders>
            <w:shd w:val="clear" w:color="auto" w:fill="auto"/>
            <w:vAlign w:val="center"/>
          </w:tcPr>
          <w:p>
            <w:pPr>
              <w:jc w:val="center"/>
              <w:rPr>
                <w:rFonts w:ascii="宋体" w:hAnsi="宋体" w:cs="宋体"/>
                <w:kern w:val="0"/>
                <w:sz w:val="20"/>
                <w:szCs w:val="20"/>
              </w:rPr>
            </w:pPr>
            <w:r>
              <w:rPr>
                <w:rFonts w:hint="eastAsia" w:ascii="宋体" w:hAnsi="宋体" w:cs="宋体"/>
                <w:kern w:val="0"/>
                <w:sz w:val="20"/>
                <w:szCs w:val="20"/>
              </w:rPr>
              <w:t>小计</w:t>
            </w:r>
          </w:p>
        </w:tc>
        <w:tc>
          <w:tcPr>
            <w:tcW w:w="1701" w:type="dxa"/>
            <w:tcBorders>
              <w:top w:val="single" w:color="auto" w:sz="4" w:space="0"/>
              <w:left w:val="nil"/>
              <w:bottom w:val="single" w:color="auto" w:sz="4" w:space="0"/>
              <w:right w:val="single" w:color="auto" w:sz="4" w:space="0"/>
            </w:tcBorders>
            <w:shd w:val="clear" w:color="auto" w:fill="auto"/>
            <w:vAlign w:val="center"/>
          </w:tcPr>
          <w:p>
            <w:pPr>
              <w:jc w:val="center"/>
              <w:rPr>
                <w:rFonts w:ascii="宋体" w:hAnsi="宋体" w:cs="宋体"/>
                <w:kern w:val="0"/>
                <w:sz w:val="20"/>
                <w:szCs w:val="20"/>
              </w:rPr>
            </w:pPr>
            <w:r>
              <w:rPr>
                <w:rFonts w:hint="eastAsia" w:ascii="宋体" w:hAnsi="宋体" w:cs="宋体"/>
                <w:kern w:val="0"/>
                <w:sz w:val="20"/>
                <w:szCs w:val="20"/>
              </w:rPr>
              <w:t>基本支出</w:t>
            </w:r>
          </w:p>
        </w:tc>
        <w:tc>
          <w:tcPr>
            <w:tcW w:w="1701" w:type="dxa"/>
            <w:tcBorders>
              <w:top w:val="single" w:color="auto" w:sz="4" w:space="0"/>
              <w:left w:val="nil"/>
              <w:bottom w:val="single" w:color="auto" w:sz="4" w:space="0"/>
              <w:right w:val="single" w:color="auto" w:sz="4" w:space="0"/>
            </w:tcBorders>
            <w:shd w:val="clear" w:color="auto" w:fill="auto"/>
            <w:vAlign w:val="center"/>
          </w:tcPr>
          <w:p>
            <w:pPr>
              <w:jc w:val="center"/>
              <w:rPr>
                <w:rFonts w:ascii="宋体" w:hAnsi="宋体" w:cs="宋体"/>
                <w:kern w:val="0"/>
                <w:sz w:val="20"/>
                <w:szCs w:val="20"/>
              </w:rPr>
            </w:pPr>
            <w:r>
              <w:rPr>
                <w:rFonts w:hint="eastAsia" w:ascii="宋体" w:hAnsi="宋体" w:cs="宋体"/>
                <w:kern w:val="0"/>
                <w:sz w:val="20"/>
                <w:szCs w:val="20"/>
              </w:rPr>
              <w:t>项目支出</w:t>
            </w:r>
          </w:p>
        </w:tc>
        <w:tc>
          <w:tcPr>
            <w:tcW w:w="1244" w:type="dxa"/>
            <w:vMerge w:val="continue"/>
            <w:tcBorders>
              <w:left w:val="nil"/>
              <w:bottom w:val="single" w:color="auto" w:sz="4" w:space="0"/>
              <w:right w:val="single" w:color="auto" w:sz="4" w:space="0"/>
            </w:tcBorders>
            <w:shd w:val="clear" w:color="auto" w:fill="auto"/>
            <w:vAlign w:val="center"/>
          </w:tcPr>
          <w:p>
            <w:pPr>
              <w:jc w:val="center"/>
              <w:rPr>
                <w:rFonts w:ascii="宋体" w:hAnsi="宋体" w:cs="宋体"/>
                <w:kern w:val="0"/>
                <w:sz w:val="20"/>
                <w:szCs w:val="20"/>
              </w:rPr>
            </w:pPr>
          </w:p>
        </w:tc>
      </w:tr>
      <w:tr>
        <w:tblPrEx>
          <w:tblCellMar>
            <w:top w:w="0" w:type="dxa"/>
            <w:left w:w="108" w:type="dxa"/>
            <w:bottom w:w="0" w:type="dxa"/>
            <w:right w:w="108" w:type="dxa"/>
          </w:tblCellMar>
        </w:tblPrEx>
        <w:trPr>
          <w:trHeight w:val="368" w:hRule="atLeast"/>
        </w:trPr>
        <w:tc>
          <w:tcPr>
            <w:tcW w:w="580" w:type="dxa"/>
            <w:vMerge w:val="restart"/>
            <w:tcBorders>
              <w:left w:val="single" w:color="auto" w:sz="4" w:space="0"/>
              <w:right w:val="single" w:color="auto" w:sz="4" w:space="0"/>
            </w:tcBorders>
            <w:shd w:val="clear" w:color="auto" w:fill="auto"/>
            <w:noWrap/>
            <w:vAlign w:val="center"/>
          </w:tcPr>
          <w:p>
            <w:pPr>
              <w:jc w:val="center"/>
              <w:rPr>
                <w:rFonts w:ascii="宋体" w:hAnsi="宋体" w:cs="宋体"/>
                <w:kern w:val="0"/>
                <w:sz w:val="20"/>
                <w:szCs w:val="20"/>
              </w:rPr>
            </w:pPr>
            <w:r>
              <w:rPr>
                <w:rFonts w:hint="eastAsia" w:ascii="宋体" w:hAnsi="宋体" w:cs="宋体"/>
                <w:kern w:val="0"/>
                <w:sz w:val="20"/>
                <w:szCs w:val="20"/>
              </w:rPr>
              <w:t>类</w:t>
            </w:r>
          </w:p>
        </w:tc>
        <w:tc>
          <w:tcPr>
            <w:tcW w:w="515" w:type="dxa"/>
            <w:vMerge w:val="restart"/>
            <w:tcBorders>
              <w:left w:val="nil"/>
              <w:right w:val="single" w:color="auto" w:sz="4" w:space="0"/>
            </w:tcBorders>
            <w:shd w:val="clear" w:color="auto" w:fill="auto"/>
            <w:noWrap/>
            <w:vAlign w:val="center"/>
          </w:tcPr>
          <w:p>
            <w:pPr>
              <w:jc w:val="center"/>
              <w:rPr>
                <w:rFonts w:ascii="宋体" w:hAnsi="宋体" w:cs="宋体"/>
                <w:kern w:val="0"/>
                <w:sz w:val="20"/>
                <w:szCs w:val="20"/>
              </w:rPr>
            </w:pPr>
            <w:r>
              <w:rPr>
                <w:rFonts w:hint="eastAsia" w:ascii="宋体" w:hAnsi="宋体" w:cs="宋体"/>
                <w:kern w:val="0"/>
                <w:sz w:val="20"/>
                <w:szCs w:val="20"/>
              </w:rPr>
              <w:t>款</w:t>
            </w:r>
          </w:p>
        </w:tc>
        <w:tc>
          <w:tcPr>
            <w:tcW w:w="540" w:type="dxa"/>
            <w:vMerge w:val="restart"/>
            <w:tcBorders>
              <w:left w:val="nil"/>
              <w:right w:val="single" w:color="auto" w:sz="4" w:space="0"/>
            </w:tcBorders>
            <w:shd w:val="clear" w:color="auto" w:fill="auto"/>
            <w:noWrap/>
            <w:vAlign w:val="center"/>
          </w:tcPr>
          <w:p>
            <w:pPr>
              <w:jc w:val="center"/>
              <w:rPr>
                <w:rFonts w:ascii="宋体" w:hAnsi="宋体" w:cs="宋体"/>
                <w:kern w:val="0"/>
                <w:sz w:val="20"/>
                <w:szCs w:val="20"/>
              </w:rPr>
            </w:pPr>
            <w:r>
              <w:rPr>
                <w:rFonts w:hint="eastAsia" w:ascii="宋体" w:hAnsi="宋体" w:cs="宋体"/>
                <w:kern w:val="0"/>
                <w:sz w:val="20"/>
                <w:szCs w:val="20"/>
              </w:rPr>
              <w:t>项</w:t>
            </w:r>
          </w:p>
        </w:tc>
        <w:tc>
          <w:tcPr>
            <w:tcW w:w="3483"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栏  次</w:t>
            </w:r>
          </w:p>
        </w:tc>
        <w:tc>
          <w:tcPr>
            <w:tcW w:w="127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1</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2</w:t>
            </w:r>
          </w:p>
        </w:tc>
        <w:tc>
          <w:tcPr>
            <w:tcW w:w="155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3</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4</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5</w:t>
            </w:r>
          </w:p>
        </w:tc>
        <w:tc>
          <w:tcPr>
            <w:tcW w:w="124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r>
              <w:rPr>
                <w:rFonts w:hint="eastAsia" w:ascii="宋体" w:hAnsi="宋体" w:cs="宋体"/>
                <w:kern w:val="0"/>
                <w:sz w:val="20"/>
                <w:szCs w:val="20"/>
              </w:rPr>
              <w:t>6</w:t>
            </w:r>
          </w:p>
        </w:tc>
      </w:tr>
      <w:tr>
        <w:tblPrEx>
          <w:tblCellMar>
            <w:top w:w="0" w:type="dxa"/>
            <w:left w:w="108" w:type="dxa"/>
            <w:bottom w:w="0" w:type="dxa"/>
            <w:right w:w="108" w:type="dxa"/>
          </w:tblCellMar>
        </w:tblPrEx>
        <w:trPr>
          <w:trHeight w:val="368" w:hRule="atLeast"/>
        </w:trPr>
        <w:tc>
          <w:tcPr>
            <w:tcW w:w="580" w:type="dxa"/>
            <w:vMerge w:val="continue"/>
            <w:tcBorders>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p>
        </w:tc>
        <w:tc>
          <w:tcPr>
            <w:tcW w:w="515" w:type="dxa"/>
            <w:vMerge w:val="continue"/>
            <w:tcBorders>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p>
        </w:tc>
        <w:tc>
          <w:tcPr>
            <w:tcW w:w="540" w:type="dxa"/>
            <w:vMerge w:val="continue"/>
            <w:tcBorders>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p>
        </w:tc>
        <w:tc>
          <w:tcPr>
            <w:tcW w:w="3483"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0"/>
                <w:szCs w:val="20"/>
              </w:rPr>
            </w:pPr>
            <w:r>
              <w:rPr>
                <w:rFonts w:hint="eastAsia" w:ascii="宋体" w:hAnsi="宋体" w:cs="宋体"/>
                <w:kern w:val="0"/>
                <w:sz w:val="20"/>
                <w:szCs w:val="20"/>
              </w:rPr>
              <w:t>合  计</w:t>
            </w:r>
          </w:p>
        </w:tc>
        <w:tc>
          <w:tcPr>
            <w:tcW w:w="127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p>
        </w:tc>
        <w:tc>
          <w:tcPr>
            <w:tcW w:w="127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1868.14</w:t>
            </w:r>
          </w:p>
        </w:tc>
        <w:tc>
          <w:tcPr>
            <w:tcW w:w="155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1868.14</w:t>
            </w:r>
          </w:p>
        </w:tc>
        <w:tc>
          <w:tcPr>
            <w:tcW w:w="1701" w:type="dxa"/>
            <w:tcBorders>
              <w:top w:val="nil"/>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701"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1868.14</w:t>
            </w:r>
          </w:p>
        </w:tc>
        <w:tc>
          <w:tcPr>
            <w:tcW w:w="124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212</w:t>
            </w:r>
          </w:p>
        </w:tc>
        <w:tc>
          <w:tcPr>
            <w:tcW w:w="348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城乡社区支出　</w:t>
            </w:r>
          </w:p>
        </w:tc>
        <w:tc>
          <w:tcPr>
            <w:tcW w:w="127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p>
        </w:tc>
        <w:tc>
          <w:tcPr>
            <w:tcW w:w="127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1868.14</w:t>
            </w:r>
          </w:p>
        </w:tc>
        <w:tc>
          <w:tcPr>
            <w:tcW w:w="155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1868.14</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701"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1868.14</w:t>
            </w:r>
          </w:p>
        </w:tc>
        <w:tc>
          <w:tcPr>
            <w:tcW w:w="1244" w:type="dxa"/>
            <w:tcBorders>
              <w:top w:val="nil"/>
              <w:left w:val="nil"/>
              <w:bottom w:val="single" w:color="auto" w:sz="4" w:space="0"/>
              <w:right w:val="single" w:color="auto" w:sz="4" w:space="0"/>
            </w:tcBorders>
            <w:shd w:val="clear" w:color="auto" w:fill="auto"/>
            <w:vAlign w:val="center"/>
          </w:tcPr>
          <w:p>
            <w:pPr>
              <w:jc w:val="righ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21208</w:t>
            </w:r>
          </w:p>
        </w:tc>
        <w:tc>
          <w:tcPr>
            <w:tcW w:w="348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3"/>
                <w:szCs w:val="13"/>
              </w:rPr>
            </w:pPr>
            <w:r>
              <w:rPr>
                <w:rFonts w:hint="eastAsia" w:ascii="宋体" w:hAnsi="宋体" w:cs="宋体"/>
                <w:kern w:val="0"/>
                <w:sz w:val="13"/>
                <w:szCs w:val="13"/>
              </w:rPr>
              <w:t>国有土地使用权出让收入及对应专项债务收入安排的支出</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852.44</w:t>
            </w:r>
          </w:p>
        </w:tc>
        <w:tc>
          <w:tcPr>
            <w:tcW w:w="1559"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852.44</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852.44</w:t>
            </w:r>
          </w:p>
        </w:tc>
        <w:tc>
          <w:tcPr>
            <w:tcW w:w="1244" w:type="dxa"/>
            <w:tcBorders>
              <w:top w:val="nil"/>
              <w:left w:val="nil"/>
              <w:bottom w:val="single" w:color="auto" w:sz="4" w:space="0"/>
              <w:right w:val="single" w:color="auto" w:sz="4" w:space="0"/>
            </w:tcBorders>
            <w:shd w:val="clear" w:color="auto" w:fill="auto"/>
            <w:vAlign w:val="center"/>
          </w:tcPr>
          <w:p>
            <w:pPr>
              <w:jc w:val="righ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2120801</w:t>
            </w:r>
          </w:p>
        </w:tc>
        <w:tc>
          <w:tcPr>
            <w:tcW w:w="348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征地和拆迁补偿支出</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132.78</w:t>
            </w:r>
          </w:p>
        </w:tc>
        <w:tc>
          <w:tcPr>
            <w:tcW w:w="1559"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132.78</w:t>
            </w:r>
          </w:p>
        </w:tc>
        <w:tc>
          <w:tcPr>
            <w:tcW w:w="1701" w:type="dxa"/>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132.78</w:t>
            </w:r>
          </w:p>
        </w:tc>
        <w:tc>
          <w:tcPr>
            <w:tcW w:w="1244" w:type="dxa"/>
            <w:tcBorders>
              <w:top w:val="nil"/>
              <w:left w:val="nil"/>
              <w:bottom w:val="single" w:color="auto" w:sz="4" w:space="0"/>
              <w:right w:val="single" w:color="auto" w:sz="4" w:space="0"/>
            </w:tcBorders>
            <w:shd w:val="clear" w:color="auto" w:fill="auto"/>
            <w:vAlign w:val="center"/>
          </w:tcPr>
          <w:p>
            <w:pPr>
              <w:jc w:val="righ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2120802</w:t>
            </w:r>
          </w:p>
        </w:tc>
        <w:tc>
          <w:tcPr>
            <w:tcW w:w="348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土地开发支出</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719.66</w:t>
            </w:r>
          </w:p>
        </w:tc>
        <w:tc>
          <w:tcPr>
            <w:tcW w:w="1559"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719.66</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719.66</w:t>
            </w:r>
          </w:p>
        </w:tc>
        <w:tc>
          <w:tcPr>
            <w:tcW w:w="1244" w:type="dxa"/>
            <w:tcBorders>
              <w:top w:val="nil"/>
              <w:left w:val="nil"/>
              <w:bottom w:val="single" w:color="auto" w:sz="4" w:space="0"/>
              <w:right w:val="single" w:color="auto" w:sz="4" w:space="0"/>
            </w:tcBorders>
            <w:shd w:val="clear" w:color="auto" w:fill="auto"/>
            <w:vAlign w:val="center"/>
          </w:tcPr>
          <w:p>
            <w:pPr>
              <w:jc w:val="righ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21210</w:t>
            </w:r>
          </w:p>
        </w:tc>
        <w:tc>
          <w:tcPr>
            <w:tcW w:w="348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3"/>
                <w:szCs w:val="13"/>
              </w:rPr>
            </w:pPr>
            <w:r>
              <w:rPr>
                <w:rFonts w:hint="eastAsia" w:ascii="宋体" w:hAnsi="宋体" w:cs="宋体"/>
                <w:kern w:val="0"/>
                <w:sz w:val="13"/>
                <w:szCs w:val="13"/>
              </w:rPr>
              <w:t>国有土地收益基金及对应专项债务收入安排的支出</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315.70</w:t>
            </w:r>
          </w:p>
        </w:tc>
        <w:tc>
          <w:tcPr>
            <w:tcW w:w="1559"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315.70</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315.70</w:t>
            </w:r>
          </w:p>
        </w:tc>
        <w:tc>
          <w:tcPr>
            <w:tcW w:w="1244" w:type="dxa"/>
            <w:tcBorders>
              <w:top w:val="nil"/>
              <w:left w:val="nil"/>
              <w:bottom w:val="single" w:color="auto" w:sz="4" w:space="0"/>
              <w:right w:val="single" w:color="auto" w:sz="4" w:space="0"/>
            </w:tcBorders>
            <w:shd w:val="clear" w:color="auto" w:fill="auto"/>
            <w:vAlign w:val="center"/>
          </w:tcPr>
          <w:p>
            <w:pPr>
              <w:jc w:val="righ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2121001</w:t>
            </w:r>
          </w:p>
        </w:tc>
        <w:tc>
          <w:tcPr>
            <w:tcW w:w="348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征地和拆迁补偿支出</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315.70</w:t>
            </w:r>
          </w:p>
        </w:tc>
        <w:tc>
          <w:tcPr>
            <w:tcW w:w="1559"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315.70</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315.70</w:t>
            </w:r>
          </w:p>
        </w:tc>
        <w:tc>
          <w:tcPr>
            <w:tcW w:w="1244" w:type="dxa"/>
            <w:tcBorders>
              <w:top w:val="nil"/>
              <w:left w:val="nil"/>
              <w:bottom w:val="single" w:color="auto" w:sz="4" w:space="0"/>
              <w:right w:val="single" w:color="auto" w:sz="4" w:space="0"/>
            </w:tcBorders>
            <w:shd w:val="clear" w:color="auto" w:fill="auto"/>
            <w:vAlign w:val="center"/>
          </w:tcPr>
          <w:p>
            <w:pPr>
              <w:jc w:val="righ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21211</w:t>
            </w:r>
          </w:p>
        </w:tc>
        <w:tc>
          <w:tcPr>
            <w:tcW w:w="348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农业土地开发资金及对应专项债务收入安排的支出</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500.00</w:t>
            </w:r>
          </w:p>
        </w:tc>
        <w:tc>
          <w:tcPr>
            <w:tcW w:w="1559"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500.00</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500.00</w:t>
            </w:r>
          </w:p>
        </w:tc>
        <w:tc>
          <w:tcPr>
            <w:tcW w:w="1244" w:type="dxa"/>
            <w:tcBorders>
              <w:top w:val="nil"/>
              <w:left w:val="nil"/>
              <w:bottom w:val="single" w:color="auto" w:sz="4" w:space="0"/>
              <w:right w:val="single" w:color="auto" w:sz="4" w:space="0"/>
            </w:tcBorders>
            <w:shd w:val="clear" w:color="auto" w:fill="auto"/>
            <w:vAlign w:val="center"/>
          </w:tcPr>
          <w:p>
            <w:pPr>
              <w:jc w:val="righ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2121100</w:t>
            </w:r>
          </w:p>
        </w:tc>
        <w:tc>
          <w:tcPr>
            <w:tcW w:w="348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5"/>
                <w:szCs w:val="15"/>
              </w:rPr>
            </w:pPr>
            <w:r>
              <w:rPr>
                <w:rFonts w:hint="eastAsia" w:ascii="宋体" w:hAnsi="宋体" w:cs="宋体"/>
                <w:kern w:val="0"/>
                <w:sz w:val="15"/>
                <w:szCs w:val="15"/>
              </w:rPr>
              <w:t>农业土地开发资金及对应专项债务收入安排的支出</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500.00</w:t>
            </w:r>
          </w:p>
        </w:tc>
        <w:tc>
          <w:tcPr>
            <w:tcW w:w="1559"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500.00</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　</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500.00</w:t>
            </w:r>
          </w:p>
        </w:tc>
        <w:tc>
          <w:tcPr>
            <w:tcW w:w="1244" w:type="dxa"/>
            <w:tcBorders>
              <w:top w:val="nil"/>
              <w:left w:val="nil"/>
              <w:bottom w:val="single" w:color="auto" w:sz="4" w:space="0"/>
              <w:right w:val="single" w:color="auto" w:sz="4" w:space="0"/>
            </w:tcBorders>
            <w:shd w:val="clear" w:color="auto" w:fill="auto"/>
            <w:vAlign w:val="center"/>
          </w:tcPr>
          <w:p>
            <w:pPr>
              <w:jc w:val="righ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21213</w:t>
            </w:r>
          </w:p>
        </w:tc>
        <w:tc>
          <w:tcPr>
            <w:tcW w:w="348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城市基础设施配套费及对应专项债务收入安排的支出</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200.00</w:t>
            </w:r>
          </w:p>
        </w:tc>
        <w:tc>
          <w:tcPr>
            <w:tcW w:w="1559"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200.00</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200.00</w:t>
            </w:r>
          </w:p>
        </w:tc>
        <w:tc>
          <w:tcPr>
            <w:tcW w:w="1244" w:type="dxa"/>
            <w:tcBorders>
              <w:top w:val="nil"/>
              <w:left w:val="nil"/>
              <w:bottom w:val="single" w:color="auto" w:sz="4" w:space="0"/>
              <w:right w:val="single" w:color="auto" w:sz="4" w:space="0"/>
            </w:tcBorders>
            <w:shd w:val="clear" w:color="auto" w:fill="auto"/>
            <w:vAlign w:val="center"/>
          </w:tcPr>
          <w:p>
            <w:pPr>
              <w:jc w:val="right"/>
              <w:rPr>
                <w:rFonts w:ascii="宋体" w:hAnsi="宋体" w:cs="宋体"/>
                <w:kern w:val="0"/>
                <w:sz w:val="18"/>
                <w:szCs w:val="18"/>
              </w:rPr>
            </w:pPr>
          </w:p>
        </w:tc>
      </w:tr>
      <w:tr>
        <w:tblPrEx>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2121399</w:t>
            </w:r>
          </w:p>
        </w:tc>
        <w:tc>
          <w:tcPr>
            <w:tcW w:w="348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3"/>
                <w:szCs w:val="13"/>
              </w:rPr>
            </w:pPr>
            <w:r>
              <w:rPr>
                <w:rFonts w:hint="eastAsia" w:ascii="宋体" w:hAnsi="宋体" w:cs="宋体"/>
                <w:kern w:val="0"/>
                <w:sz w:val="13"/>
                <w:szCs w:val="13"/>
              </w:rPr>
              <w:t>其他城市基础设施配套费安排的支出</w:t>
            </w: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p>
        </w:tc>
        <w:tc>
          <w:tcPr>
            <w:tcW w:w="127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200.00</w:t>
            </w:r>
          </w:p>
        </w:tc>
        <w:tc>
          <w:tcPr>
            <w:tcW w:w="1559"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200.00</w:t>
            </w: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p>
        </w:tc>
        <w:tc>
          <w:tcPr>
            <w:tcW w:w="170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20"/>
                <w:szCs w:val="20"/>
              </w:rPr>
            </w:pPr>
            <w:r>
              <w:rPr>
                <w:rFonts w:hint="eastAsia" w:ascii="宋体" w:hAnsi="宋体" w:cs="宋体"/>
                <w:kern w:val="0"/>
                <w:sz w:val="20"/>
                <w:szCs w:val="20"/>
              </w:rPr>
              <w:t>200.00</w:t>
            </w:r>
          </w:p>
        </w:tc>
        <w:tc>
          <w:tcPr>
            <w:tcW w:w="1244" w:type="dxa"/>
            <w:tcBorders>
              <w:top w:val="nil"/>
              <w:left w:val="nil"/>
              <w:bottom w:val="single" w:color="auto" w:sz="4" w:space="0"/>
              <w:right w:val="single" w:color="auto" w:sz="4" w:space="0"/>
            </w:tcBorders>
            <w:shd w:val="clear" w:color="auto" w:fill="auto"/>
            <w:vAlign w:val="center"/>
          </w:tcPr>
          <w:p>
            <w:pPr>
              <w:jc w:val="right"/>
              <w:rPr>
                <w:rFonts w:ascii="宋体" w:hAnsi="宋体" w:cs="宋体"/>
                <w:kern w:val="0"/>
                <w:sz w:val="18"/>
                <w:szCs w:val="18"/>
              </w:rPr>
            </w:pPr>
          </w:p>
        </w:tc>
      </w:tr>
    </w:tbl>
    <w:p>
      <w:pPr>
        <w:rPr>
          <w:rFonts w:ascii="仿宋_GB2312" w:hAnsi="宋体" w:eastAsia="仿宋_GB2312" w:cs="宋体"/>
          <w:kern w:val="0"/>
          <w:szCs w:val="21"/>
        </w:rPr>
      </w:pPr>
      <w:r>
        <w:rPr>
          <w:rFonts w:hint="eastAsia" w:ascii="仿宋_GB2312" w:hAnsi="宋体" w:eastAsia="仿宋_GB2312" w:cs="宋体"/>
          <w:kern w:val="0"/>
          <w:szCs w:val="21"/>
        </w:rPr>
        <w:t>注：本表反映部门本年度政府性基金预算财政拨款收入支出及结转和结余情况。</w:t>
      </w:r>
    </w:p>
    <w:p>
      <w:pPr>
        <w:rPr>
          <w:rFonts w:ascii="仿宋_GB2312" w:hAnsi="宋体" w:eastAsia="仿宋_GB2312" w:cs="宋体"/>
          <w:kern w:val="0"/>
          <w:szCs w:val="21"/>
        </w:rPr>
      </w:pPr>
    </w:p>
    <w:tbl>
      <w:tblPr>
        <w:tblStyle w:val="7"/>
        <w:tblW w:w="4927" w:type="pct"/>
        <w:tblInd w:w="0" w:type="dxa"/>
        <w:tblLayout w:type="fixed"/>
        <w:tblCellMar>
          <w:top w:w="0" w:type="dxa"/>
          <w:left w:w="108" w:type="dxa"/>
          <w:bottom w:w="0" w:type="dxa"/>
          <w:right w:w="108" w:type="dxa"/>
        </w:tblCellMar>
      </w:tblPr>
      <w:tblGrid>
        <w:gridCol w:w="1238"/>
        <w:gridCol w:w="1261"/>
        <w:gridCol w:w="1240"/>
        <w:gridCol w:w="1240"/>
        <w:gridCol w:w="1246"/>
        <w:gridCol w:w="1008"/>
        <w:gridCol w:w="1154"/>
        <w:gridCol w:w="642"/>
        <w:gridCol w:w="617"/>
        <w:gridCol w:w="623"/>
        <w:gridCol w:w="279"/>
        <w:gridCol w:w="964"/>
        <w:gridCol w:w="117"/>
        <w:gridCol w:w="1126"/>
        <w:gridCol w:w="137"/>
        <w:gridCol w:w="1075"/>
      </w:tblGrid>
      <w:tr>
        <w:tblPrEx>
          <w:tblCellMar>
            <w:top w:w="0" w:type="dxa"/>
            <w:left w:w="108" w:type="dxa"/>
            <w:bottom w:w="0" w:type="dxa"/>
            <w:right w:w="108" w:type="dxa"/>
          </w:tblCellMar>
        </w:tblPrEx>
        <w:trPr>
          <w:trHeight w:val="435" w:hRule="atLeast"/>
        </w:trPr>
        <w:tc>
          <w:tcPr>
            <w:tcW w:w="5000" w:type="pct"/>
            <w:gridSpan w:val="16"/>
            <w:tcBorders>
              <w:top w:val="nil"/>
              <w:left w:val="nil"/>
              <w:bottom w:val="nil"/>
              <w:right w:val="nil"/>
            </w:tcBorders>
            <w:shd w:val="clear" w:color="auto" w:fill="FFFFFF"/>
            <w:vAlign w:val="center"/>
          </w:tcPr>
          <w:p>
            <w:pPr>
              <w:widowControl/>
              <w:jc w:val="center"/>
              <w:rPr>
                <w:rFonts w:ascii="华文中宋" w:hAnsi="华文中宋" w:eastAsia="华文中宋" w:cs="宋体"/>
                <w:kern w:val="0"/>
                <w:sz w:val="32"/>
                <w:szCs w:val="32"/>
              </w:rPr>
            </w:pPr>
          </w:p>
          <w:p>
            <w:pPr>
              <w:widowControl/>
              <w:jc w:val="center"/>
              <w:rPr>
                <w:rFonts w:ascii="华文中宋" w:hAnsi="华文中宋" w:eastAsia="华文中宋" w:cs="宋体"/>
                <w:kern w:val="0"/>
                <w:sz w:val="32"/>
                <w:szCs w:val="32"/>
              </w:rPr>
            </w:pPr>
            <w:r>
              <w:rPr>
                <w:rFonts w:hint="eastAsia" w:ascii="仿宋_GB2312" w:hAnsi="宋体" w:eastAsia="仿宋_GB2312" w:cs="宋体"/>
                <w:b/>
                <w:kern w:val="0"/>
                <w:sz w:val="30"/>
                <w:szCs w:val="30"/>
              </w:rPr>
              <w:t>一般公共预算财政拨款“三公”经费支出决算表</w:t>
            </w:r>
          </w:p>
        </w:tc>
      </w:tr>
      <w:tr>
        <w:tblPrEx>
          <w:tblCellMar>
            <w:top w:w="0" w:type="dxa"/>
            <w:left w:w="108" w:type="dxa"/>
            <w:bottom w:w="0" w:type="dxa"/>
            <w:right w:w="108" w:type="dxa"/>
          </w:tblCellMar>
        </w:tblPrEx>
        <w:trPr>
          <w:trHeight w:val="285" w:hRule="atLeast"/>
        </w:trPr>
        <w:tc>
          <w:tcPr>
            <w:tcW w:w="443" w:type="pct"/>
            <w:tcBorders>
              <w:top w:val="nil"/>
              <w:left w:val="nil"/>
              <w:bottom w:val="nil"/>
              <w:right w:val="nil"/>
            </w:tcBorders>
            <w:shd w:val="clear" w:color="auto" w:fill="FFFFFF"/>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451" w:type="pct"/>
            <w:tcBorders>
              <w:top w:val="nil"/>
              <w:left w:val="nil"/>
              <w:bottom w:val="nil"/>
              <w:right w:val="nil"/>
            </w:tcBorders>
            <w:shd w:val="clear" w:color="auto" w:fill="FFFFFF"/>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444" w:type="pct"/>
            <w:tcBorders>
              <w:top w:val="nil"/>
              <w:left w:val="nil"/>
              <w:bottom w:val="nil"/>
              <w:right w:val="nil"/>
            </w:tcBorders>
            <w:shd w:val="clear" w:color="auto" w:fill="FFFFFF"/>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444" w:type="pct"/>
            <w:tcBorders>
              <w:top w:val="nil"/>
              <w:left w:val="nil"/>
              <w:bottom w:val="nil"/>
              <w:right w:val="nil"/>
            </w:tcBorders>
            <w:shd w:val="clear" w:color="auto" w:fill="FFFFFF"/>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446" w:type="pct"/>
            <w:tcBorders>
              <w:top w:val="nil"/>
              <w:left w:val="nil"/>
              <w:bottom w:val="nil"/>
              <w:right w:val="nil"/>
            </w:tcBorders>
            <w:shd w:val="clear" w:color="auto" w:fill="FFFFFF"/>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61" w:type="pct"/>
            <w:tcBorders>
              <w:top w:val="nil"/>
              <w:left w:val="nil"/>
              <w:bottom w:val="nil"/>
              <w:right w:val="nil"/>
            </w:tcBorders>
            <w:shd w:val="clear" w:color="auto" w:fill="FFFFFF"/>
            <w:noWrap/>
            <w:vAlign w:val="center"/>
          </w:tcPr>
          <w:p>
            <w:pPr>
              <w:widowControl/>
              <w:jc w:val="right"/>
              <w:rPr>
                <w:rFonts w:ascii="宋体" w:hAnsi="宋体" w:cs="宋体"/>
                <w:color w:val="000000"/>
                <w:kern w:val="0"/>
                <w:sz w:val="20"/>
                <w:szCs w:val="20"/>
              </w:rPr>
            </w:pPr>
            <w:r>
              <w:rPr>
                <w:rFonts w:hint="eastAsia" w:ascii="宋体" w:hAnsi="宋体" w:cs="宋体"/>
                <w:color w:val="000000"/>
                <w:kern w:val="0"/>
                <w:sz w:val="20"/>
                <w:szCs w:val="20"/>
              </w:rPr>
              <w:t>　</w:t>
            </w:r>
          </w:p>
        </w:tc>
        <w:tc>
          <w:tcPr>
            <w:tcW w:w="643" w:type="pct"/>
            <w:gridSpan w:val="2"/>
            <w:tcBorders>
              <w:top w:val="nil"/>
              <w:left w:val="nil"/>
              <w:bottom w:val="nil"/>
              <w:right w:val="nil"/>
            </w:tcBorders>
            <w:shd w:val="clear" w:color="auto" w:fill="FFFFFF"/>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444" w:type="pct"/>
            <w:gridSpan w:val="2"/>
            <w:tcBorders>
              <w:top w:val="nil"/>
              <w:left w:val="nil"/>
              <w:bottom w:val="nil"/>
              <w:right w:val="nil"/>
            </w:tcBorders>
            <w:shd w:val="clear" w:color="auto" w:fill="FFFFFF"/>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445" w:type="pct"/>
            <w:gridSpan w:val="2"/>
            <w:tcBorders>
              <w:top w:val="nil"/>
              <w:left w:val="nil"/>
              <w:bottom w:val="nil"/>
              <w:right w:val="nil"/>
            </w:tcBorders>
            <w:shd w:val="clear" w:color="auto" w:fill="FFFFFF"/>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445" w:type="pct"/>
            <w:gridSpan w:val="2"/>
            <w:tcBorders>
              <w:top w:val="nil"/>
              <w:left w:val="nil"/>
              <w:bottom w:val="nil"/>
              <w:right w:val="nil"/>
            </w:tcBorders>
            <w:shd w:val="clear" w:color="auto" w:fill="FFFFFF"/>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434" w:type="pct"/>
            <w:gridSpan w:val="2"/>
            <w:tcBorders>
              <w:top w:val="nil"/>
              <w:left w:val="nil"/>
              <w:bottom w:val="nil"/>
              <w:right w:val="nil"/>
            </w:tcBorders>
            <w:shd w:val="clear" w:color="auto" w:fill="FFFFFF"/>
            <w:noWrap/>
            <w:vAlign w:val="center"/>
          </w:tcPr>
          <w:p>
            <w:pPr>
              <w:widowControl/>
              <w:jc w:val="right"/>
              <w:rPr>
                <w:rFonts w:ascii="宋体" w:hAnsi="宋体" w:cs="宋体"/>
                <w:color w:val="000000"/>
                <w:kern w:val="0"/>
                <w:sz w:val="20"/>
                <w:szCs w:val="20"/>
              </w:rPr>
            </w:pPr>
            <w:r>
              <w:rPr>
                <w:rFonts w:hint="eastAsia" w:ascii="宋体" w:hAnsi="宋体" w:cs="宋体"/>
                <w:color w:val="000000"/>
                <w:kern w:val="0"/>
                <w:sz w:val="20"/>
                <w:szCs w:val="20"/>
              </w:rPr>
              <w:t>公开08表</w:t>
            </w:r>
          </w:p>
        </w:tc>
      </w:tr>
      <w:tr>
        <w:tblPrEx>
          <w:tblCellMar>
            <w:top w:w="0" w:type="dxa"/>
            <w:left w:w="108" w:type="dxa"/>
            <w:bottom w:w="0" w:type="dxa"/>
            <w:right w:w="108" w:type="dxa"/>
          </w:tblCellMar>
        </w:tblPrEx>
        <w:trPr>
          <w:trHeight w:val="300" w:hRule="atLeast"/>
        </w:trPr>
        <w:tc>
          <w:tcPr>
            <w:tcW w:w="443" w:type="pct"/>
            <w:tcBorders>
              <w:top w:val="nil"/>
              <w:left w:val="nil"/>
              <w:bottom w:val="nil"/>
              <w:right w:val="nil"/>
            </w:tcBorders>
            <w:shd w:val="clear" w:color="auto" w:fill="FFFFFF"/>
            <w:vAlign w:val="center"/>
          </w:tcPr>
          <w:p>
            <w:pPr>
              <w:widowControl/>
              <w:jc w:val="left"/>
              <w:rPr>
                <w:rFonts w:ascii="宋体" w:hAnsi="宋体" w:cs="宋体"/>
                <w:kern w:val="0"/>
                <w:sz w:val="20"/>
                <w:szCs w:val="20"/>
              </w:rPr>
            </w:pPr>
            <w:r>
              <w:rPr>
                <w:rFonts w:hint="eastAsia" w:ascii="宋体" w:hAnsi="宋体" w:cs="宋体"/>
                <w:kern w:val="0"/>
                <w:sz w:val="20"/>
                <w:szCs w:val="20"/>
              </w:rPr>
              <w:t>　部门：</w:t>
            </w:r>
          </w:p>
        </w:tc>
        <w:tc>
          <w:tcPr>
            <w:tcW w:w="451" w:type="pct"/>
            <w:tcBorders>
              <w:top w:val="nil"/>
              <w:left w:val="nil"/>
              <w:bottom w:val="nil"/>
              <w:right w:val="nil"/>
            </w:tcBorders>
            <w:shd w:val="clear" w:color="auto" w:fill="FFFFFF"/>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444" w:type="pct"/>
            <w:tcBorders>
              <w:top w:val="nil"/>
              <w:left w:val="nil"/>
              <w:bottom w:val="nil"/>
              <w:right w:val="nil"/>
            </w:tcBorders>
            <w:shd w:val="clear" w:color="auto" w:fill="FFFFFF"/>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444" w:type="pct"/>
            <w:tcBorders>
              <w:top w:val="nil"/>
              <w:left w:val="nil"/>
              <w:bottom w:val="nil"/>
              <w:right w:val="nil"/>
            </w:tcBorders>
            <w:shd w:val="clear" w:color="auto" w:fill="FFFFFF"/>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446" w:type="pct"/>
            <w:tcBorders>
              <w:top w:val="nil"/>
              <w:left w:val="nil"/>
              <w:bottom w:val="nil"/>
              <w:right w:val="nil"/>
            </w:tcBorders>
            <w:shd w:val="clear" w:color="auto" w:fill="FFFFFF"/>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361" w:type="pct"/>
            <w:tcBorders>
              <w:top w:val="nil"/>
              <w:left w:val="nil"/>
              <w:bottom w:val="nil"/>
              <w:right w:val="nil"/>
            </w:tcBorders>
            <w:shd w:val="clear" w:color="auto" w:fill="FFFFFF"/>
            <w:noWrap/>
            <w:vAlign w:val="center"/>
          </w:tcPr>
          <w:p>
            <w:pPr>
              <w:widowControl/>
              <w:jc w:val="right"/>
              <w:rPr>
                <w:rFonts w:ascii="宋体" w:hAnsi="宋体" w:cs="宋体"/>
                <w:color w:val="000000"/>
                <w:kern w:val="0"/>
                <w:sz w:val="20"/>
                <w:szCs w:val="20"/>
              </w:rPr>
            </w:pPr>
            <w:r>
              <w:rPr>
                <w:rFonts w:hint="eastAsia" w:ascii="宋体" w:hAnsi="宋体" w:cs="宋体"/>
                <w:color w:val="000000"/>
                <w:kern w:val="0"/>
                <w:sz w:val="20"/>
                <w:szCs w:val="20"/>
              </w:rPr>
              <w:t>　</w:t>
            </w:r>
          </w:p>
        </w:tc>
        <w:tc>
          <w:tcPr>
            <w:tcW w:w="643" w:type="pct"/>
            <w:gridSpan w:val="2"/>
            <w:tcBorders>
              <w:top w:val="nil"/>
              <w:left w:val="nil"/>
              <w:bottom w:val="single" w:color="000000" w:sz="8" w:space="0"/>
              <w:right w:val="nil"/>
            </w:tcBorders>
            <w:shd w:val="clear" w:color="auto" w:fill="FFFFFF"/>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444" w:type="pct"/>
            <w:gridSpan w:val="2"/>
            <w:tcBorders>
              <w:top w:val="nil"/>
              <w:left w:val="nil"/>
              <w:bottom w:val="single" w:color="000000" w:sz="8" w:space="0"/>
              <w:right w:val="nil"/>
            </w:tcBorders>
            <w:shd w:val="clear" w:color="auto" w:fill="FFFFFF"/>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445" w:type="pct"/>
            <w:gridSpan w:val="2"/>
            <w:tcBorders>
              <w:top w:val="nil"/>
              <w:left w:val="nil"/>
              <w:bottom w:val="single" w:color="000000" w:sz="8" w:space="0"/>
              <w:right w:val="nil"/>
            </w:tcBorders>
            <w:shd w:val="clear" w:color="auto" w:fill="FFFFFF"/>
            <w:vAlign w:val="center"/>
          </w:tcPr>
          <w:p>
            <w:pPr>
              <w:widowControl/>
              <w:jc w:val="left"/>
              <w:rPr>
                <w:rFonts w:ascii="宋体" w:hAnsi="宋体" w:cs="宋体"/>
                <w:kern w:val="0"/>
                <w:sz w:val="20"/>
                <w:szCs w:val="20"/>
              </w:rPr>
            </w:pPr>
            <w:r>
              <w:rPr>
                <w:rFonts w:hint="eastAsia" w:ascii="宋体" w:hAnsi="宋体" w:cs="宋体"/>
                <w:kern w:val="0"/>
                <w:sz w:val="20"/>
                <w:szCs w:val="20"/>
              </w:rPr>
              <w:t>　</w:t>
            </w:r>
          </w:p>
        </w:tc>
        <w:tc>
          <w:tcPr>
            <w:tcW w:w="879" w:type="pct"/>
            <w:gridSpan w:val="4"/>
            <w:tcBorders>
              <w:top w:val="nil"/>
              <w:left w:val="nil"/>
              <w:bottom w:val="single" w:color="000000" w:sz="8" w:space="0"/>
              <w:right w:val="nil"/>
            </w:tcBorders>
            <w:shd w:val="clear" w:color="auto" w:fill="FFFFFF"/>
            <w:vAlign w:val="center"/>
          </w:tcPr>
          <w:p>
            <w:pPr>
              <w:widowControl/>
              <w:jc w:val="right"/>
              <w:rPr>
                <w:rFonts w:ascii="宋体" w:hAnsi="宋体" w:cs="宋体"/>
                <w:color w:val="000000"/>
                <w:kern w:val="0"/>
                <w:sz w:val="20"/>
                <w:szCs w:val="20"/>
              </w:rPr>
            </w:pPr>
            <w:r>
              <w:rPr>
                <w:rFonts w:hint="eastAsia" w:ascii="宋体" w:hAnsi="宋体" w:cs="宋体"/>
                <w:kern w:val="0"/>
                <w:sz w:val="20"/>
                <w:szCs w:val="20"/>
              </w:rPr>
              <w:t>　    金额</w:t>
            </w:r>
            <w:r>
              <w:rPr>
                <w:rFonts w:hint="eastAsia" w:ascii="宋体" w:hAnsi="宋体" w:cs="宋体"/>
                <w:color w:val="000000"/>
                <w:kern w:val="0"/>
                <w:sz w:val="20"/>
                <w:szCs w:val="20"/>
              </w:rPr>
              <w:t>单位：万元</w:t>
            </w:r>
          </w:p>
        </w:tc>
      </w:tr>
      <w:tr>
        <w:tblPrEx>
          <w:tblCellMar>
            <w:top w:w="0" w:type="dxa"/>
            <w:left w:w="108" w:type="dxa"/>
            <w:bottom w:w="0" w:type="dxa"/>
            <w:right w:w="108" w:type="dxa"/>
          </w:tblCellMar>
        </w:tblPrEx>
        <w:trPr>
          <w:trHeight w:val="855" w:hRule="atLeast"/>
        </w:trPr>
        <w:tc>
          <w:tcPr>
            <w:tcW w:w="2589" w:type="pct"/>
            <w:gridSpan w:val="6"/>
            <w:tcBorders>
              <w:top w:val="single" w:color="auto" w:sz="8" w:space="0"/>
              <w:left w:val="single" w:color="auto" w:sz="8" w:space="0"/>
              <w:bottom w:val="single" w:color="auto" w:sz="4" w:space="0"/>
              <w:right w:val="single" w:color="000000" w:sz="8" w:space="0"/>
            </w:tcBorders>
            <w:shd w:val="clear" w:color="auto" w:fill="FFFFFF"/>
            <w:vAlign w:val="center"/>
          </w:tcPr>
          <w:p>
            <w:pPr>
              <w:widowControl/>
              <w:jc w:val="center"/>
              <w:rPr>
                <w:rFonts w:ascii="宋体" w:hAnsi="宋体" w:cs="宋体"/>
                <w:kern w:val="0"/>
                <w:sz w:val="22"/>
                <w:szCs w:val="22"/>
              </w:rPr>
            </w:pPr>
            <w:r>
              <w:rPr>
                <w:rFonts w:hint="eastAsia" w:ascii="宋体" w:hAnsi="宋体" w:cs="宋体"/>
                <w:kern w:val="0"/>
                <w:sz w:val="22"/>
                <w:szCs w:val="22"/>
              </w:rPr>
              <w:t>预算数</w:t>
            </w:r>
          </w:p>
        </w:tc>
        <w:tc>
          <w:tcPr>
            <w:tcW w:w="2411" w:type="pct"/>
            <w:gridSpan w:val="10"/>
            <w:tcBorders>
              <w:top w:val="single" w:color="000000" w:sz="8" w:space="0"/>
              <w:left w:val="single" w:color="000000" w:sz="8" w:space="0"/>
              <w:bottom w:val="single" w:color="000000" w:sz="8" w:space="0"/>
              <w:right w:val="single" w:color="000000" w:sz="8" w:space="0"/>
            </w:tcBorders>
            <w:shd w:val="clear" w:color="auto" w:fill="FFFFFF"/>
            <w:vAlign w:val="center"/>
          </w:tcPr>
          <w:p>
            <w:pPr>
              <w:widowControl/>
              <w:jc w:val="center"/>
              <w:rPr>
                <w:rFonts w:ascii="宋体" w:hAnsi="宋体" w:cs="宋体"/>
                <w:kern w:val="0"/>
                <w:sz w:val="22"/>
                <w:szCs w:val="22"/>
              </w:rPr>
            </w:pPr>
            <w:r>
              <w:rPr>
                <w:rFonts w:hint="eastAsia" w:ascii="宋体" w:hAnsi="宋体" w:cs="宋体"/>
                <w:kern w:val="0"/>
                <w:sz w:val="22"/>
                <w:szCs w:val="22"/>
              </w:rPr>
              <w:t>决算数　</w:t>
            </w:r>
          </w:p>
        </w:tc>
      </w:tr>
      <w:tr>
        <w:tblPrEx>
          <w:tblCellMar>
            <w:top w:w="0" w:type="dxa"/>
            <w:left w:w="108" w:type="dxa"/>
            <w:bottom w:w="0" w:type="dxa"/>
            <w:right w:w="108" w:type="dxa"/>
          </w:tblCellMar>
        </w:tblPrEx>
        <w:trPr>
          <w:trHeight w:val="855" w:hRule="atLeast"/>
        </w:trPr>
        <w:tc>
          <w:tcPr>
            <w:tcW w:w="443" w:type="pct"/>
            <w:vMerge w:val="restart"/>
            <w:tcBorders>
              <w:top w:val="nil"/>
              <w:left w:val="single" w:color="auto" w:sz="8"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合计</w:t>
            </w:r>
          </w:p>
        </w:tc>
        <w:tc>
          <w:tcPr>
            <w:tcW w:w="451" w:type="pct"/>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因公出国（境）费</w:t>
            </w:r>
          </w:p>
        </w:tc>
        <w:tc>
          <w:tcPr>
            <w:tcW w:w="1334" w:type="pct"/>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公务用车购置及运行费</w:t>
            </w:r>
          </w:p>
        </w:tc>
        <w:tc>
          <w:tcPr>
            <w:tcW w:w="361" w:type="pct"/>
            <w:vMerge w:val="restart"/>
            <w:tcBorders>
              <w:top w:val="nil"/>
              <w:left w:val="single" w:color="auto" w:sz="4" w:space="0"/>
              <w:bottom w:val="single" w:color="auto" w:sz="4" w:space="0"/>
              <w:right w:val="single" w:color="000000" w:sz="8"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公务接待费</w:t>
            </w:r>
          </w:p>
        </w:tc>
        <w:tc>
          <w:tcPr>
            <w:tcW w:w="413" w:type="pct"/>
            <w:vMerge w:val="restart"/>
            <w:tcBorders>
              <w:top w:val="single" w:color="000000" w:sz="8" w:space="0"/>
              <w:left w:val="single" w:color="000000" w:sz="8" w:space="0"/>
              <w:bottom w:val="single" w:color="000000" w:sz="8" w:space="0"/>
              <w:right w:val="single" w:color="000000" w:sz="8" w:space="0"/>
            </w:tcBorders>
            <w:shd w:val="clear" w:color="auto" w:fill="FFFFFF"/>
            <w:vAlign w:val="center"/>
          </w:tcPr>
          <w:p>
            <w:pPr>
              <w:jc w:val="center"/>
              <w:rPr>
                <w:rFonts w:ascii="宋体" w:hAnsi="宋体" w:cs="宋体"/>
                <w:kern w:val="0"/>
                <w:sz w:val="22"/>
                <w:szCs w:val="22"/>
              </w:rPr>
            </w:pPr>
            <w:r>
              <w:rPr>
                <w:rFonts w:hint="eastAsia" w:ascii="宋体" w:hAnsi="宋体" w:cs="宋体"/>
                <w:kern w:val="0"/>
                <w:sz w:val="22"/>
                <w:szCs w:val="22"/>
              </w:rPr>
              <w:t>合计</w:t>
            </w:r>
          </w:p>
        </w:tc>
        <w:tc>
          <w:tcPr>
            <w:tcW w:w="451" w:type="pct"/>
            <w:gridSpan w:val="2"/>
            <w:vMerge w:val="restart"/>
            <w:tcBorders>
              <w:top w:val="single" w:color="000000" w:sz="8" w:space="0"/>
              <w:left w:val="single" w:color="000000" w:sz="8" w:space="0"/>
              <w:bottom w:val="single" w:color="000000" w:sz="8" w:space="0"/>
              <w:right w:val="single" w:color="000000" w:sz="8" w:space="0"/>
            </w:tcBorders>
            <w:shd w:val="clear" w:color="auto" w:fill="FFFFFF"/>
            <w:vAlign w:val="center"/>
          </w:tcPr>
          <w:p>
            <w:pPr>
              <w:widowControl/>
              <w:jc w:val="center"/>
              <w:rPr>
                <w:rFonts w:ascii="宋体" w:hAnsi="宋体" w:cs="宋体"/>
                <w:kern w:val="0"/>
                <w:sz w:val="22"/>
                <w:szCs w:val="22"/>
              </w:rPr>
            </w:pPr>
            <w:r>
              <w:rPr>
                <w:rFonts w:hint="eastAsia" w:ascii="宋体" w:hAnsi="宋体" w:cs="宋体"/>
                <w:kern w:val="0"/>
                <w:sz w:val="22"/>
                <w:szCs w:val="22"/>
              </w:rPr>
              <w:t>因公出国（境）费</w:t>
            </w:r>
          </w:p>
        </w:tc>
        <w:tc>
          <w:tcPr>
            <w:tcW w:w="1162" w:type="pct"/>
            <w:gridSpan w:val="6"/>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公务用车购置及运行费</w:t>
            </w:r>
          </w:p>
        </w:tc>
        <w:tc>
          <w:tcPr>
            <w:tcW w:w="385" w:type="pct"/>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公务接待费</w:t>
            </w:r>
          </w:p>
        </w:tc>
      </w:tr>
      <w:tr>
        <w:tblPrEx>
          <w:tblCellMar>
            <w:top w:w="0" w:type="dxa"/>
            <w:left w:w="108" w:type="dxa"/>
            <w:bottom w:w="0" w:type="dxa"/>
            <w:right w:w="108" w:type="dxa"/>
          </w:tblCellMar>
        </w:tblPrEx>
        <w:trPr>
          <w:trHeight w:val="855" w:hRule="atLeast"/>
        </w:trPr>
        <w:tc>
          <w:tcPr>
            <w:tcW w:w="443" w:type="pct"/>
            <w:vMerge w:val="continue"/>
            <w:tcBorders>
              <w:top w:val="nil"/>
              <w:left w:val="single" w:color="auto" w:sz="8" w:space="0"/>
              <w:bottom w:val="single" w:color="auto" w:sz="4" w:space="0"/>
              <w:right w:val="single" w:color="auto" w:sz="4" w:space="0"/>
            </w:tcBorders>
            <w:shd w:val="clear" w:color="auto" w:fill="auto"/>
            <w:vAlign w:val="center"/>
          </w:tcPr>
          <w:p>
            <w:pPr>
              <w:widowControl/>
              <w:jc w:val="left"/>
              <w:rPr>
                <w:rFonts w:ascii="宋体" w:hAnsi="宋体" w:cs="宋体"/>
                <w:kern w:val="0"/>
                <w:sz w:val="22"/>
                <w:szCs w:val="22"/>
              </w:rPr>
            </w:pPr>
          </w:p>
        </w:tc>
        <w:tc>
          <w:tcPr>
            <w:tcW w:w="451" w:type="pct"/>
            <w:vMerge w:val="continue"/>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kern w:val="0"/>
                <w:sz w:val="22"/>
                <w:szCs w:val="22"/>
              </w:rPr>
            </w:pPr>
          </w:p>
        </w:tc>
        <w:tc>
          <w:tcPr>
            <w:tcW w:w="444" w:type="pct"/>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小计</w:t>
            </w:r>
          </w:p>
        </w:tc>
        <w:tc>
          <w:tcPr>
            <w:tcW w:w="444" w:type="pct"/>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公务用车购置费</w:t>
            </w:r>
          </w:p>
        </w:tc>
        <w:tc>
          <w:tcPr>
            <w:tcW w:w="446" w:type="pct"/>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公务用车运行费</w:t>
            </w:r>
          </w:p>
        </w:tc>
        <w:tc>
          <w:tcPr>
            <w:tcW w:w="361" w:type="pct"/>
            <w:vMerge w:val="continue"/>
            <w:tcBorders>
              <w:top w:val="nil"/>
              <w:left w:val="single" w:color="auto" w:sz="4" w:space="0"/>
              <w:bottom w:val="single" w:color="auto" w:sz="4" w:space="0"/>
              <w:right w:val="single" w:color="000000" w:sz="8" w:space="0"/>
            </w:tcBorders>
            <w:shd w:val="clear" w:color="auto" w:fill="auto"/>
            <w:vAlign w:val="center"/>
          </w:tcPr>
          <w:p>
            <w:pPr>
              <w:widowControl/>
              <w:jc w:val="left"/>
              <w:rPr>
                <w:rFonts w:ascii="宋体" w:hAnsi="宋体" w:cs="宋体"/>
                <w:kern w:val="0"/>
                <w:sz w:val="22"/>
                <w:szCs w:val="22"/>
              </w:rPr>
            </w:pPr>
          </w:p>
        </w:tc>
        <w:tc>
          <w:tcPr>
            <w:tcW w:w="413" w:type="pct"/>
            <w:vMerge w:val="continue"/>
            <w:tcBorders>
              <w:top w:val="single" w:color="000000" w:sz="8" w:space="0"/>
              <w:left w:val="single" w:color="000000" w:sz="8" w:space="0"/>
              <w:bottom w:val="single" w:color="000000" w:sz="8" w:space="0"/>
              <w:right w:val="single" w:color="000000" w:sz="8" w:space="0"/>
            </w:tcBorders>
            <w:shd w:val="clear" w:color="auto" w:fill="FFFFFF"/>
            <w:vAlign w:val="center"/>
          </w:tcPr>
          <w:p>
            <w:pPr>
              <w:jc w:val="left"/>
              <w:rPr>
                <w:rFonts w:ascii="宋体" w:hAnsi="宋体" w:cs="宋体"/>
                <w:kern w:val="0"/>
                <w:sz w:val="22"/>
                <w:szCs w:val="22"/>
              </w:rPr>
            </w:pPr>
          </w:p>
        </w:tc>
        <w:tc>
          <w:tcPr>
            <w:tcW w:w="451" w:type="pct"/>
            <w:gridSpan w:val="2"/>
            <w:vMerge w:val="continue"/>
            <w:tcBorders>
              <w:top w:val="single" w:color="000000" w:sz="8" w:space="0"/>
              <w:left w:val="single" w:color="000000" w:sz="8" w:space="0"/>
              <w:bottom w:val="single" w:color="000000" w:sz="8" w:space="0"/>
              <w:right w:val="single" w:color="000000" w:sz="8" w:space="0"/>
            </w:tcBorders>
            <w:shd w:val="clear" w:color="auto" w:fill="FFFFFF"/>
            <w:vAlign w:val="center"/>
          </w:tcPr>
          <w:p>
            <w:pPr>
              <w:jc w:val="left"/>
              <w:rPr>
                <w:rFonts w:ascii="宋体" w:hAnsi="宋体" w:cs="宋体"/>
                <w:kern w:val="0"/>
                <w:sz w:val="22"/>
                <w:szCs w:val="22"/>
              </w:rPr>
            </w:pPr>
          </w:p>
        </w:tc>
        <w:tc>
          <w:tcPr>
            <w:tcW w:w="323" w:type="pct"/>
            <w:gridSpan w:val="2"/>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小计</w:t>
            </w:r>
          </w:p>
        </w:tc>
        <w:tc>
          <w:tcPr>
            <w:tcW w:w="387" w:type="pct"/>
            <w:gridSpan w:val="2"/>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公务用车购置费</w:t>
            </w:r>
          </w:p>
        </w:tc>
        <w:tc>
          <w:tcPr>
            <w:tcW w:w="452" w:type="pct"/>
            <w:gridSpan w:val="2"/>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公务用车运行费</w:t>
            </w:r>
          </w:p>
        </w:tc>
        <w:tc>
          <w:tcPr>
            <w:tcW w:w="385" w:type="pct"/>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left"/>
              <w:rPr>
                <w:rFonts w:ascii="宋体" w:hAnsi="宋体" w:cs="宋体"/>
                <w:kern w:val="0"/>
                <w:sz w:val="22"/>
                <w:szCs w:val="22"/>
              </w:rPr>
            </w:pPr>
          </w:p>
        </w:tc>
      </w:tr>
      <w:tr>
        <w:tblPrEx>
          <w:tblCellMar>
            <w:top w:w="0" w:type="dxa"/>
            <w:left w:w="108" w:type="dxa"/>
            <w:bottom w:w="0" w:type="dxa"/>
            <w:right w:w="108" w:type="dxa"/>
          </w:tblCellMar>
        </w:tblPrEx>
        <w:trPr>
          <w:trHeight w:val="618" w:hRule="atLeast"/>
        </w:trPr>
        <w:tc>
          <w:tcPr>
            <w:tcW w:w="443" w:type="pct"/>
            <w:tcBorders>
              <w:top w:val="nil"/>
              <w:left w:val="single" w:color="auto" w:sz="8" w:space="0"/>
              <w:bottom w:val="single" w:color="auto" w:sz="8"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1</w:t>
            </w:r>
          </w:p>
        </w:tc>
        <w:tc>
          <w:tcPr>
            <w:tcW w:w="451" w:type="pct"/>
            <w:tcBorders>
              <w:top w:val="nil"/>
              <w:left w:val="nil"/>
              <w:bottom w:val="single" w:color="auto" w:sz="8"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2</w:t>
            </w:r>
          </w:p>
        </w:tc>
        <w:tc>
          <w:tcPr>
            <w:tcW w:w="444" w:type="pct"/>
            <w:tcBorders>
              <w:top w:val="nil"/>
              <w:left w:val="nil"/>
              <w:bottom w:val="single" w:color="auto" w:sz="8"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3</w:t>
            </w:r>
          </w:p>
        </w:tc>
        <w:tc>
          <w:tcPr>
            <w:tcW w:w="444" w:type="pct"/>
            <w:tcBorders>
              <w:top w:val="nil"/>
              <w:left w:val="nil"/>
              <w:bottom w:val="single" w:color="auto" w:sz="8"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4</w:t>
            </w:r>
          </w:p>
        </w:tc>
        <w:tc>
          <w:tcPr>
            <w:tcW w:w="446" w:type="pct"/>
            <w:tcBorders>
              <w:top w:val="nil"/>
              <w:left w:val="nil"/>
              <w:bottom w:val="single" w:color="auto" w:sz="8" w:space="0"/>
              <w:right w:val="single" w:color="auto" w:sz="4"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5</w:t>
            </w:r>
          </w:p>
        </w:tc>
        <w:tc>
          <w:tcPr>
            <w:tcW w:w="361" w:type="pct"/>
            <w:tcBorders>
              <w:top w:val="nil"/>
              <w:left w:val="nil"/>
              <w:bottom w:val="single" w:color="auto" w:sz="8" w:space="0"/>
              <w:right w:val="single" w:color="000000" w:sz="8"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6</w:t>
            </w:r>
          </w:p>
        </w:tc>
        <w:tc>
          <w:tcPr>
            <w:tcW w:w="413" w:type="pct"/>
            <w:tcBorders>
              <w:top w:val="single" w:color="000000" w:sz="8" w:space="0"/>
              <w:left w:val="single" w:color="000000" w:sz="8" w:space="0"/>
              <w:bottom w:val="single" w:color="000000" w:sz="8" w:space="0"/>
              <w:right w:val="single" w:color="000000" w:sz="8" w:space="0"/>
            </w:tcBorders>
            <w:shd w:val="clear" w:color="auto" w:fill="FFFFFF"/>
            <w:vAlign w:val="center"/>
          </w:tcPr>
          <w:p>
            <w:pPr>
              <w:widowControl/>
              <w:jc w:val="center"/>
              <w:rPr>
                <w:rFonts w:ascii="宋体" w:hAnsi="宋体" w:cs="宋体"/>
                <w:kern w:val="0"/>
                <w:sz w:val="22"/>
                <w:szCs w:val="22"/>
              </w:rPr>
            </w:pPr>
            <w:r>
              <w:rPr>
                <w:rFonts w:hint="eastAsia" w:ascii="宋体" w:hAnsi="宋体" w:cs="宋体"/>
                <w:kern w:val="0"/>
                <w:sz w:val="22"/>
                <w:szCs w:val="22"/>
              </w:rPr>
              <w:t>7</w:t>
            </w:r>
          </w:p>
        </w:tc>
        <w:tc>
          <w:tcPr>
            <w:tcW w:w="451" w:type="pct"/>
            <w:gridSpan w:val="2"/>
            <w:tcBorders>
              <w:top w:val="single" w:color="000000" w:sz="8" w:space="0"/>
              <w:left w:val="single" w:color="000000" w:sz="8" w:space="0"/>
              <w:bottom w:val="single" w:color="000000" w:sz="8" w:space="0"/>
              <w:right w:val="single" w:color="000000" w:sz="8" w:space="0"/>
            </w:tcBorders>
            <w:shd w:val="clear" w:color="auto" w:fill="FFFFFF"/>
            <w:vAlign w:val="center"/>
          </w:tcPr>
          <w:p>
            <w:pPr>
              <w:widowControl/>
              <w:jc w:val="center"/>
              <w:rPr>
                <w:rFonts w:ascii="宋体" w:hAnsi="宋体" w:cs="宋体"/>
                <w:kern w:val="0"/>
                <w:sz w:val="22"/>
                <w:szCs w:val="22"/>
              </w:rPr>
            </w:pPr>
            <w:r>
              <w:rPr>
                <w:rFonts w:hint="eastAsia" w:ascii="宋体" w:hAnsi="宋体" w:cs="宋体"/>
                <w:kern w:val="0"/>
                <w:sz w:val="22"/>
                <w:szCs w:val="22"/>
              </w:rPr>
              <w:t>8</w:t>
            </w:r>
          </w:p>
        </w:tc>
        <w:tc>
          <w:tcPr>
            <w:tcW w:w="323" w:type="pct"/>
            <w:gridSpan w:val="2"/>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9</w:t>
            </w:r>
          </w:p>
        </w:tc>
        <w:tc>
          <w:tcPr>
            <w:tcW w:w="387" w:type="pct"/>
            <w:gridSpan w:val="2"/>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10</w:t>
            </w:r>
          </w:p>
        </w:tc>
        <w:tc>
          <w:tcPr>
            <w:tcW w:w="452" w:type="pct"/>
            <w:gridSpan w:val="2"/>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11</w:t>
            </w:r>
          </w:p>
        </w:tc>
        <w:tc>
          <w:tcPr>
            <w:tcW w:w="385" w:type="pct"/>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kern w:val="0"/>
                <w:sz w:val="22"/>
                <w:szCs w:val="22"/>
              </w:rPr>
            </w:pPr>
            <w:r>
              <w:rPr>
                <w:rFonts w:hint="eastAsia" w:ascii="宋体" w:hAnsi="宋体" w:cs="宋体"/>
                <w:kern w:val="0"/>
                <w:sz w:val="22"/>
                <w:szCs w:val="22"/>
              </w:rPr>
              <w:t>12</w:t>
            </w:r>
          </w:p>
        </w:tc>
      </w:tr>
      <w:tr>
        <w:tblPrEx>
          <w:tblCellMar>
            <w:top w:w="0" w:type="dxa"/>
            <w:left w:w="108" w:type="dxa"/>
            <w:bottom w:w="0" w:type="dxa"/>
            <w:right w:w="108" w:type="dxa"/>
          </w:tblCellMar>
        </w:tblPrEx>
        <w:trPr>
          <w:trHeight w:val="855" w:hRule="atLeast"/>
        </w:trPr>
        <w:tc>
          <w:tcPr>
            <w:tcW w:w="443" w:type="pct"/>
            <w:tcBorders>
              <w:top w:val="nil"/>
              <w:left w:val="single" w:color="auto" w:sz="8" w:space="0"/>
              <w:bottom w:val="single" w:color="auto" w:sz="8" w:space="0"/>
              <w:right w:val="single" w:color="auto" w:sz="4" w:space="0"/>
            </w:tcBorders>
            <w:shd w:val="clear" w:color="auto" w:fill="auto"/>
            <w:vAlign w:val="center"/>
          </w:tcPr>
          <w:p>
            <w:pPr>
              <w:widowControl/>
              <w:jc w:val="left"/>
              <w:rPr>
                <w:rFonts w:ascii="宋体" w:hAnsi="宋体" w:cs="宋体"/>
                <w:kern w:val="0"/>
                <w:sz w:val="22"/>
                <w:szCs w:val="22"/>
              </w:rPr>
            </w:pPr>
            <w:r>
              <w:rPr>
                <w:rFonts w:hint="eastAsia" w:ascii="宋体" w:hAnsi="宋体" w:cs="宋体"/>
                <w:kern w:val="0"/>
                <w:sz w:val="22"/>
                <w:szCs w:val="22"/>
              </w:rPr>
              <w:t>　47.00</w:t>
            </w:r>
          </w:p>
        </w:tc>
        <w:tc>
          <w:tcPr>
            <w:tcW w:w="451" w:type="pct"/>
            <w:tcBorders>
              <w:top w:val="nil"/>
              <w:left w:val="nil"/>
              <w:bottom w:val="single" w:color="auto" w:sz="8" w:space="0"/>
              <w:right w:val="single" w:color="auto" w:sz="4" w:space="0"/>
            </w:tcBorders>
            <w:shd w:val="clear" w:color="auto" w:fill="auto"/>
            <w:vAlign w:val="center"/>
          </w:tcPr>
          <w:p>
            <w:pPr>
              <w:widowControl/>
              <w:jc w:val="left"/>
              <w:rPr>
                <w:rFonts w:ascii="宋体" w:hAnsi="宋体" w:cs="宋体"/>
                <w:kern w:val="0"/>
                <w:sz w:val="22"/>
                <w:szCs w:val="22"/>
              </w:rPr>
            </w:pPr>
            <w:r>
              <w:rPr>
                <w:rFonts w:hint="eastAsia" w:ascii="宋体" w:hAnsi="宋体" w:cs="宋体"/>
                <w:kern w:val="0"/>
                <w:sz w:val="22"/>
                <w:szCs w:val="22"/>
              </w:rPr>
              <w:t>5.00　</w:t>
            </w:r>
          </w:p>
        </w:tc>
        <w:tc>
          <w:tcPr>
            <w:tcW w:w="444" w:type="pct"/>
            <w:tcBorders>
              <w:top w:val="nil"/>
              <w:left w:val="nil"/>
              <w:bottom w:val="single" w:color="auto" w:sz="8" w:space="0"/>
              <w:right w:val="single" w:color="auto" w:sz="4" w:space="0"/>
            </w:tcBorders>
            <w:shd w:val="clear" w:color="auto" w:fill="auto"/>
            <w:vAlign w:val="center"/>
          </w:tcPr>
          <w:p>
            <w:pPr>
              <w:widowControl/>
              <w:jc w:val="left"/>
              <w:rPr>
                <w:rFonts w:ascii="宋体" w:hAnsi="宋体" w:cs="宋体"/>
                <w:kern w:val="0"/>
                <w:sz w:val="22"/>
                <w:szCs w:val="22"/>
              </w:rPr>
            </w:pPr>
            <w:r>
              <w:rPr>
                <w:rFonts w:hint="eastAsia" w:ascii="宋体" w:hAnsi="宋体" w:cs="宋体"/>
                <w:kern w:val="0"/>
                <w:sz w:val="22"/>
                <w:szCs w:val="22"/>
              </w:rPr>
              <w:t>　31.00</w:t>
            </w:r>
          </w:p>
        </w:tc>
        <w:tc>
          <w:tcPr>
            <w:tcW w:w="444" w:type="pct"/>
            <w:tcBorders>
              <w:top w:val="nil"/>
              <w:left w:val="nil"/>
              <w:bottom w:val="single" w:color="auto" w:sz="8" w:space="0"/>
              <w:right w:val="single" w:color="auto" w:sz="4" w:space="0"/>
            </w:tcBorders>
            <w:shd w:val="clear" w:color="auto" w:fill="auto"/>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446" w:type="pct"/>
            <w:tcBorders>
              <w:top w:val="nil"/>
              <w:left w:val="nil"/>
              <w:bottom w:val="single" w:color="auto" w:sz="8" w:space="0"/>
              <w:right w:val="single" w:color="auto" w:sz="4" w:space="0"/>
            </w:tcBorders>
            <w:shd w:val="clear" w:color="auto" w:fill="auto"/>
            <w:vAlign w:val="center"/>
          </w:tcPr>
          <w:p>
            <w:pPr>
              <w:widowControl/>
              <w:jc w:val="left"/>
              <w:rPr>
                <w:rFonts w:ascii="宋体" w:hAnsi="宋体" w:cs="宋体"/>
                <w:kern w:val="0"/>
                <w:sz w:val="22"/>
                <w:szCs w:val="22"/>
              </w:rPr>
            </w:pPr>
            <w:r>
              <w:rPr>
                <w:rFonts w:hint="eastAsia" w:ascii="宋体" w:hAnsi="宋体" w:cs="宋体"/>
                <w:kern w:val="0"/>
                <w:sz w:val="22"/>
                <w:szCs w:val="22"/>
              </w:rPr>
              <w:t>　31.00</w:t>
            </w:r>
          </w:p>
        </w:tc>
        <w:tc>
          <w:tcPr>
            <w:tcW w:w="361" w:type="pct"/>
            <w:tcBorders>
              <w:top w:val="nil"/>
              <w:left w:val="nil"/>
              <w:bottom w:val="single" w:color="auto" w:sz="8" w:space="0"/>
              <w:right w:val="single" w:color="000000" w:sz="8" w:space="0"/>
            </w:tcBorders>
            <w:shd w:val="clear" w:color="auto" w:fill="auto"/>
            <w:vAlign w:val="center"/>
          </w:tcPr>
          <w:p>
            <w:pPr>
              <w:widowControl/>
              <w:jc w:val="left"/>
              <w:rPr>
                <w:rFonts w:ascii="宋体" w:hAnsi="宋体" w:cs="宋体"/>
                <w:kern w:val="0"/>
                <w:sz w:val="22"/>
                <w:szCs w:val="22"/>
              </w:rPr>
            </w:pPr>
            <w:r>
              <w:rPr>
                <w:rFonts w:hint="eastAsia" w:ascii="宋体" w:hAnsi="宋体" w:cs="宋体"/>
                <w:kern w:val="0"/>
                <w:sz w:val="22"/>
                <w:szCs w:val="22"/>
              </w:rPr>
              <w:t>　11.00</w:t>
            </w:r>
          </w:p>
        </w:tc>
        <w:tc>
          <w:tcPr>
            <w:tcW w:w="413" w:type="pct"/>
            <w:tcBorders>
              <w:top w:val="single" w:color="000000" w:sz="8" w:space="0"/>
              <w:left w:val="single" w:color="000000" w:sz="8" w:space="0"/>
              <w:bottom w:val="single" w:color="000000" w:sz="8" w:space="0"/>
              <w:right w:val="single" w:color="000000" w:sz="8" w:space="0"/>
            </w:tcBorders>
            <w:shd w:val="clear" w:color="auto" w:fill="FFFFFF"/>
            <w:vAlign w:val="center"/>
          </w:tcPr>
          <w:p>
            <w:pPr>
              <w:widowControl/>
              <w:jc w:val="left"/>
              <w:rPr>
                <w:rFonts w:ascii="宋体" w:hAnsi="宋体" w:cs="宋体"/>
                <w:kern w:val="0"/>
                <w:sz w:val="22"/>
                <w:szCs w:val="22"/>
              </w:rPr>
            </w:pPr>
            <w:r>
              <w:rPr>
                <w:rFonts w:hint="eastAsia" w:ascii="宋体" w:hAnsi="宋体" w:cs="宋体"/>
                <w:kern w:val="0"/>
                <w:sz w:val="22"/>
                <w:szCs w:val="22"/>
              </w:rPr>
              <w:t>24.15</w:t>
            </w:r>
          </w:p>
        </w:tc>
        <w:tc>
          <w:tcPr>
            <w:tcW w:w="451" w:type="pct"/>
            <w:gridSpan w:val="2"/>
            <w:tcBorders>
              <w:top w:val="single" w:color="000000" w:sz="8" w:space="0"/>
              <w:left w:val="single" w:color="000000" w:sz="8" w:space="0"/>
              <w:bottom w:val="single" w:color="000000" w:sz="8" w:space="0"/>
              <w:right w:val="single" w:color="000000" w:sz="8" w:space="0"/>
            </w:tcBorders>
            <w:shd w:val="clear" w:color="auto" w:fill="FFFFFF"/>
            <w:vAlign w:val="center"/>
          </w:tcPr>
          <w:p>
            <w:pPr>
              <w:widowControl/>
              <w:jc w:val="left"/>
              <w:rPr>
                <w:rFonts w:ascii="宋体" w:hAnsi="宋体" w:cs="宋体"/>
                <w:kern w:val="0"/>
                <w:sz w:val="22"/>
                <w:szCs w:val="22"/>
              </w:rPr>
            </w:pPr>
          </w:p>
        </w:tc>
        <w:tc>
          <w:tcPr>
            <w:tcW w:w="323" w:type="pct"/>
            <w:gridSpan w:val="2"/>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left"/>
              <w:rPr>
                <w:rFonts w:ascii="宋体" w:hAnsi="宋体" w:cs="宋体"/>
                <w:kern w:val="0"/>
                <w:sz w:val="22"/>
                <w:szCs w:val="22"/>
              </w:rPr>
            </w:pPr>
            <w:r>
              <w:rPr>
                <w:rFonts w:hint="eastAsia" w:ascii="宋体" w:hAnsi="宋体" w:cs="宋体"/>
                <w:kern w:val="0"/>
                <w:sz w:val="22"/>
                <w:szCs w:val="22"/>
              </w:rPr>
              <w:t>　23.49</w:t>
            </w:r>
          </w:p>
        </w:tc>
        <w:tc>
          <w:tcPr>
            <w:tcW w:w="387" w:type="pct"/>
            <w:gridSpan w:val="2"/>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left"/>
              <w:rPr>
                <w:rFonts w:ascii="宋体" w:hAnsi="宋体" w:cs="宋体"/>
                <w:kern w:val="0"/>
                <w:sz w:val="22"/>
                <w:szCs w:val="22"/>
              </w:rPr>
            </w:pPr>
            <w:r>
              <w:rPr>
                <w:rFonts w:hint="eastAsia" w:ascii="宋体" w:hAnsi="宋体" w:cs="宋体"/>
                <w:kern w:val="0"/>
                <w:sz w:val="22"/>
                <w:szCs w:val="22"/>
              </w:rPr>
              <w:t>　</w:t>
            </w:r>
          </w:p>
        </w:tc>
        <w:tc>
          <w:tcPr>
            <w:tcW w:w="452" w:type="pct"/>
            <w:gridSpan w:val="2"/>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left"/>
              <w:rPr>
                <w:rFonts w:ascii="宋体" w:hAnsi="宋体" w:cs="宋体"/>
                <w:kern w:val="0"/>
                <w:sz w:val="22"/>
                <w:szCs w:val="22"/>
              </w:rPr>
            </w:pPr>
            <w:r>
              <w:rPr>
                <w:rFonts w:hint="eastAsia" w:ascii="宋体" w:hAnsi="宋体" w:cs="宋体"/>
                <w:kern w:val="0"/>
                <w:sz w:val="22"/>
                <w:szCs w:val="22"/>
              </w:rPr>
              <w:t>　23.49</w:t>
            </w:r>
          </w:p>
        </w:tc>
        <w:tc>
          <w:tcPr>
            <w:tcW w:w="385" w:type="pct"/>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left"/>
              <w:rPr>
                <w:rFonts w:ascii="宋体" w:hAnsi="宋体" w:cs="宋体"/>
                <w:kern w:val="0"/>
                <w:sz w:val="22"/>
                <w:szCs w:val="22"/>
              </w:rPr>
            </w:pPr>
            <w:r>
              <w:rPr>
                <w:rFonts w:hint="eastAsia" w:ascii="宋体" w:hAnsi="宋体" w:cs="宋体"/>
                <w:kern w:val="0"/>
                <w:sz w:val="22"/>
                <w:szCs w:val="22"/>
              </w:rPr>
              <w:t>　0.66</w:t>
            </w:r>
          </w:p>
        </w:tc>
      </w:tr>
      <w:tr>
        <w:tblPrEx>
          <w:tblCellMar>
            <w:top w:w="0" w:type="dxa"/>
            <w:left w:w="108" w:type="dxa"/>
            <w:bottom w:w="0" w:type="dxa"/>
            <w:right w:w="108" w:type="dxa"/>
          </w:tblCellMar>
        </w:tblPrEx>
        <w:trPr>
          <w:trHeight w:val="915" w:hRule="atLeast"/>
        </w:trPr>
        <w:tc>
          <w:tcPr>
            <w:tcW w:w="5000" w:type="pct"/>
            <w:gridSpan w:val="16"/>
            <w:tcBorders>
              <w:top w:val="single" w:color="auto" w:sz="8" w:space="0"/>
              <w:left w:val="nil"/>
              <w:bottom w:val="nil"/>
              <w:right w:val="nil"/>
            </w:tcBorders>
            <w:shd w:val="clear" w:color="auto" w:fill="auto"/>
            <w:vAlign w:val="center"/>
          </w:tcPr>
          <w:p>
            <w:pPr>
              <w:widowControl/>
              <w:jc w:val="left"/>
              <w:rPr>
                <w:rFonts w:ascii="宋体" w:hAnsi="宋体" w:cs="宋体"/>
                <w:kern w:val="0"/>
                <w:sz w:val="22"/>
                <w:szCs w:val="22"/>
              </w:rPr>
            </w:pPr>
            <w:r>
              <w:rPr>
                <w:rFonts w:hint="eastAsia" w:ascii="宋体" w:hAnsi="宋体" w:cs="宋体"/>
                <w:kern w:val="0"/>
                <w:sz w:val="22"/>
                <w:szCs w:val="22"/>
              </w:rPr>
              <w:t xml:space="preserve"> </w:t>
            </w:r>
            <w:r>
              <w:rPr>
                <w:rFonts w:hint="eastAsia" w:ascii="仿宋_GB2312" w:hAnsi="宋体" w:eastAsia="仿宋_GB2312" w:cs="宋体"/>
                <w:kern w:val="0"/>
                <w:szCs w:val="21"/>
              </w:rPr>
              <w:t>注：本表反映部门本年度“三公”经费支出预决算情况。其中：预算数为“三公”经费年初预算数，决算数包括当年一般公共预算财政拨款和以前年度结转资金安排的实际支出。</w:t>
            </w:r>
          </w:p>
        </w:tc>
      </w:tr>
    </w:tbl>
    <w:p>
      <w:pPr>
        <w:rPr>
          <w:rFonts w:ascii="黑体" w:eastAsia="黑体"/>
          <w:b/>
          <w:sz w:val="30"/>
          <w:szCs w:val="30"/>
        </w:rPr>
        <w:sectPr>
          <w:pgSz w:w="16838" w:h="11906" w:orient="landscape"/>
          <w:pgMar w:top="1797" w:right="1440" w:bottom="1797" w:left="1440" w:header="851" w:footer="992" w:gutter="0"/>
          <w:cols w:space="425" w:num="1"/>
          <w:docGrid w:type="linesAndChars" w:linePitch="312" w:charSpace="0"/>
        </w:sectPr>
      </w:pPr>
    </w:p>
    <w:p>
      <w:pPr>
        <w:rPr>
          <w:rFonts w:ascii="黑体" w:eastAsia="黑体"/>
          <w:b/>
          <w:sz w:val="48"/>
          <w:szCs w:val="48"/>
        </w:rPr>
      </w:pPr>
    </w:p>
    <w:p>
      <w:pPr>
        <w:rPr>
          <w:rFonts w:ascii="黑体" w:eastAsia="黑体"/>
          <w:b/>
          <w:sz w:val="48"/>
          <w:szCs w:val="48"/>
        </w:rPr>
      </w:pPr>
    </w:p>
    <w:p>
      <w:pPr>
        <w:rPr>
          <w:rFonts w:ascii="黑体" w:eastAsia="黑体"/>
          <w:b/>
          <w:sz w:val="48"/>
          <w:szCs w:val="48"/>
        </w:rPr>
      </w:pPr>
    </w:p>
    <w:p>
      <w:pPr>
        <w:rPr>
          <w:rFonts w:ascii="黑体" w:eastAsia="黑体"/>
          <w:b/>
          <w:sz w:val="52"/>
          <w:szCs w:val="52"/>
        </w:rPr>
      </w:pPr>
    </w:p>
    <w:p>
      <w:pPr>
        <w:rPr>
          <w:rFonts w:ascii="黑体" w:eastAsia="黑体"/>
          <w:b/>
          <w:sz w:val="52"/>
          <w:szCs w:val="52"/>
        </w:rPr>
      </w:pPr>
    </w:p>
    <w:p>
      <w:pPr>
        <w:rPr>
          <w:rFonts w:ascii="黑体" w:eastAsia="黑体"/>
          <w:sz w:val="52"/>
          <w:szCs w:val="52"/>
        </w:rPr>
      </w:pPr>
      <w:r>
        <w:rPr>
          <w:rFonts w:hint="eastAsia" w:ascii="黑体" w:eastAsia="黑体"/>
          <w:sz w:val="52"/>
          <w:szCs w:val="52"/>
        </w:rPr>
        <w:t>第三部分</w:t>
      </w:r>
    </w:p>
    <w:p>
      <w:pPr>
        <w:rPr>
          <w:rFonts w:ascii="黑体" w:eastAsia="黑体"/>
          <w:sz w:val="52"/>
          <w:szCs w:val="52"/>
        </w:rPr>
      </w:pPr>
    </w:p>
    <w:p>
      <w:pPr>
        <w:rPr>
          <w:rFonts w:ascii="黑体" w:eastAsia="黑体"/>
          <w:sz w:val="52"/>
          <w:szCs w:val="52"/>
        </w:rPr>
      </w:pPr>
    </w:p>
    <w:p>
      <w:pPr>
        <w:rPr>
          <w:rFonts w:ascii="黑体" w:eastAsia="黑体"/>
          <w:sz w:val="52"/>
          <w:szCs w:val="52"/>
        </w:rPr>
      </w:pPr>
    </w:p>
    <w:p>
      <w:pPr>
        <w:ind w:left="277" w:leftChars="8" w:hanging="260" w:hangingChars="50"/>
        <w:jc w:val="center"/>
        <w:rPr>
          <w:rFonts w:ascii="黑体" w:eastAsia="黑体"/>
          <w:sz w:val="52"/>
          <w:szCs w:val="52"/>
        </w:rPr>
      </w:pPr>
      <w:r>
        <w:rPr>
          <w:rFonts w:hint="eastAsia" w:ascii="黑体" w:eastAsia="黑体"/>
          <w:sz w:val="52"/>
          <w:szCs w:val="52"/>
        </w:rPr>
        <w:t>2017年度部门决算情况          和重要事项说明</w:t>
      </w:r>
    </w:p>
    <w:p>
      <w:pPr>
        <w:rPr>
          <w:rFonts w:ascii="黑体" w:eastAsia="黑体"/>
          <w:b/>
          <w:sz w:val="30"/>
          <w:szCs w:val="30"/>
        </w:rPr>
      </w:pPr>
    </w:p>
    <w:p>
      <w:pPr>
        <w:rPr>
          <w:rFonts w:ascii="黑体" w:eastAsia="黑体"/>
          <w:b/>
          <w:sz w:val="30"/>
          <w:szCs w:val="30"/>
        </w:rPr>
      </w:pPr>
    </w:p>
    <w:p>
      <w:pPr>
        <w:rPr>
          <w:rFonts w:ascii="黑体" w:eastAsia="黑体"/>
          <w:b/>
          <w:sz w:val="30"/>
          <w:szCs w:val="30"/>
        </w:rPr>
      </w:pPr>
    </w:p>
    <w:p>
      <w:pPr>
        <w:rPr>
          <w:rFonts w:ascii="黑体" w:eastAsia="黑体"/>
          <w:b/>
          <w:sz w:val="30"/>
          <w:szCs w:val="30"/>
        </w:rPr>
      </w:pPr>
    </w:p>
    <w:p>
      <w:pPr>
        <w:rPr>
          <w:rFonts w:ascii="黑体" w:eastAsia="黑体"/>
          <w:b/>
          <w:sz w:val="30"/>
          <w:szCs w:val="30"/>
        </w:rPr>
      </w:pPr>
    </w:p>
    <w:p>
      <w:pPr>
        <w:rPr>
          <w:rFonts w:ascii="黑体" w:eastAsia="黑体"/>
          <w:b/>
          <w:sz w:val="30"/>
          <w:szCs w:val="30"/>
        </w:rPr>
      </w:pPr>
    </w:p>
    <w:p>
      <w:pPr>
        <w:rPr>
          <w:rFonts w:ascii="黑体" w:eastAsia="黑体"/>
          <w:b/>
          <w:sz w:val="30"/>
          <w:szCs w:val="30"/>
        </w:rPr>
      </w:pPr>
    </w:p>
    <w:p>
      <w:pPr>
        <w:spacing w:line="580" w:lineRule="exact"/>
        <w:ind w:firstLine="640" w:firstLineChars="200"/>
        <w:rPr>
          <w:rFonts w:ascii="黑体" w:hAnsi="黑体" w:eastAsia="黑体"/>
          <w:sz w:val="32"/>
          <w:szCs w:val="32"/>
        </w:rPr>
      </w:pPr>
      <w:r>
        <w:rPr>
          <w:rFonts w:hint="eastAsia" w:ascii="黑体" w:hAnsi="黑体" w:eastAsia="黑体"/>
          <w:sz w:val="32"/>
          <w:szCs w:val="32"/>
        </w:rPr>
        <w:t>一、2017年度部门决算情况说明</w:t>
      </w:r>
    </w:p>
    <w:p>
      <w:pPr>
        <w:spacing w:line="580" w:lineRule="exact"/>
        <w:ind w:firstLine="640" w:firstLineChars="200"/>
        <w:rPr>
          <w:rFonts w:ascii="楷体_GB2312" w:eastAsia="楷体_GB2312"/>
          <w:sz w:val="32"/>
          <w:szCs w:val="32"/>
        </w:rPr>
      </w:pPr>
      <w:r>
        <w:rPr>
          <w:rFonts w:hint="eastAsia" w:ascii="楷体_GB2312" w:eastAsia="楷体_GB2312"/>
          <w:sz w:val="32"/>
          <w:szCs w:val="32"/>
        </w:rPr>
        <w:t>（一）收入支出决算总体情况</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2017年度收入总计 18547.64 万元。与2016年相比，收入增加  5129.35  万元，增长  27.66  %。主要原因是教育收入增加。</w:t>
      </w:r>
    </w:p>
    <w:p>
      <w:pPr>
        <w:spacing w:line="580" w:lineRule="exact"/>
        <w:rPr>
          <w:rFonts w:ascii="仿宋_GB2312" w:eastAsia="仿宋_GB2312"/>
          <w:sz w:val="32"/>
          <w:szCs w:val="32"/>
        </w:rPr>
      </w:pPr>
    </w:p>
    <w:p>
      <w:pPr>
        <w:spacing w:line="580" w:lineRule="exact"/>
        <w:rPr>
          <w:rFonts w:ascii="仿宋_GB2312" w:eastAsia="仿宋_GB2312"/>
          <w:sz w:val="32"/>
          <w:szCs w:val="32"/>
        </w:rPr>
      </w:pPr>
    </w:p>
    <w:p>
      <w:pPr>
        <w:ind w:firstLine="420" w:firstLineChars="200"/>
      </w:pPr>
      <w:r>
        <w:drawing>
          <wp:inline distT="0" distB="0" distL="0" distR="0">
            <wp:extent cx="4886325" cy="2171700"/>
            <wp:effectExtent l="19050" t="0" r="9525" b="0"/>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pPr>
        <w:ind w:firstLine="420" w:firstLineChars="200"/>
      </w:pPr>
    </w:p>
    <w:p>
      <w:pPr>
        <w:ind w:firstLine="420" w:firstLineChars="200"/>
      </w:pPr>
    </w:p>
    <w:p>
      <w:pPr>
        <w:ind w:firstLine="420" w:firstLineChars="200"/>
      </w:pPr>
    </w:p>
    <w:p>
      <w:pPr>
        <w:spacing w:line="580" w:lineRule="exact"/>
        <w:ind w:firstLine="640" w:firstLineChars="200"/>
        <w:rPr>
          <w:rFonts w:ascii="仿宋_GB2312" w:eastAsia="仿宋_GB2312"/>
          <w:sz w:val="32"/>
          <w:szCs w:val="32"/>
        </w:rPr>
      </w:pPr>
      <w:r>
        <w:rPr>
          <w:rFonts w:hint="eastAsia" w:ascii="仿宋_GB2312" w:eastAsia="仿宋_GB2312"/>
          <w:sz w:val="32"/>
          <w:szCs w:val="32"/>
        </w:rPr>
        <w:t>2017年度支出总计 18547.64 万元。与2016年相比，支出增加  5129.35  万元，增长  27.66  %。主要原因是教育支出增加。</w:t>
      </w:r>
    </w:p>
    <w:p>
      <w:pPr>
        <w:spacing w:line="580" w:lineRule="exact"/>
        <w:rPr>
          <w:rFonts w:ascii="仿宋_GB2312" w:eastAsia="仿宋_GB2312"/>
          <w:sz w:val="32"/>
          <w:szCs w:val="32"/>
        </w:rPr>
      </w:pPr>
      <w:r>
        <w:rPr>
          <w:rFonts w:hint="eastAsia" w:ascii="仿宋_GB2312" w:eastAsia="仿宋_GB2312"/>
          <w:sz w:val="32"/>
          <w:szCs w:val="32"/>
        </w:rPr>
        <w:t xml:space="preserve"> </w:t>
      </w:r>
    </w:p>
    <w:p>
      <w:pPr>
        <w:spacing w:line="580" w:lineRule="exact"/>
        <w:rPr>
          <w:rFonts w:ascii="仿宋_GB2312" w:eastAsia="仿宋_GB2312"/>
          <w:sz w:val="32"/>
          <w:szCs w:val="32"/>
        </w:rPr>
      </w:pPr>
    </w:p>
    <w:p>
      <w:pPr>
        <w:ind w:firstLine="420" w:firstLineChars="200"/>
      </w:pPr>
      <w:r>
        <w:drawing>
          <wp:inline distT="0" distB="0" distL="0" distR="0">
            <wp:extent cx="4933950" cy="3152775"/>
            <wp:effectExtent l="19050" t="0" r="19050" b="0"/>
            <wp:docPr id="40" name="图表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pPr>
        <w:spacing w:line="580" w:lineRule="exact"/>
        <w:ind w:firstLine="640" w:firstLineChars="200"/>
        <w:rPr>
          <w:rFonts w:ascii="楷体_GB2312" w:eastAsia="楷体_GB2312"/>
          <w:sz w:val="32"/>
          <w:szCs w:val="32"/>
        </w:rPr>
      </w:pPr>
    </w:p>
    <w:p>
      <w:pPr>
        <w:spacing w:line="580" w:lineRule="exact"/>
        <w:ind w:firstLine="640" w:firstLineChars="200"/>
        <w:rPr>
          <w:rFonts w:ascii="楷体_GB2312" w:eastAsia="楷体_GB2312"/>
          <w:sz w:val="32"/>
          <w:szCs w:val="32"/>
        </w:rPr>
      </w:pPr>
      <w:r>
        <w:rPr>
          <w:rFonts w:hint="eastAsia" w:ascii="楷体_GB2312" w:eastAsia="楷体_GB2312"/>
          <w:sz w:val="32"/>
          <w:szCs w:val="32"/>
        </w:rPr>
        <w:t>（二）收入决算情况</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本年收入合计 18547.64 万元，其中：财政拨款收入  18547.64万元，占 100 %。</w:t>
      </w:r>
    </w:p>
    <w:p>
      <w:pPr>
        <w:spacing w:line="580" w:lineRule="exact"/>
        <w:rPr>
          <w:rFonts w:ascii="仿宋_GB2312" w:eastAsia="仿宋_GB2312"/>
          <w:sz w:val="32"/>
          <w:szCs w:val="32"/>
        </w:rPr>
      </w:pPr>
    </w:p>
    <w:p>
      <w:pPr>
        <w:ind w:firstLine="735" w:firstLineChars="350"/>
      </w:pPr>
      <w:r>
        <w:drawing>
          <wp:inline distT="0" distB="0" distL="0" distR="0">
            <wp:extent cx="4305300" cy="2190750"/>
            <wp:effectExtent l="19050" t="0" r="19050" b="0"/>
            <wp:docPr id="36" name="图表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spacing w:line="580" w:lineRule="exact"/>
        <w:ind w:firstLine="640" w:firstLineChars="200"/>
        <w:rPr>
          <w:rFonts w:ascii="仿宋_GB2312" w:eastAsia="仿宋_GB2312"/>
          <w:sz w:val="32"/>
          <w:szCs w:val="32"/>
        </w:rPr>
      </w:pPr>
    </w:p>
    <w:p>
      <w:pPr>
        <w:spacing w:line="580" w:lineRule="exact"/>
        <w:ind w:firstLine="640" w:firstLineChars="200"/>
        <w:rPr>
          <w:rFonts w:ascii="楷体_GB2312" w:eastAsia="楷体_GB2312"/>
          <w:sz w:val="32"/>
          <w:szCs w:val="32"/>
        </w:rPr>
      </w:pPr>
      <w:r>
        <w:rPr>
          <w:rFonts w:hint="eastAsia" w:ascii="楷体_GB2312" w:eastAsia="楷体_GB2312"/>
          <w:sz w:val="32"/>
          <w:szCs w:val="32"/>
        </w:rPr>
        <w:t>（三）支出决算情况</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本年支出合计 18547.64  万元，其中：基本支出 3983.27  万元，占 21.48  %；项目支出 14564.37 万元，占 78.52 %。</w:t>
      </w:r>
    </w:p>
    <w:p>
      <w:pPr>
        <w:spacing w:line="580" w:lineRule="exact"/>
        <w:ind w:firstLine="640" w:firstLineChars="200"/>
        <w:rPr>
          <w:rFonts w:ascii="仿宋_GB2312" w:eastAsia="仿宋_GB2312"/>
          <w:sz w:val="32"/>
          <w:szCs w:val="32"/>
        </w:rPr>
      </w:pPr>
    </w:p>
    <w:p>
      <w:pPr>
        <w:ind w:firstLine="630" w:firstLineChars="300"/>
      </w:pPr>
      <w:r>
        <w:drawing>
          <wp:inline distT="0" distB="0" distL="0" distR="0">
            <wp:extent cx="4572000" cy="2743200"/>
            <wp:effectExtent l="19050" t="0" r="19050" b="0"/>
            <wp:docPr id="39" name="图表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spacing w:line="580" w:lineRule="exact"/>
        <w:rPr>
          <w:rFonts w:ascii="黑体" w:hAnsi="黑体" w:eastAsia="黑体"/>
          <w:b/>
          <w:sz w:val="32"/>
          <w:szCs w:val="32"/>
        </w:rPr>
      </w:pPr>
    </w:p>
    <w:p>
      <w:pPr>
        <w:spacing w:line="580" w:lineRule="exact"/>
        <w:ind w:firstLine="600"/>
        <w:rPr>
          <w:rFonts w:ascii="楷体_GB2312" w:eastAsia="楷体_GB2312"/>
          <w:sz w:val="32"/>
          <w:szCs w:val="32"/>
        </w:rPr>
      </w:pPr>
      <w:r>
        <w:rPr>
          <w:rFonts w:hint="eastAsia" w:ascii="楷体_GB2312" w:eastAsia="楷体_GB2312"/>
          <w:sz w:val="32"/>
          <w:szCs w:val="32"/>
        </w:rPr>
        <w:t>（四）财政拨款收入支出决算总体情况</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2017年度财政拨款收入总计18547.64万元。其中：一般公共预算财政拨款16679.5万元，占89.93%；政府性基金预算财政拨款1868.14万元，占10.07%；年初财政拨款结转和结余0万元，占0%。与2016年相比，财政拨款收入总计增加5129.35万元，增长27.66%。主要是教育收入增加。</w:t>
      </w:r>
    </w:p>
    <w:p>
      <w:pPr>
        <w:spacing w:line="580" w:lineRule="exact"/>
        <w:rPr>
          <w:rFonts w:ascii="仿宋_GB2312" w:eastAsia="仿宋_GB2312"/>
          <w:sz w:val="32"/>
          <w:szCs w:val="32"/>
        </w:rPr>
      </w:pPr>
    </w:p>
    <w:p>
      <w:pPr>
        <w:ind w:firstLine="525" w:firstLineChars="250"/>
      </w:pPr>
      <w:r>
        <w:drawing>
          <wp:inline distT="0" distB="0" distL="0" distR="0">
            <wp:extent cx="4429125" cy="2124075"/>
            <wp:effectExtent l="19050" t="0" r="9525" b="0"/>
            <wp:docPr id="41" name="图表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2017年度财政拨款支出总计18547.64万元。其中：一般公共服务（类）支出 514.88  万元，占 2.78  %；教育（类）支出  6532.20 万元，占 35.22  %；文化体育与传媒（类）支出28.74万元，占0.15 %；社会保障和就业（类）支出231.21万元，占1.25  %；医疗卫生与计划生育（类）支出122.29万元，占0.66  %；城乡社区（类）支出7785.04万元，占41.97  %；农林水（类）支出2902.12万元，占15.65  %；商业服务业等（类）支出60万元，占 0.32 %国土海洋气象（类）支出300万元，占1.62 %；住房保障（类）支出71.16万元，占0.38  %，主要是2017年教育支出增加。</w:t>
      </w:r>
    </w:p>
    <w:p>
      <w:pPr>
        <w:spacing w:line="580" w:lineRule="exact"/>
        <w:rPr>
          <w:rFonts w:ascii="仿宋_GB2312" w:eastAsia="仿宋_GB2312"/>
          <w:sz w:val="32"/>
          <w:szCs w:val="32"/>
        </w:rPr>
      </w:pPr>
    </w:p>
    <w:p>
      <w:pPr>
        <w:ind w:firstLine="630" w:firstLineChars="300"/>
      </w:pPr>
      <w:r>
        <w:drawing>
          <wp:inline distT="0" distB="0" distL="0" distR="0">
            <wp:extent cx="4438650" cy="2143125"/>
            <wp:effectExtent l="19050" t="0" r="19050" b="0"/>
            <wp:docPr id="42" name="图表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spacing w:line="580" w:lineRule="exact"/>
        <w:ind w:firstLine="600"/>
        <w:rPr>
          <w:rFonts w:ascii="楷体_GB2312" w:eastAsia="楷体_GB2312"/>
          <w:sz w:val="32"/>
          <w:szCs w:val="32"/>
        </w:rPr>
      </w:pPr>
    </w:p>
    <w:p>
      <w:pPr>
        <w:spacing w:line="580" w:lineRule="exact"/>
        <w:ind w:firstLine="600"/>
        <w:rPr>
          <w:rFonts w:ascii="楷体_GB2312" w:eastAsia="楷体_GB2312"/>
          <w:sz w:val="32"/>
          <w:szCs w:val="32"/>
        </w:rPr>
      </w:pPr>
      <w:r>
        <w:rPr>
          <w:rFonts w:hint="eastAsia" w:ascii="楷体_GB2312" w:eastAsia="楷体_GB2312"/>
          <w:sz w:val="32"/>
          <w:szCs w:val="32"/>
        </w:rPr>
        <w:t>（五）一般公共预算财政拨款支出决算情况</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1、一般公共预算财政拨款支出决算总体情况</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2017年度一般公共预算财政拨款支出 16679.50   万元，占本年支出合计的 89.93  %。与2016年相比，一般公共预算财政拨款支出增长  6973.3  万元，增长  71.84  %。主要是教育支出增加。</w:t>
      </w:r>
    </w:p>
    <w:p>
      <w:pPr>
        <w:spacing w:line="580" w:lineRule="exact"/>
        <w:ind w:firstLine="640" w:firstLineChars="200"/>
        <w:rPr>
          <w:rFonts w:ascii="仿宋_GB2312" w:eastAsia="仿宋_GB2312"/>
          <w:sz w:val="32"/>
          <w:szCs w:val="32"/>
        </w:rPr>
      </w:pPr>
    </w:p>
    <w:p>
      <w:pPr>
        <w:spacing w:line="580" w:lineRule="exact"/>
        <w:ind w:firstLine="640" w:firstLineChars="200"/>
        <w:rPr>
          <w:rFonts w:ascii="仿宋_GB2312" w:eastAsia="仿宋_GB2312"/>
          <w:sz w:val="32"/>
          <w:szCs w:val="32"/>
        </w:rPr>
      </w:pPr>
    </w:p>
    <w:p>
      <w:pPr>
        <w:ind w:firstLine="420" w:firstLineChars="200"/>
      </w:pPr>
      <w:r>
        <w:drawing>
          <wp:inline distT="0" distB="0" distL="0" distR="0">
            <wp:extent cx="4752975" cy="3143250"/>
            <wp:effectExtent l="19050" t="0" r="9525" b="0"/>
            <wp:docPr id="43" name="图表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spacing w:line="580" w:lineRule="exact"/>
        <w:ind w:firstLine="640" w:firstLineChars="200"/>
        <w:rPr>
          <w:rFonts w:ascii="仿宋_GB2312" w:eastAsia="仿宋_GB2312"/>
          <w:sz w:val="32"/>
          <w:szCs w:val="32"/>
        </w:rPr>
      </w:pPr>
    </w:p>
    <w:p>
      <w:pPr>
        <w:spacing w:line="580" w:lineRule="exact"/>
        <w:ind w:firstLine="640" w:firstLineChars="200"/>
        <w:rPr>
          <w:rFonts w:ascii="仿宋_GB2312" w:eastAsia="仿宋_GB2312"/>
          <w:sz w:val="32"/>
          <w:szCs w:val="32"/>
        </w:rPr>
      </w:pPr>
      <w:r>
        <w:rPr>
          <w:rFonts w:hint="eastAsia" w:ascii="仿宋_GB2312" w:eastAsia="仿宋_GB2312"/>
          <w:sz w:val="32"/>
          <w:szCs w:val="32"/>
        </w:rPr>
        <w:t>2、一般公共预算财政拨款支出决算结构情况</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2017年度一般公共预算财政拨款支出  16679.50  万元，主要用于以下方面：一般公共服务（类）支出 514.88  万元，占 3.09  %；教育（类）支出  6532.20 万元，占 39.16  %；文化体育与传媒（类）支出28.74万元，占0.17 %；社会保障和就业（类）支出231.21万元，占1.39  %；医疗卫生与计划生育（类）支出122.29万元，占0.73  %；城乡社区（类）支出5916.90万元，占35.47  %；农林水（类）支出2902.12万元，占17.40  %；商业服务业等（类）支出60万元，占 0.36 %国土海洋气象（类）支出300万元，占1.80 %；住房保障（类）支出71.16万元，占0.43  %。</w:t>
      </w:r>
    </w:p>
    <w:p>
      <w:pPr>
        <w:spacing w:line="580" w:lineRule="exact"/>
        <w:ind w:firstLine="640" w:firstLineChars="200"/>
        <w:rPr>
          <w:rFonts w:ascii="仿宋_GB2312" w:eastAsia="仿宋_GB2312"/>
          <w:sz w:val="32"/>
          <w:szCs w:val="32"/>
        </w:rPr>
      </w:pPr>
    </w:p>
    <w:p>
      <w:pPr>
        <w:spacing w:line="580" w:lineRule="exact"/>
        <w:ind w:firstLine="640" w:firstLineChars="200"/>
        <w:rPr>
          <w:rFonts w:ascii="仿宋_GB2312" w:eastAsia="仿宋_GB2312"/>
          <w:sz w:val="32"/>
          <w:szCs w:val="32"/>
        </w:rPr>
      </w:pPr>
      <w:r>
        <w:rPr>
          <w:rFonts w:hint="eastAsia" w:ascii="仿宋_GB2312" w:eastAsia="仿宋_GB2312"/>
          <w:sz w:val="32"/>
          <w:szCs w:val="32"/>
        </w:rPr>
        <w:t xml:space="preserve"> </w:t>
      </w:r>
    </w:p>
    <w:p>
      <w:pPr>
        <w:ind w:firstLine="525" w:firstLineChars="250"/>
      </w:pPr>
      <w:r>
        <w:drawing>
          <wp:inline distT="0" distB="0" distL="0" distR="0">
            <wp:extent cx="4486275" cy="3762375"/>
            <wp:effectExtent l="19050" t="0" r="9525" b="0"/>
            <wp:docPr id="44" name="图表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spacing w:line="580" w:lineRule="exact"/>
        <w:ind w:firstLine="640" w:firstLineChars="200"/>
        <w:rPr>
          <w:rFonts w:ascii="仿宋_GB2312" w:eastAsia="仿宋_GB2312"/>
          <w:sz w:val="32"/>
          <w:szCs w:val="32"/>
        </w:rPr>
      </w:pPr>
    </w:p>
    <w:p>
      <w:pPr>
        <w:spacing w:line="580" w:lineRule="exact"/>
        <w:ind w:firstLine="640" w:firstLineChars="200"/>
        <w:rPr>
          <w:rFonts w:ascii="仿宋_GB2312" w:eastAsia="仿宋_GB2312"/>
          <w:sz w:val="32"/>
          <w:szCs w:val="32"/>
        </w:rPr>
      </w:pPr>
      <w:r>
        <w:rPr>
          <w:rFonts w:hint="eastAsia" w:ascii="仿宋_GB2312" w:eastAsia="仿宋_GB2312"/>
          <w:sz w:val="32"/>
          <w:szCs w:val="32"/>
        </w:rPr>
        <w:t>3、一般公共预算财政拨款支出决算具体情况</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2017年度一般公共预算财政拨款支出年初预算为 18515.64  万元，支出决算为  18547.64  万元，完成年初预算的  100.17  %。决算数与年初预算基本持平。其中：</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（1）一般公共服务（类）人大事务（款）行政运行（项）。主要反映用于人大人员工资、日常运转及完成工作任务的支出。年初预算为 12.74 万元，支出决算为12.74 万元，完成年初预算的  100  %。决算数与年初预算基本持平主要原因是人员无变动，支出基本无变化。</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（2）一般公共服务（类）政府办公厅（室）及相关机构事务（款）行政运行（项）。主要反映用于政府人员工资、日常运转及完成工作任务的支出。年初预算为350.93 万元，支出决算为 360.93 万元，完成年初预算的 102.85 %。决算数大于年初预算数主要原因是新进公务员2人，支出稍微增加。</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（3）一般公共服务（类）财政事务（款）行政运行（项）。主要反映用于财政人员工资、日常运转及完成工作任务的支出。年初预算为 68.62 万元，支出决算为 68.62万元，完成年初预算的  100  %。决算数与年初预算基本持平主要原因是人员无变动，支出基本无变化。</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（4）一般公共服务（类）党委办公厅（室）及相关机构事务（款）行政运行（项）。主要反映用于党委人员工资、日常运转及完成工作任务的支出。年初预算为72.58 万元，支出决算为 72.58 万元，完成年初预算的  100  %。决算数与年初预算基本持平主要原因是人员基本无变动，所需费用基本无变化。</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（5）教育支出（类）普通教育（款）其他普通教育支出（项）。主要反映用于支持地方教育的支出。年初预算为 6532.20万元，支出决算为 6532.20万元，完成年初预算的  100 %。决算数与年初预算基本持平主要原因是教育基础设施投入费用上下浮动不大。</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（6）文化体育与传媒支出（类）文化（款）行政运行（项）。主要反映用于文化站人员工资、日常运转及完成工作任务的支出。年初预算为25.74 万元，支出决算为28.74 万元，完成年初预算的  111.66  %。决算数与年初预算基本持平主要原因是人员无变动，用于文化方面的支出相对稳定。</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（7）社会保障和就业支出（类）人力资源和社会保障管理事务（款）行政运行（项）。主要反映用于保障所人员工资、日常运转及完成工作任务的支出。年初预算为 46.71 万元，支出决算为 46.71 万元，完成年初预算的 100  %。决算数与年初预算基本持平主要原因是人员无变动，用于社会保障方面的支出相对稳定。</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（8）社会保障和就业支出（类）抚恤（款）死亡抚恤（项）。主要反映用于对死亡人员的抚恤支出。年初预算为 163.30 万元，支出决算为 168.30 万元，完成年初预算的 103.06 %。决算数与年初预算基本持平主要原因是每年死亡人数变动幅度不大。</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（9）社会保障和就业支出（类）抚恤（款）其他优抚支出（项）。主要反映用于对其他人员的抚恤支出。年初预算为 6.78 万元，支出决算为 11.78万元，完成年初预算的 173.75 %。决算数大于年初预算数主要原因是应用于其他优抚人员的费用增大。</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（10）社会保障和就业支出（类）其他社会保障和就业支出（款）其他社会保障和就业支出（项）。主要反映用于其他社会保障和就业的支出。年初预算为 4.41 万元，支出决算为 4.41万元，完成年初预算的 100  %。决算数与年初预算基本持平主要原因是用于其他社会保障和就业相对持平。</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（11）医疗卫生与计划生育支出（类）医疗卫生与计划生育管理事务（款）行政运行（项）。主要反映用于对计生人员的工资、日常业务支出。年初预算为 76.07 万元，支出决算为 78.07万元，完成年初预算的 102.63  %。决算数大于年初预算主要原因是计划生育人员增加1人，人员及公用经费都有所增加。</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（12）医疗卫生与计划生育支出（类）行政事业单位医疗（款）行政单位医疗（项）。主要反映用于行政单位人员的医疗支出。年初预算为 16.79 万元，支出决算为 16.79万元，完成年初预算的 100  %。决算数与年初预算基本持平主要原因是人员上下浮动不大，支出变化不大。</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（13）医疗卫生与计划生育支出（类）行政事业单位医疗（款）事业单位医疗（项）。主要反映用于事业单位人员的医疗支出。年初预算为 27.44 万元，支出决算为 27.44万元，完成年初预算的 100  %。决算数与年初预算基本持平主要原因是人员上下浮动不大，支出变化不大。</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（14）城乡社区支出（类）城乡社区管理事务（款）机关服务（项）。主要反映用于工业园人员工资、日常业务支出。年初预算为 47.87 万元，支出决算为 52.87万元，完成年初预算的 110.44  %。决算数大于年初预算数主要原因是新考录2人，调入1人，工资支出变大。</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（15）城乡社区支出（类）城乡社区公共设施（款）小城镇基础设施建设（项）。主要反映用于小城镇基础设施建设支出。年初预算为500 万元，支出决算为 500万元，完成年初预算的 100  %。决算数与年初预算基本持平主要原因是用于小城镇基础设施建设的支出变化不大。</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（16）城乡社区支出（类）城乡社区公共设施（款）其他城乡社区公共设施支出（项）。主要反映用于其他城乡社区公共设施支出。年初预算为5364.03 万元，支出决算为 5364.03万元，完成年初预算的 100  %。决算数与年初预算基本持平主要原因是用于其他城乡社区公共设施的支出变化不大。</w:t>
      </w:r>
    </w:p>
    <w:p>
      <w:pPr>
        <w:spacing w:line="580" w:lineRule="exact"/>
        <w:ind w:firstLine="640" w:firstLineChars="200"/>
        <w:rPr>
          <w:rFonts w:ascii="仿宋_GB2312" w:eastAsia="仿宋_GB2312"/>
          <w:b/>
          <w:sz w:val="32"/>
          <w:szCs w:val="32"/>
          <w:highlight w:val="lightGray"/>
        </w:rPr>
      </w:pPr>
      <w:r>
        <w:rPr>
          <w:rFonts w:hint="eastAsia" w:ascii="仿宋_GB2312" w:eastAsia="仿宋_GB2312"/>
          <w:sz w:val="32"/>
          <w:szCs w:val="32"/>
        </w:rPr>
        <w:t>（17）农林水支出（类）农业（款）行政运行（项）。主要反映用于农业人员工资、日常业务支出。年初预算为 172.81 万元，支出决算为 174.81万元，完成年初预算的 101.16  %。决算数与年初预算基本持平主要原因是用于农业人员工资、日常开支变化不大。</w:t>
      </w:r>
    </w:p>
    <w:p>
      <w:pPr>
        <w:spacing w:line="580" w:lineRule="exact"/>
        <w:ind w:firstLine="640" w:firstLineChars="200"/>
        <w:rPr>
          <w:rFonts w:ascii="仿宋_GB2312" w:eastAsia="仿宋_GB2312"/>
          <w:b/>
          <w:sz w:val="32"/>
          <w:szCs w:val="32"/>
          <w:highlight w:val="lightGray"/>
        </w:rPr>
      </w:pPr>
      <w:r>
        <w:rPr>
          <w:rFonts w:hint="eastAsia" w:ascii="仿宋_GB2312" w:eastAsia="仿宋_GB2312"/>
          <w:sz w:val="32"/>
          <w:szCs w:val="32"/>
        </w:rPr>
        <w:t>（18）农林水支出（类）农业（款）石油价格改革对渔业的补贴（项）。主要反映用于渔船油补支出。年初预算为1681.43万元，支出决算为 1681.43万元，完成年初预算的100%。决算数与年初预算基本持平主要原因是用于渔船油补的费用变化不大。</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（19）农林水支出（类）林业（款）行政运行（项）。主要反映用于林业人员工资、日常业务支出。年初预算为 23.26 万元，支出决算为 23.26万元，完成年初预算的 100  %。决算数与年初预算基本持平主要原因是用于林业人员工资、日常开支变化不大。</w:t>
      </w:r>
    </w:p>
    <w:p>
      <w:pPr>
        <w:spacing w:line="580" w:lineRule="exact"/>
        <w:ind w:firstLine="640" w:firstLineChars="200"/>
        <w:rPr>
          <w:rFonts w:ascii="仿宋_GB2312" w:eastAsia="仿宋_GB2312"/>
          <w:b/>
          <w:sz w:val="32"/>
          <w:szCs w:val="32"/>
          <w:highlight w:val="lightGray"/>
        </w:rPr>
      </w:pPr>
      <w:r>
        <w:rPr>
          <w:rFonts w:hint="eastAsia" w:ascii="仿宋_GB2312" w:eastAsia="仿宋_GB2312"/>
          <w:sz w:val="32"/>
          <w:szCs w:val="32"/>
        </w:rPr>
        <w:t>（20）农林水支出（类）水利（款）行政运行（项）。主要反映用于水利人员工资、日常业务支出。年初预算为 23.19 万元，支出决算为 23.19万元，完成年初预算的 100  %。决算数与年初预算基本持平主要原因是用于水利人员工资、日常开支变化不大。</w:t>
      </w:r>
    </w:p>
    <w:p>
      <w:pPr>
        <w:spacing w:line="580" w:lineRule="exact"/>
        <w:ind w:firstLine="640" w:firstLineChars="200"/>
        <w:rPr>
          <w:rFonts w:ascii="仿宋_GB2312" w:eastAsia="仿宋_GB2312"/>
          <w:b/>
          <w:sz w:val="32"/>
          <w:szCs w:val="32"/>
          <w:highlight w:val="lightGray"/>
        </w:rPr>
      </w:pPr>
      <w:r>
        <w:rPr>
          <w:rFonts w:hint="eastAsia" w:ascii="仿宋_GB2312" w:eastAsia="仿宋_GB2312"/>
          <w:sz w:val="32"/>
          <w:szCs w:val="32"/>
        </w:rPr>
        <w:t>（21）农林水支出（类）农村综合改革（款）对村级一事一议的补助（项）。主要反映用于村级一事一议支出。年初预算为 545.5万元，支出决算为545.5万元，完成年初预算的 100  %。决算数与年初预算基本持平主要原因是用于村级一事一议费用稳定。</w:t>
      </w:r>
    </w:p>
    <w:p>
      <w:pPr>
        <w:spacing w:line="580" w:lineRule="exact"/>
        <w:ind w:firstLine="640" w:firstLineChars="200"/>
        <w:rPr>
          <w:rFonts w:ascii="仿宋_GB2312" w:eastAsia="仿宋_GB2312"/>
          <w:b/>
          <w:sz w:val="32"/>
          <w:szCs w:val="32"/>
          <w:highlight w:val="lightGray"/>
        </w:rPr>
      </w:pPr>
      <w:r>
        <w:rPr>
          <w:rFonts w:hint="eastAsia" w:ascii="仿宋_GB2312" w:eastAsia="仿宋_GB2312"/>
          <w:sz w:val="32"/>
          <w:szCs w:val="32"/>
        </w:rPr>
        <w:t>（22）农林水支出（类）农村综合改革（款）对村民委员会和村党支部的补助（项）。主要反映用于村民委员会和村党支部支出。年初预算为 353.92万元，支出决算为353.92万元，完成年初预算的 100  %。决算数与年初预算基本持平主要原因是用于村民委员会和村党支部的费用稳定。</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（23）农林水支出（类）农村综合改革（款）其他农村综合改革支出（项）。主要反映用于其他农村综合改革支出。年初预算为 100万元，支出决算为100万元，完成年初预算的 100  %。决算数与年初预算基本持平主要原因是用于其他农村综合改革支出上下浮动不大。</w:t>
      </w:r>
    </w:p>
    <w:p>
      <w:pPr>
        <w:spacing w:line="580" w:lineRule="exact"/>
        <w:ind w:firstLine="640" w:firstLineChars="200"/>
        <w:rPr>
          <w:rFonts w:ascii="仿宋_GB2312" w:eastAsia="仿宋_GB2312"/>
          <w:b/>
          <w:sz w:val="32"/>
          <w:szCs w:val="32"/>
          <w:highlight w:val="lightGray"/>
        </w:rPr>
      </w:pPr>
      <w:r>
        <w:rPr>
          <w:rFonts w:hint="eastAsia" w:ascii="仿宋_GB2312" w:eastAsia="仿宋_GB2312"/>
          <w:sz w:val="32"/>
          <w:szCs w:val="32"/>
        </w:rPr>
        <w:t>（24）商业服务业等支出（类）旅游业管理与服务支出（款）其他旅游业管理与服务支出（项）。主要反映用于其他旅游业管理与服务的支出。年初预算为60万元，支出决算为60万元，完成年初预算的 100  %。决算数与年初预算基本持平主要原因是用于其他旅游业管理与服务的支出上下浮动不大。</w:t>
      </w:r>
    </w:p>
    <w:p>
      <w:pPr>
        <w:spacing w:line="580" w:lineRule="exact"/>
        <w:ind w:firstLine="640" w:firstLineChars="200"/>
        <w:rPr>
          <w:rFonts w:ascii="仿宋_GB2312" w:eastAsia="仿宋_GB2312"/>
          <w:b/>
          <w:sz w:val="32"/>
          <w:szCs w:val="32"/>
          <w:highlight w:val="lightGray"/>
        </w:rPr>
      </w:pPr>
      <w:r>
        <w:rPr>
          <w:rFonts w:hint="eastAsia" w:ascii="仿宋_GB2312" w:eastAsia="仿宋_GB2312"/>
          <w:sz w:val="32"/>
          <w:szCs w:val="32"/>
        </w:rPr>
        <w:t>（25）国土海洋气象等支出（类）国土资源事务（款）地质灾害防治支出（项）。主要反映用于地质灾害防治支出。年初预算为 300万元，支出决算为300万元，完成年初预算的 100  %。决算数与年初预算基本持平主要原因是用于地质灾害防治费用稳定。</w:t>
      </w:r>
    </w:p>
    <w:p>
      <w:pPr>
        <w:spacing w:line="580" w:lineRule="exact"/>
        <w:ind w:firstLine="640" w:firstLineChars="200"/>
        <w:rPr>
          <w:rFonts w:ascii="仿宋_GB2312" w:eastAsia="仿宋_GB2312"/>
          <w:b/>
          <w:sz w:val="32"/>
          <w:szCs w:val="32"/>
          <w:highlight w:val="lightGray"/>
        </w:rPr>
      </w:pPr>
      <w:r>
        <w:rPr>
          <w:rFonts w:hint="eastAsia" w:ascii="仿宋_GB2312" w:eastAsia="仿宋_GB2312"/>
          <w:sz w:val="32"/>
          <w:szCs w:val="32"/>
        </w:rPr>
        <w:t>（26）住房保障支出（类）住房改革支出（款）住房公积金（项）。主要反映用于住房公积金支出。年初预算为 71.16万元，支出决算为71.16万元，完成年初预算的 100  %。决算数与年初预算基本持平主要原因是单位人数相对稳定，住房公积金支出相对稳定。</w:t>
      </w:r>
    </w:p>
    <w:p>
      <w:pPr>
        <w:spacing w:line="580" w:lineRule="exact"/>
        <w:ind w:firstLine="600"/>
        <w:rPr>
          <w:rFonts w:ascii="楷体_GB2312" w:eastAsia="楷体_GB2312"/>
          <w:sz w:val="32"/>
          <w:szCs w:val="32"/>
        </w:rPr>
      </w:pPr>
      <w:r>
        <w:rPr>
          <w:rFonts w:hint="eastAsia" w:ascii="楷体_GB2312" w:eastAsia="楷体_GB2312"/>
          <w:sz w:val="32"/>
          <w:szCs w:val="32"/>
        </w:rPr>
        <w:t>（六）一般公共预算财政拨款基本支出决算情况</w:t>
      </w:r>
    </w:p>
    <w:p>
      <w:pPr>
        <w:spacing w:line="580" w:lineRule="exact"/>
        <w:ind w:firstLine="600"/>
        <w:rPr>
          <w:rFonts w:ascii="仿宋_GB2312" w:eastAsia="仿宋_GB2312"/>
          <w:sz w:val="32"/>
          <w:szCs w:val="32"/>
        </w:rPr>
      </w:pPr>
      <w:r>
        <w:rPr>
          <w:rFonts w:hint="eastAsia" w:ascii="仿宋_GB2312" w:eastAsia="仿宋_GB2312"/>
          <w:sz w:val="32"/>
          <w:szCs w:val="32"/>
        </w:rPr>
        <w:t>2017年度一般公共预算财政拨款基本支出决算 3983.27  万元，包括人员经费和公用经费，支出具体情况如下：</w:t>
      </w:r>
    </w:p>
    <w:p>
      <w:pPr>
        <w:spacing w:line="580" w:lineRule="exact"/>
        <w:ind w:firstLine="640" w:firstLineChars="200"/>
        <w:rPr>
          <w:rFonts w:ascii="仿宋_GB2312" w:eastAsia="仿宋_GB2312"/>
          <w:b/>
          <w:sz w:val="32"/>
          <w:szCs w:val="32"/>
        </w:rPr>
      </w:pPr>
      <w:r>
        <w:rPr>
          <w:rFonts w:hint="eastAsia" w:ascii="仿宋_GB2312" w:eastAsia="仿宋_GB2312"/>
          <w:sz w:val="32"/>
          <w:szCs w:val="32"/>
        </w:rPr>
        <w:t>人员经费 1121.44 万元，主要包括：基本工资 245.13 万元、津贴补贴 317.22 万元、奖金50.02万元、其他社会保障缴费48.64万元、机关事业单位基本养老保险缴费97.11万元、抚恤金180.08万元、生活补助26.28万元、住房公积金71.16万元、购房补贴85.80万元。</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公用经费 2861.83 万元，主要包括：办公费2.77 万元、印刷费 4.96 万元、咨询费3万元、手续费0.09万元、水费0.40万元、电费0.97万元、邮电费2.17万元、取暖费13.11万元、差旅费7.96万元、维修（护）费1074.28万元、培训费1.4万元、公务接待费0.66万元、专用材料费1681.43万元、劳务费14.72万元、工会经费11.20万元、福利费0.73万元、公务用车运行维护费23.49万元、其他交通费用18.48万元。</w:t>
      </w:r>
    </w:p>
    <w:p>
      <w:pPr>
        <w:spacing w:line="580" w:lineRule="exact"/>
        <w:ind w:firstLine="600"/>
        <w:rPr>
          <w:rFonts w:ascii="楷体_GB2312" w:eastAsia="楷体_GB2312"/>
          <w:sz w:val="32"/>
          <w:szCs w:val="32"/>
        </w:rPr>
      </w:pPr>
      <w:r>
        <w:rPr>
          <w:rFonts w:hint="eastAsia" w:ascii="楷体_GB2312" w:eastAsia="楷体_GB2312"/>
          <w:sz w:val="32"/>
          <w:szCs w:val="32"/>
        </w:rPr>
        <w:t>（七）政府性基金预算财政拨款收入支出决算情况</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2017年度政府性基金预算财政拨款年初结转和结余     0万元，本年收入 1868.14 万元，本年支出 1868.14  万元，年末结转和结余  0 万元。支出具体情况如下：</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1、</w:t>
      </w:r>
      <w:r>
        <w:rPr>
          <w:rFonts w:hint="eastAsia" w:ascii="仿宋_GB2312" w:hAnsi="宋体" w:eastAsia="仿宋_GB2312" w:cs="Courier New"/>
          <w:sz w:val="32"/>
          <w:szCs w:val="32"/>
        </w:rPr>
        <w:t>城乡社区支出（类）国有土地使用权出让收入及对应专项债务收入安排的支出（款）征地和拆迁补偿支出（项）。</w:t>
      </w:r>
      <w:r>
        <w:rPr>
          <w:rFonts w:hint="eastAsia" w:ascii="仿宋_GB2312" w:eastAsia="仿宋_GB2312"/>
          <w:sz w:val="32"/>
          <w:szCs w:val="32"/>
        </w:rPr>
        <w:t>主要反映用于</w:t>
      </w:r>
      <w:r>
        <w:rPr>
          <w:rFonts w:hint="eastAsia" w:eastAsia="仿宋_GB2312"/>
          <w:sz w:val="32"/>
          <w:szCs w:val="32"/>
        </w:rPr>
        <w:t>支付征用农村土地及拆迁补偿</w:t>
      </w:r>
      <w:r>
        <w:rPr>
          <w:rFonts w:hint="eastAsia" w:ascii="仿宋_GB2312" w:eastAsia="仿宋_GB2312"/>
          <w:sz w:val="32"/>
          <w:szCs w:val="32"/>
        </w:rPr>
        <w:t>支出。年初预算为132.78万元，支出决算为 132.78 万元，完成年初预算的100%，决算数与预算数基本持平的主要原因是一切按照预算执行。</w:t>
      </w:r>
    </w:p>
    <w:p>
      <w:pPr>
        <w:spacing w:line="580" w:lineRule="exact"/>
        <w:ind w:firstLine="640" w:firstLineChars="200"/>
        <w:rPr>
          <w:rFonts w:ascii="仿宋_GB2312" w:eastAsia="仿宋_GB2312"/>
          <w:sz w:val="32"/>
          <w:szCs w:val="32"/>
        </w:rPr>
      </w:pPr>
      <w:r>
        <w:rPr>
          <w:rFonts w:hint="eastAsia" w:ascii="仿宋_GB2312" w:hAnsi="宋体" w:eastAsia="仿宋_GB2312" w:cs="Courier New"/>
          <w:sz w:val="32"/>
          <w:szCs w:val="32"/>
        </w:rPr>
        <w:t xml:space="preserve"> 2、城乡社区支出（类）国有土地使用权出让收入及对应专项债务收入安排的支出（款）土地开发支出（项）。</w:t>
      </w:r>
      <w:r>
        <w:rPr>
          <w:rFonts w:hint="eastAsia" w:ascii="仿宋_GB2312" w:eastAsia="仿宋_GB2312"/>
          <w:sz w:val="32"/>
          <w:szCs w:val="32"/>
        </w:rPr>
        <w:t>主要反映用于</w:t>
      </w:r>
      <w:r>
        <w:rPr>
          <w:rFonts w:hint="eastAsia" w:eastAsia="仿宋_GB2312"/>
          <w:sz w:val="32"/>
          <w:szCs w:val="32"/>
        </w:rPr>
        <w:t>开发土地</w:t>
      </w:r>
      <w:r>
        <w:rPr>
          <w:rFonts w:hint="eastAsia" w:ascii="仿宋_GB2312" w:eastAsia="仿宋_GB2312"/>
          <w:sz w:val="32"/>
          <w:szCs w:val="32"/>
        </w:rPr>
        <w:t>支出。年初预算为719.66万元，支出决算为 719.66 万元，完成年初预算的100%，决算数与预算数基本持平的主要原因是一切按照预算执行。</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 xml:space="preserve"> 3、</w:t>
      </w:r>
      <w:r>
        <w:rPr>
          <w:rFonts w:hint="eastAsia" w:ascii="仿宋_GB2312" w:hAnsi="宋体" w:eastAsia="仿宋_GB2312" w:cs="Courier New"/>
          <w:sz w:val="32"/>
          <w:szCs w:val="32"/>
        </w:rPr>
        <w:t>城乡社区支出</w:t>
      </w:r>
      <w:r>
        <w:rPr>
          <w:rFonts w:hint="eastAsia" w:ascii="仿宋_GB2312" w:eastAsia="仿宋_GB2312"/>
          <w:sz w:val="32"/>
          <w:szCs w:val="32"/>
        </w:rPr>
        <w:t>（类）国有土地收益基金及对应专项债务收入安排的支出（款）征地和拆迁补偿支出（项）。主要反映用于征地和拆迁的补偿。年初预算为315.70万元，支出决算为 315.70 万元，完成年初预算的100%，决算数与预算数基本持平的主要原因是一切按照预算执行。</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4、城乡社区支出（类）农业土地开发资金及对应专项债务收入安排的支出（款）农业土地开发资金及对应专项债务收入安排的支出（项）主要反映用于农业土地开发资金及对应专项债务收入安排的支出。年初预算为500万元，支出决算为500万元，完成年初预算的100%，决算数与预算数基本持平的主要原因是一切按照预算执行。</w:t>
      </w:r>
    </w:p>
    <w:p>
      <w:pPr>
        <w:spacing w:line="580" w:lineRule="exact"/>
        <w:ind w:firstLine="640" w:firstLineChars="200"/>
        <w:rPr>
          <w:rFonts w:ascii="仿宋_GB2312" w:eastAsia="仿宋_GB2312"/>
          <w:sz w:val="32"/>
          <w:szCs w:val="32"/>
        </w:rPr>
      </w:pPr>
      <w:r>
        <w:rPr>
          <w:rFonts w:hint="eastAsia" w:ascii="仿宋_GB2312" w:eastAsia="仿宋_GB2312"/>
          <w:sz w:val="32"/>
          <w:szCs w:val="32"/>
        </w:rPr>
        <w:t>5、城乡社区支出（类）城市基础设施配套费及对应专项债务收入安排的支出（款）其他城市基础设施配套费安排的支出（项）主要反映用于其他城市基础设施配套费安排的支出。年初预算为200万元，支出决算为200万元，完成年初预算的100%，决算数与预算数基本持平的主要原因是一切按照预算执行。</w:t>
      </w:r>
    </w:p>
    <w:p>
      <w:pPr>
        <w:spacing w:line="580" w:lineRule="exact"/>
        <w:ind w:firstLine="640" w:firstLineChars="200"/>
        <w:rPr>
          <w:rFonts w:ascii="仿宋_GB2312" w:eastAsia="仿宋_GB2312"/>
          <w:sz w:val="32"/>
          <w:szCs w:val="32"/>
        </w:rPr>
      </w:pPr>
    </w:p>
    <w:p>
      <w:pPr>
        <w:spacing w:line="580" w:lineRule="exact"/>
        <w:ind w:firstLine="600"/>
        <w:rPr>
          <w:rFonts w:ascii="楷体_GB2312" w:eastAsia="楷体_GB2312"/>
          <w:sz w:val="32"/>
          <w:szCs w:val="32"/>
        </w:rPr>
      </w:pPr>
      <w:r>
        <w:rPr>
          <w:rFonts w:hint="eastAsia" w:ascii="楷体_GB2312" w:eastAsia="楷体_GB2312"/>
          <w:sz w:val="32"/>
          <w:szCs w:val="32"/>
        </w:rPr>
        <w:t>（八）一般公共预算财政拨款“三公”经费支出决算情况</w:t>
      </w:r>
    </w:p>
    <w:p>
      <w:pPr>
        <w:spacing w:line="580" w:lineRule="exact"/>
        <w:ind w:firstLine="600"/>
        <w:rPr>
          <w:rFonts w:ascii="仿宋_GB2312" w:eastAsia="仿宋_GB2312"/>
          <w:sz w:val="32"/>
          <w:szCs w:val="32"/>
        </w:rPr>
      </w:pPr>
      <w:r>
        <w:rPr>
          <w:rFonts w:hint="eastAsia" w:ascii="仿宋_GB2312" w:eastAsia="仿宋_GB2312"/>
          <w:sz w:val="32"/>
          <w:szCs w:val="32"/>
        </w:rPr>
        <w:t>1、“三公”经费支出情况及增减变动原因</w:t>
      </w:r>
    </w:p>
    <w:p>
      <w:pPr>
        <w:spacing w:line="580" w:lineRule="exact"/>
        <w:ind w:firstLine="600"/>
        <w:rPr>
          <w:rFonts w:ascii="仿宋_GB2312" w:eastAsia="仿宋_GB2312"/>
          <w:sz w:val="32"/>
          <w:szCs w:val="32"/>
        </w:rPr>
      </w:pPr>
      <w:r>
        <w:rPr>
          <w:rFonts w:hint="eastAsia" w:ascii="仿宋_GB2312" w:hAnsi="宋体" w:eastAsia="仿宋_GB2312" w:cs="Courier New"/>
          <w:sz w:val="32"/>
          <w:szCs w:val="32"/>
        </w:rPr>
        <w:t>俚岛镇</w:t>
      </w:r>
      <w:r>
        <w:rPr>
          <w:rFonts w:hint="eastAsia" w:ascii="仿宋_GB2312" w:eastAsia="仿宋_GB2312"/>
          <w:sz w:val="32"/>
          <w:szCs w:val="32"/>
        </w:rPr>
        <w:t>2017年度一般公共预算财政拨款“三公”经费决算数为 24.15 万元，其中：因公出国（境）费 0 万元，公务用车购置及运行维护费 23.49 万元，公务接待费 0.66 万元。</w:t>
      </w:r>
    </w:p>
    <w:p>
      <w:pPr>
        <w:spacing w:line="580" w:lineRule="exact"/>
        <w:ind w:firstLine="592" w:firstLineChars="185"/>
        <w:rPr>
          <w:rFonts w:ascii="仿宋_GB2312" w:eastAsia="仿宋_GB2312"/>
          <w:b/>
          <w:sz w:val="32"/>
          <w:szCs w:val="32"/>
        </w:rPr>
      </w:pPr>
      <w:r>
        <w:rPr>
          <w:rFonts w:hint="eastAsia" w:ascii="仿宋_GB2312" w:eastAsia="仿宋_GB2312"/>
          <w:sz w:val="32"/>
          <w:szCs w:val="32"/>
        </w:rPr>
        <w:t>2017年“三公”经费决算比年初预算数减少  22.85  万元，主要原因是没有因公出国人员，公务用车运行和公务接待费大大减少。其中：因公出国（境）费减少  5  万元、公务用车购置及运行费减少 7.51  万元、公务接待费减少  10.34  万元。因公出国（境）费减少的主要原因是没有因公出国人员。公务用车购置及运行费减少的主要原因是政府加大对公务用车的合法合规使用力度。公务接待费减少的主要原因是公务接待批次及人数减少，认真落实中央八项规定，接待标准从简。</w:t>
      </w:r>
    </w:p>
    <w:p>
      <w:pPr>
        <w:spacing w:line="580" w:lineRule="exact"/>
        <w:ind w:firstLine="600"/>
        <w:rPr>
          <w:rFonts w:ascii="仿宋_GB2312" w:eastAsia="仿宋_GB2312"/>
          <w:sz w:val="32"/>
          <w:szCs w:val="32"/>
        </w:rPr>
      </w:pPr>
      <w:r>
        <w:rPr>
          <w:rFonts w:hint="eastAsia" w:ascii="仿宋_GB2312" w:eastAsia="仿宋_GB2312"/>
          <w:sz w:val="32"/>
          <w:szCs w:val="32"/>
        </w:rPr>
        <w:t>2、“三公”经费支出相关情况说明</w:t>
      </w:r>
    </w:p>
    <w:p>
      <w:pPr>
        <w:spacing w:line="580" w:lineRule="exact"/>
        <w:ind w:firstLine="600"/>
        <w:rPr>
          <w:rFonts w:ascii="仿宋_GB2312" w:eastAsia="仿宋_GB2312"/>
          <w:b/>
          <w:sz w:val="32"/>
          <w:szCs w:val="32"/>
        </w:rPr>
      </w:pPr>
      <w:r>
        <w:rPr>
          <w:rFonts w:hint="eastAsia" w:ascii="仿宋_GB2312" w:eastAsia="仿宋_GB2312"/>
          <w:sz w:val="32"/>
          <w:szCs w:val="32"/>
        </w:rPr>
        <w:t>（1）因公出国（境）费指单位工作人员公务出国（境）的国际旅费、国外城市间交通费、住宿费、伙食费、培训费、公杂费等支出。2017年使用财政拨款安排  0   个单位，因公出国(境)团组 0  个， 累计  0 人次。</w:t>
      </w:r>
    </w:p>
    <w:p>
      <w:pPr>
        <w:spacing w:line="580" w:lineRule="exact"/>
        <w:ind w:firstLine="588" w:firstLineChars="184"/>
        <w:rPr>
          <w:rFonts w:ascii="仿宋_GB2312" w:eastAsia="仿宋_GB2312"/>
          <w:sz w:val="32"/>
          <w:szCs w:val="32"/>
        </w:rPr>
      </w:pPr>
      <w:r>
        <w:rPr>
          <w:rFonts w:hint="eastAsia" w:ascii="仿宋_GB2312" w:eastAsia="仿宋_GB2312"/>
          <w:sz w:val="32"/>
          <w:szCs w:val="32"/>
        </w:rPr>
        <w:t>（2）公务用车购置及运行维护费指单位公务用车购置费（含车辆购置税）及按规定保留的公务用车燃料费、维修费、过路过桥费、保险费等支出。其中：公务用车购置费 0 万元。2017年俚岛镇单位使用财政拨款购置公务用车  0  辆；公务用车运行维护费 23.49 万元。主要用于公务车辆的运行及维护。2017年俚岛镇单位财政拨款开支运行维护费的公务用车保有量为 6 辆。</w:t>
      </w:r>
    </w:p>
    <w:p>
      <w:pPr>
        <w:spacing w:line="580" w:lineRule="exact"/>
        <w:ind w:firstLine="601"/>
        <w:rPr>
          <w:rFonts w:ascii="仿宋_GB2312" w:eastAsia="仿宋_GB2312"/>
          <w:sz w:val="32"/>
          <w:szCs w:val="32"/>
        </w:rPr>
      </w:pPr>
      <w:r>
        <w:rPr>
          <w:rFonts w:hint="eastAsia" w:ascii="仿宋_GB2312" w:eastAsia="仿宋_GB2312"/>
          <w:sz w:val="32"/>
          <w:szCs w:val="32"/>
        </w:rPr>
        <w:t>（3）公务接待费指单位按规定开支的各类公务接待（含外宾接待）支出。2017年公务接待全部为国内公务接待，主要用于招商引资 ，共计接待 7 批次，43  人次，其中外事接待  0 批次，0  人次。</w:t>
      </w:r>
    </w:p>
    <w:p>
      <w:pPr>
        <w:spacing w:line="580" w:lineRule="exact"/>
        <w:ind w:firstLine="600"/>
        <w:rPr>
          <w:rFonts w:ascii="黑体" w:hAnsi="黑体" w:eastAsia="黑体"/>
          <w:sz w:val="32"/>
          <w:szCs w:val="32"/>
        </w:rPr>
      </w:pPr>
      <w:r>
        <w:rPr>
          <w:rFonts w:hint="eastAsia" w:ascii="黑体" w:hAnsi="黑体" w:eastAsia="黑体"/>
          <w:sz w:val="32"/>
          <w:szCs w:val="32"/>
        </w:rPr>
        <w:t>二、重要事项说明</w:t>
      </w:r>
    </w:p>
    <w:p>
      <w:pPr>
        <w:spacing w:line="580" w:lineRule="exact"/>
        <w:ind w:firstLine="601"/>
        <w:rPr>
          <w:rFonts w:ascii="楷体_GB2312" w:eastAsia="楷体_GB2312"/>
          <w:sz w:val="32"/>
          <w:szCs w:val="32"/>
        </w:rPr>
      </w:pPr>
      <w:r>
        <w:rPr>
          <w:rFonts w:hint="eastAsia" w:ascii="楷体_GB2312" w:eastAsia="楷体_GB2312"/>
          <w:sz w:val="32"/>
          <w:szCs w:val="32"/>
        </w:rPr>
        <w:t>（一）机关运行经费支出情况说明</w:t>
      </w:r>
    </w:p>
    <w:p>
      <w:pPr>
        <w:spacing w:line="580" w:lineRule="exact"/>
        <w:ind w:firstLine="601"/>
        <w:rPr>
          <w:rFonts w:ascii="仿宋_GB2312" w:eastAsia="仿宋_GB2312"/>
          <w:sz w:val="32"/>
          <w:szCs w:val="32"/>
        </w:rPr>
      </w:pPr>
      <w:r>
        <w:rPr>
          <w:rFonts w:hint="eastAsia" w:ascii="仿宋_GB2312" w:eastAsia="仿宋_GB2312"/>
          <w:sz w:val="32"/>
          <w:szCs w:val="32"/>
        </w:rPr>
        <w:t>2017年度，俚岛镇机关运行经费支出 446.25  万元，比2016年减少  114.28   万元，减少 20.39  %，主要原因是镇驻地范围内维修工程减少，相关费用大幅降低；积极响应中央八项规定，厉行勤俭节约。</w:t>
      </w:r>
    </w:p>
    <w:p>
      <w:pPr>
        <w:spacing w:line="580" w:lineRule="exact"/>
        <w:ind w:firstLine="601"/>
        <w:rPr>
          <w:rFonts w:ascii="楷体_GB2312" w:eastAsia="楷体_GB2312"/>
          <w:sz w:val="32"/>
          <w:szCs w:val="32"/>
        </w:rPr>
      </w:pPr>
      <w:r>
        <w:rPr>
          <w:rFonts w:hint="eastAsia" w:ascii="楷体_GB2312" w:eastAsia="楷体_GB2312"/>
          <w:sz w:val="32"/>
          <w:szCs w:val="32"/>
        </w:rPr>
        <w:t>（二）政府采购支出情况说明</w:t>
      </w:r>
    </w:p>
    <w:p>
      <w:pPr>
        <w:spacing w:line="580" w:lineRule="exact"/>
        <w:ind w:firstLine="600"/>
        <w:rPr>
          <w:rFonts w:ascii="仿宋_GB2312" w:hAnsi="宋体" w:eastAsia="仿宋_GB2312" w:cs="Courier New"/>
          <w:sz w:val="32"/>
          <w:szCs w:val="32"/>
        </w:rPr>
      </w:pPr>
      <w:r>
        <w:rPr>
          <w:rFonts w:hint="eastAsia" w:ascii="仿宋_GB2312" w:hAnsi="宋体" w:eastAsia="仿宋_GB2312" w:cs="Courier New"/>
          <w:sz w:val="32"/>
          <w:szCs w:val="32"/>
        </w:rPr>
        <w:t>2017年度，政府采购金额 0 万元，其中：政府采购货物金额  0 万元、政府采购工程金额  0  万元、政府采购服务金额  0 万元。授予中小企业合同金额 0  万元，占政府采购总额的 0 %，其中：授予小微企业合同金额 0 万元，占政府采购总额的 0 %。</w:t>
      </w:r>
    </w:p>
    <w:p>
      <w:pPr>
        <w:spacing w:line="580" w:lineRule="exact"/>
        <w:ind w:firstLine="600"/>
        <w:rPr>
          <w:rFonts w:ascii="楷体_GB2312" w:eastAsia="楷体_GB2312"/>
          <w:sz w:val="32"/>
          <w:szCs w:val="32"/>
          <w:highlight w:val="yellow"/>
        </w:rPr>
      </w:pPr>
      <w:r>
        <w:rPr>
          <w:rFonts w:hint="eastAsia" w:ascii="楷体_GB2312" w:eastAsia="楷体_GB2312"/>
          <w:sz w:val="32"/>
          <w:szCs w:val="32"/>
        </w:rPr>
        <w:t>（三）国有资产占用情况说明</w:t>
      </w:r>
    </w:p>
    <w:p>
      <w:pPr>
        <w:spacing w:line="580" w:lineRule="exact"/>
        <w:ind w:firstLine="600"/>
        <w:rPr>
          <w:rFonts w:ascii="仿宋_GB2312" w:hAnsi="宋体" w:eastAsia="仿宋_GB2312" w:cs="Courier New"/>
          <w:sz w:val="32"/>
          <w:szCs w:val="32"/>
        </w:rPr>
      </w:pPr>
      <w:r>
        <w:rPr>
          <w:rFonts w:hint="eastAsia" w:ascii="仿宋_GB2312" w:hAnsi="宋体" w:eastAsia="仿宋_GB2312" w:cs="Courier New"/>
          <w:sz w:val="32"/>
          <w:szCs w:val="32"/>
        </w:rPr>
        <w:t>截至2017年底，本部门共有车辆 6  辆，其中，公务用车 5 辆、一般执法执勤用车 1 辆、特种专业技术用车 0 辆、其他用车 0 辆，单位价值50万元以上通用设备 0  台（套），单位价值100万元以上专用设备  0台（套）。</w:t>
      </w:r>
    </w:p>
    <w:p>
      <w:pPr>
        <w:spacing w:line="580" w:lineRule="exact"/>
        <w:rPr>
          <w:rFonts w:ascii="楷体_GB2312" w:eastAsia="楷体_GB2312"/>
          <w:sz w:val="32"/>
          <w:szCs w:val="32"/>
        </w:rPr>
      </w:pPr>
      <w:r>
        <w:rPr>
          <w:rFonts w:hint="eastAsia" w:ascii="仿宋_GB2312" w:eastAsia="仿宋_GB2312"/>
          <w:sz w:val="32"/>
          <w:szCs w:val="32"/>
        </w:rPr>
        <w:t xml:space="preserve">    </w:t>
      </w:r>
      <w:r>
        <w:rPr>
          <w:rFonts w:hint="eastAsia" w:ascii="楷体_GB2312" w:eastAsia="楷体_GB2312"/>
          <w:sz w:val="32"/>
          <w:szCs w:val="32"/>
        </w:rPr>
        <w:t>（四）预算绩效管理工作开展情况说明</w:t>
      </w:r>
    </w:p>
    <w:p>
      <w:pPr>
        <w:spacing w:line="580" w:lineRule="exact"/>
        <w:ind w:firstLine="643" w:firstLineChars="200"/>
        <w:rPr>
          <w:rFonts w:hint="eastAsia" w:ascii="仿宋_GB2312" w:eastAsia="仿宋_GB2312"/>
          <w:sz w:val="32"/>
          <w:szCs w:val="32"/>
        </w:rPr>
      </w:pPr>
      <w:r>
        <w:rPr>
          <w:rFonts w:hint="eastAsia" w:ascii="仿宋_GB2312" w:eastAsia="仿宋_GB2312"/>
          <w:b/>
          <w:sz w:val="32"/>
          <w:szCs w:val="32"/>
        </w:rPr>
        <w:t>1、预算绩效管理工作开展情况。</w:t>
      </w:r>
      <w:r>
        <w:rPr>
          <w:rFonts w:hint="eastAsia" w:ascii="仿宋_GB2312" w:eastAsia="仿宋_GB2312"/>
          <w:sz w:val="32"/>
          <w:szCs w:val="32"/>
        </w:rPr>
        <w:t>根据预算绩效管理要求，我镇组织对2017年度0个项目开展绩效自评，共涉及资金0万元。</w:t>
      </w:r>
    </w:p>
    <w:p>
      <w:pPr>
        <w:spacing w:line="580" w:lineRule="exact"/>
        <w:ind w:firstLine="600"/>
        <w:rPr>
          <w:rFonts w:ascii="仿宋_GB2312" w:hAnsi="宋体" w:eastAsia="仿宋_GB2312" w:cs="Courier New"/>
          <w:sz w:val="32"/>
          <w:szCs w:val="32"/>
        </w:rPr>
      </w:pPr>
      <w:r>
        <w:rPr>
          <w:rFonts w:hint="eastAsia" w:ascii="仿宋_GB2312" w:eastAsia="仿宋_GB2312"/>
          <w:sz w:val="32"/>
          <w:szCs w:val="32"/>
        </w:rPr>
        <w:t>共组织对0个</w:t>
      </w:r>
      <w:r>
        <w:rPr>
          <w:rFonts w:hint="eastAsia" w:eastAsia="仿宋_GB2312"/>
          <w:sz w:val="32"/>
          <w:szCs w:val="32"/>
        </w:rPr>
        <w:t>项目</w:t>
      </w:r>
      <w:r>
        <w:rPr>
          <w:rFonts w:hint="eastAsia" w:ascii="仿宋_GB2312" w:eastAsia="仿宋_GB2312"/>
          <w:sz w:val="32"/>
          <w:szCs w:val="32"/>
        </w:rPr>
        <w:t>开展了重点绩效评价，评价金额0万元。本部门无绩效自评项目和重点绩效评价项目。</w:t>
      </w:r>
    </w:p>
    <w:p>
      <w:pPr>
        <w:spacing w:line="580" w:lineRule="exact"/>
        <w:ind w:firstLine="200"/>
        <w:rPr>
          <w:rFonts w:ascii="仿宋_GB2312" w:eastAsia="仿宋_GB2312"/>
          <w:sz w:val="32"/>
          <w:szCs w:val="32"/>
        </w:rPr>
      </w:pPr>
      <w:r>
        <w:rPr>
          <w:rFonts w:hint="eastAsia" w:ascii="仿宋_GB2312" w:eastAsia="仿宋_GB2312"/>
          <w:sz w:val="32"/>
          <w:szCs w:val="32"/>
        </w:rPr>
        <w:t xml:space="preserve">   </w:t>
      </w:r>
      <w:r>
        <w:rPr>
          <w:rFonts w:hint="eastAsia" w:ascii="仿宋_GB2312" w:eastAsia="仿宋_GB2312"/>
          <w:b/>
          <w:sz w:val="32"/>
          <w:szCs w:val="32"/>
        </w:rPr>
        <w:t>2、随2017年决算向市人大常委会报告的重点项目绩效评价结果。</w:t>
      </w:r>
      <w:r>
        <w:rPr>
          <w:rFonts w:hint="eastAsia" w:ascii="仿宋_GB2312" w:eastAsia="仿宋_GB2312"/>
          <w:sz w:val="32"/>
          <w:szCs w:val="32"/>
        </w:rPr>
        <w:t>本部门没有向人大常委会报告的重点绩效评价项目。</w:t>
      </w:r>
    </w:p>
    <w:p>
      <w:pPr>
        <w:spacing w:line="580" w:lineRule="exact"/>
        <w:ind w:firstLine="643" w:firstLineChars="200"/>
        <w:rPr>
          <w:rFonts w:ascii="仿宋_GB2312" w:eastAsia="仿宋_GB2312"/>
          <w:sz w:val="32"/>
          <w:szCs w:val="32"/>
        </w:rPr>
      </w:pPr>
      <w:r>
        <w:rPr>
          <w:rFonts w:hint="eastAsia" w:ascii="仿宋_GB2312" w:eastAsia="仿宋_GB2312"/>
          <w:b/>
          <w:sz w:val="32"/>
          <w:szCs w:val="32"/>
        </w:rPr>
        <w:t>3、以市直部门为主体开展的重点绩效评价结果。</w:t>
      </w:r>
      <w:r>
        <w:rPr>
          <w:rFonts w:hint="eastAsia" w:ascii="仿宋_GB2312" w:eastAsia="仿宋_GB2312"/>
          <w:sz w:val="32"/>
          <w:szCs w:val="32"/>
        </w:rPr>
        <w:t>本部门无绩效自评项目和重点绩效评价项目。</w:t>
      </w:r>
    </w:p>
    <w:p>
      <w:pPr>
        <w:rPr>
          <w:rFonts w:ascii="黑体" w:eastAsia="黑体"/>
          <w:b/>
          <w:sz w:val="52"/>
          <w:szCs w:val="52"/>
        </w:rPr>
      </w:pPr>
    </w:p>
    <w:p>
      <w:pPr>
        <w:rPr>
          <w:rFonts w:ascii="黑体" w:eastAsia="黑体"/>
          <w:b/>
          <w:sz w:val="52"/>
          <w:szCs w:val="52"/>
        </w:rPr>
      </w:pPr>
    </w:p>
    <w:p>
      <w:pPr>
        <w:rPr>
          <w:rFonts w:ascii="黑体" w:eastAsia="黑体"/>
          <w:b/>
          <w:sz w:val="52"/>
          <w:szCs w:val="52"/>
        </w:rPr>
      </w:pPr>
    </w:p>
    <w:p>
      <w:pPr>
        <w:rPr>
          <w:rFonts w:ascii="黑体" w:eastAsia="黑体"/>
          <w:b/>
          <w:sz w:val="52"/>
          <w:szCs w:val="52"/>
        </w:rPr>
      </w:pPr>
    </w:p>
    <w:p>
      <w:pPr>
        <w:rPr>
          <w:rFonts w:ascii="黑体" w:eastAsia="黑体"/>
          <w:sz w:val="52"/>
          <w:szCs w:val="52"/>
        </w:rPr>
      </w:pPr>
    </w:p>
    <w:p>
      <w:pPr>
        <w:rPr>
          <w:rFonts w:ascii="黑体" w:eastAsia="黑体"/>
          <w:sz w:val="52"/>
          <w:szCs w:val="52"/>
        </w:rPr>
      </w:pPr>
    </w:p>
    <w:p>
      <w:pPr>
        <w:rPr>
          <w:rFonts w:ascii="黑体" w:eastAsia="黑体"/>
          <w:sz w:val="52"/>
          <w:szCs w:val="52"/>
        </w:rPr>
      </w:pPr>
    </w:p>
    <w:p>
      <w:pPr>
        <w:rPr>
          <w:rFonts w:ascii="黑体" w:eastAsia="黑体"/>
          <w:sz w:val="52"/>
          <w:szCs w:val="52"/>
        </w:rPr>
      </w:pPr>
    </w:p>
    <w:p>
      <w:pPr>
        <w:rPr>
          <w:rFonts w:ascii="黑体" w:eastAsia="黑体"/>
          <w:sz w:val="52"/>
          <w:szCs w:val="52"/>
        </w:rPr>
      </w:pPr>
    </w:p>
    <w:p>
      <w:pPr>
        <w:rPr>
          <w:rFonts w:ascii="黑体" w:eastAsia="黑体"/>
          <w:sz w:val="52"/>
          <w:szCs w:val="52"/>
        </w:rPr>
      </w:pPr>
    </w:p>
    <w:p>
      <w:pPr>
        <w:rPr>
          <w:rFonts w:ascii="黑体" w:eastAsia="黑体"/>
          <w:sz w:val="52"/>
          <w:szCs w:val="52"/>
        </w:rPr>
      </w:pPr>
    </w:p>
    <w:p>
      <w:pPr>
        <w:rPr>
          <w:rFonts w:hint="eastAsia" w:ascii="黑体" w:eastAsia="黑体"/>
          <w:sz w:val="52"/>
          <w:szCs w:val="52"/>
        </w:rPr>
      </w:pPr>
    </w:p>
    <w:p>
      <w:pPr>
        <w:rPr>
          <w:rFonts w:hint="eastAsia" w:ascii="黑体" w:eastAsia="黑体"/>
          <w:sz w:val="52"/>
          <w:szCs w:val="52"/>
        </w:rPr>
      </w:pPr>
    </w:p>
    <w:p>
      <w:pPr>
        <w:rPr>
          <w:rFonts w:hint="eastAsia" w:ascii="黑体" w:eastAsia="黑体"/>
          <w:sz w:val="52"/>
          <w:szCs w:val="52"/>
        </w:rPr>
      </w:pPr>
    </w:p>
    <w:p>
      <w:pPr>
        <w:rPr>
          <w:rFonts w:hint="eastAsia" w:ascii="黑体" w:eastAsia="黑体"/>
          <w:sz w:val="52"/>
          <w:szCs w:val="52"/>
        </w:rPr>
      </w:pPr>
    </w:p>
    <w:p>
      <w:pPr>
        <w:rPr>
          <w:rFonts w:hint="eastAsia" w:ascii="黑体" w:eastAsia="黑体"/>
          <w:sz w:val="52"/>
          <w:szCs w:val="52"/>
        </w:rPr>
      </w:pPr>
    </w:p>
    <w:p>
      <w:pPr>
        <w:rPr>
          <w:rFonts w:hint="eastAsia" w:ascii="黑体" w:eastAsia="黑体"/>
          <w:sz w:val="52"/>
          <w:szCs w:val="52"/>
        </w:rPr>
      </w:pPr>
    </w:p>
    <w:p>
      <w:pPr>
        <w:rPr>
          <w:rFonts w:hint="eastAsia" w:ascii="黑体" w:eastAsia="黑体"/>
          <w:sz w:val="52"/>
          <w:szCs w:val="52"/>
        </w:rPr>
      </w:pPr>
    </w:p>
    <w:p>
      <w:pPr>
        <w:rPr>
          <w:rFonts w:ascii="黑体" w:eastAsia="黑体"/>
          <w:sz w:val="52"/>
          <w:szCs w:val="52"/>
        </w:rPr>
      </w:pPr>
    </w:p>
    <w:p>
      <w:pPr>
        <w:rPr>
          <w:rFonts w:ascii="黑体" w:eastAsia="黑体"/>
          <w:sz w:val="52"/>
          <w:szCs w:val="52"/>
        </w:rPr>
      </w:pPr>
      <w:r>
        <w:rPr>
          <w:rFonts w:hint="eastAsia" w:ascii="黑体" w:eastAsia="黑体"/>
          <w:sz w:val="52"/>
          <w:szCs w:val="52"/>
        </w:rPr>
        <w:t>第四部分</w:t>
      </w:r>
    </w:p>
    <w:p>
      <w:pPr>
        <w:rPr>
          <w:rFonts w:ascii="黑体" w:eastAsia="黑体"/>
          <w:sz w:val="52"/>
          <w:szCs w:val="52"/>
        </w:rPr>
      </w:pPr>
    </w:p>
    <w:p>
      <w:pPr>
        <w:rPr>
          <w:rFonts w:ascii="黑体" w:eastAsia="黑体"/>
          <w:sz w:val="52"/>
          <w:szCs w:val="52"/>
        </w:rPr>
      </w:pPr>
    </w:p>
    <w:p>
      <w:pPr>
        <w:rPr>
          <w:rFonts w:ascii="黑体" w:eastAsia="黑体"/>
          <w:sz w:val="52"/>
          <w:szCs w:val="52"/>
        </w:rPr>
      </w:pPr>
    </w:p>
    <w:p>
      <w:pPr>
        <w:jc w:val="center"/>
        <w:rPr>
          <w:rFonts w:ascii="黑体" w:eastAsia="黑体"/>
          <w:sz w:val="52"/>
          <w:szCs w:val="52"/>
        </w:rPr>
      </w:pPr>
      <w:r>
        <w:rPr>
          <w:rFonts w:hint="eastAsia" w:ascii="黑体" w:eastAsia="黑体"/>
          <w:sz w:val="52"/>
          <w:szCs w:val="52"/>
        </w:rPr>
        <w:t>名词解释</w:t>
      </w:r>
    </w:p>
    <w:p>
      <w:pPr>
        <w:rPr>
          <w:rFonts w:ascii="黑体" w:eastAsia="黑体"/>
          <w:b/>
          <w:sz w:val="30"/>
          <w:szCs w:val="30"/>
        </w:rPr>
      </w:pPr>
    </w:p>
    <w:p>
      <w:pPr>
        <w:rPr>
          <w:rFonts w:ascii="黑体" w:eastAsia="黑体"/>
          <w:b/>
          <w:sz w:val="30"/>
          <w:szCs w:val="30"/>
        </w:rPr>
      </w:pPr>
    </w:p>
    <w:p>
      <w:pPr>
        <w:rPr>
          <w:rFonts w:ascii="黑体" w:eastAsia="黑体"/>
          <w:b/>
          <w:sz w:val="30"/>
          <w:szCs w:val="30"/>
        </w:rPr>
      </w:pPr>
    </w:p>
    <w:p>
      <w:pPr>
        <w:rPr>
          <w:rFonts w:ascii="黑体" w:eastAsia="黑体"/>
          <w:b/>
          <w:sz w:val="30"/>
          <w:szCs w:val="30"/>
        </w:rPr>
      </w:pPr>
    </w:p>
    <w:p>
      <w:pPr>
        <w:rPr>
          <w:rFonts w:ascii="黑体" w:eastAsia="黑体"/>
          <w:b/>
          <w:sz w:val="30"/>
          <w:szCs w:val="30"/>
        </w:rPr>
      </w:pPr>
    </w:p>
    <w:p>
      <w:pPr>
        <w:rPr>
          <w:rFonts w:ascii="黑体" w:eastAsia="黑体"/>
          <w:b/>
          <w:sz w:val="30"/>
          <w:szCs w:val="30"/>
        </w:rPr>
      </w:pPr>
    </w:p>
    <w:p>
      <w:pPr>
        <w:rPr>
          <w:rFonts w:ascii="黑体" w:eastAsia="黑体"/>
          <w:b/>
          <w:sz w:val="30"/>
          <w:szCs w:val="30"/>
        </w:rPr>
      </w:pPr>
    </w:p>
    <w:p>
      <w:pPr>
        <w:spacing w:line="580" w:lineRule="exact"/>
        <w:ind w:firstLine="600"/>
        <w:rPr>
          <w:rFonts w:eastAsia="仿宋_GB2312"/>
          <w:sz w:val="32"/>
          <w:szCs w:val="32"/>
        </w:rPr>
      </w:pPr>
      <w:r>
        <w:rPr>
          <w:rFonts w:hint="eastAsia" w:ascii="黑体" w:hAnsi="黑体" w:eastAsia="黑体"/>
          <w:color w:val="000000"/>
          <w:sz w:val="32"/>
          <w:szCs w:val="32"/>
        </w:rPr>
        <w:t>一、财政拨款收入：</w:t>
      </w:r>
      <w:r>
        <w:rPr>
          <w:rFonts w:hint="eastAsia" w:ascii="仿宋_GB2312" w:eastAsia="仿宋_GB2312"/>
          <w:sz w:val="32"/>
          <w:szCs w:val="32"/>
        </w:rPr>
        <w:t>指单位本年度从同级财政部门取得的财政拨款。按现行管理制度，部门决算中反映的财政拨款包括一般公共预算财政拨款和政府性基金财政拨款。</w:t>
      </w:r>
    </w:p>
    <w:p>
      <w:pPr>
        <w:spacing w:line="580" w:lineRule="exact"/>
        <w:ind w:firstLine="640" w:firstLineChars="200"/>
        <w:rPr>
          <w:rFonts w:ascii="仿宋_GB2312" w:hAnsi="仿宋" w:eastAsia="仿宋_GB2312"/>
          <w:sz w:val="32"/>
          <w:szCs w:val="32"/>
        </w:rPr>
      </w:pPr>
      <w:r>
        <w:rPr>
          <w:rFonts w:hint="eastAsia" w:ascii="黑体" w:hAnsi="黑体" w:eastAsia="黑体"/>
          <w:sz w:val="32"/>
          <w:szCs w:val="32"/>
        </w:rPr>
        <w:t>二、上级补助收入：</w:t>
      </w:r>
      <w:r>
        <w:rPr>
          <w:rFonts w:hint="eastAsia" w:ascii="仿宋_GB2312" w:hAnsi="仿宋" w:eastAsia="仿宋_GB2312"/>
          <w:sz w:val="32"/>
          <w:szCs w:val="32"/>
        </w:rPr>
        <w:t>指事业单位从主管部门和上级单位取得的非财政补助收入。</w:t>
      </w:r>
    </w:p>
    <w:p>
      <w:pPr>
        <w:spacing w:line="580" w:lineRule="exact"/>
        <w:ind w:firstLine="600"/>
        <w:rPr>
          <w:rFonts w:ascii="仿宋_GB2312" w:eastAsia="仿宋_GB2312"/>
          <w:sz w:val="32"/>
          <w:szCs w:val="32"/>
        </w:rPr>
      </w:pPr>
      <w:r>
        <w:rPr>
          <w:rFonts w:hint="eastAsia" w:ascii="黑体" w:hAnsi="黑体" w:eastAsia="黑体"/>
          <w:sz w:val="32"/>
          <w:szCs w:val="32"/>
        </w:rPr>
        <w:t>三、事业收入：</w:t>
      </w:r>
      <w:r>
        <w:rPr>
          <w:rFonts w:hint="eastAsia" w:ascii="仿宋_GB2312" w:hAnsi="仿宋" w:eastAsia="仿宋_GB2312"/>
          <w:sz w:val="32"/>
          <w:szCs w:val="32"/>
        </w:rPr>
        <w:t>指事业单位开展专业业务活动及其辅助活动取得的收入。包括事业单位收到的财政专户实际核拨的教育收费等。</w:t>
      </w:r>
      <w:r>
        <w:rPr>
          <w:rFonts w:hint="eastAsia" w:ascii="仿宋_GB2312" w:eastAsia="仿宋_GB2312"/>
          <w:sz w:val="32"/>
          <w:szCs w:val="32"/>
        </w:rPr>
        <w:t>如：xx单位开展xx活动取得的xx收入……等。</w:t>
      </w:r>
    </w:p>
    <w:p>
      <w:pPr>
        <w:spacing w:line="580" w:lineRule="exact"/>
        <w:ind w:firstLine="600"/>
        <w:rPr>
          <w:rFonts w:ascii="仿宋_GB2312" w:eastAsia="仿宋_GB2312"/>
          <w:sz w:val="32"/>
          <w:szCs w:val="32"/>
        </w:rPr>
      </w:pPr>
      <w:r>
        <w:rPr>
          <w:rFonts w:hint="eastAsia" w:ascii="黑体" w:hAnsi="黑体" w:eastAsia="黑体"/>
          <w:sz w:val="32"/>
          <w:szCs w:val="32"/>
        </w:rPr>
        <w:t>四、经营收入：</w:t>
      </w:r>
      <w:r>
        <w:rPr>
          <w:rFonts w:hint="eastAsia" w:ascii="仿宋_GB2312" w:hAnsi="仿宋" w:eastAsia="仿宋_GB2312"/>
          <w:sz w:val="32"/>
          <w:szCs w:val="32"/>
        </w:rPr>
        <w:t>指事业单位在专业业务活动及其辅助活动之外开展非独立核算经营活动取得的收入。</w:t>
      </w:r>
      <w:r>
        <w:rPr>
          <w:rFonts w:hint="eastAsia" w:ascii="仿宋_GB2312" w:eastAsia="仿宋_GB2312"/>
          <w:sz w:val="32"/>
          <w:szCs w:val="32"/>
        </w:rPr>
        <w:t>如xx单位开展xx活动取得的xx收入……等。</w:t>
      </w:r>
    </w:p>
    <w:p>
      <w:pPr>
        <w:spacing w:line="580" w:lineRule="exact"/>
        <w:ind w:firstLine="640" w:firstLineChars="200"/>
        <w:rPr>
          <w:rFonts w:ascii="仿宋_GB2312" w:hAnsi="仿宋" w:eastAsia="仿宋_GB2312"/>
          <w:sz w:val="32"/>
          <w:szCs w:val="32"/>
        </w:rPr>
      </w:pPr>
      <w:r>
        <w:rPr>
          <w:rFonts w:hint="eastAsia" w:ascii="黑体" w:hAnsi="黑体" w:eastAsia="黑体"/>
          <w:sz w:val="32"/>
          <w:szCs w:val="32"/>
        </w:rPr>
        <w:t>五、附属单位上缴收入：</w:t>
      </w:r>
      <w:r>
        <w:rPr>
          <w:rFonts w:hint="eastAsia" w:ascii="仿宋_GB2312" w:hAnsi="仿宋" w:eastAsia="仿宋_GB2312"/>
          <w:sz w:val="32"/>
          <w:szCs w:val="32"/>
        </w:rPr>
        <w:t>指事业单位附属独立核算单位按照有关规定上缴的收入。</w:t>
      </w:r>
    </w:p>
    <w:p>
      <w:pPr>
        <w:spacing w:line="580" w:lineRule="exact"/>
        <w:ind w:firstLine="640" w:firstLineChars="200"/>
        <w:rPr>
          <w:rFonts w:ascii="仿宋_GB2312" w:hAnsi="仿宋" w:eastAsia="仿宋_GB2312"/>
          <w:sz w:val="32"/>
          <w:szCs w:val="32"/>
        </w:rPr>
      </w:pPr>
      <w:r>
        <w:rPr>
          <w:rFonts w:hint="eastAsia" w:ascii="黑体" w:hAnsi="黑体" w:eastAsia="黑体"/>
          <w:sz w:val="32"/>
          <w:szCs w:val="32"/>
        </w:rPr>
        <w:t>六、其他收入：</w:t>
      </w:r>
      <w:r>
        <w:rPr>
          <w:rFonts w:hint="eastAsia" w:ascii="仿宋_GB2312" w:hAnsi="仿宋" w:eastAsia="仿宋_GB2312"/>
          <w:sz w:val="32"/>
          <w:szCs w:val="32"/>
        </w:rPr>
        <w:t>指单位取得的除上述“</w:t>
      </w:r>
      <w:r>
        <w:rPr>
          <w:rFonts w:hint="eastAsia" w:eastAsia="仿宋_GB2312"/>
          <w:sz w:val="32"/>
          <w:szCs w:val="32"/>
        </w:rPr>
        <w:t>财政拨款收入</w:t>
      </w:r>
      <w:r>
        <w:rPr>
          <w:rFonts w:hint="eastAsia" w:ascii="仿宋_GB2312" w:hAnsi="仿宋" w:eastAsia="仿宋_GB2312"/>
          <w:sz w:val="32"/>
          <w:szCs w:val="32"/>
        </w:rPr>
        <w:t>”、“上级补助收入”、“事业收入”、“经营收入”、“附属单位上缴收入”等以外的各项收入。</w:t>
      </w:r>
    </w:p>
    <w:p>
      <w:pPr>
        <w:spacing w:line="580" w:lineRule="exact"/>
        <w:ind w:firstLine="600"/>
        <w:rPr>
          <w:rFonts w:ascii="仿宋_GB2312" w:eastAsia="仿宋_GB2312"/>
          <w:sz w:val="32"/>
          <w:szCs w:val="32"/>
        </w:rPr>
      </w:pPr>
      <w:r>
        <w:rPr>
          <w:rFonts w:hint="eastAsia" w:ascii="黑体" w:hAnsi="黑体" w:eastAsia="黑体"/>
          <w:sz w:val="32"/>
          <w:szCs w:val="32"/>
        </w:rPr>
        <w:t>七、用事业基金弥补收支差额：</w:t>
      </w:r>
      <w:r>
        <w:rPr>
          <w:rFonts w:hint="eastAsia" w:ascii="仿宋_GB2312" w:eastAsia="仿宋_GB2312"/>
          <w:sz w:val="32"/>
          <w:szCs w:val="32"/>
        </w:rPr>
        <w:t>指事业单位在用本年的“财政拨款收入”“事业收入”“经营收入”“其他收入”等不足以安排本年支出的情况下，使用以前年度积累的事业基金（事业单位当年收支相抵后按国家规定提取、用于弥补以后年度收支差额的基金）弥补本年度收支缺口的资金。</w:t>
      </w:r>
    </w:p>
    <w:p>
      <w:pPr>
        <w:spacing w:line="580" w:lineRule="exact"/>
        <w:ind w:firstLine="600"/>
        <w:rPr>
          <w:rFonts w:ascii="仿宋_GB2312" w:eastAsia="仿宋_GB2312"/>
          <w:sz w:val="32"/>
          <w:szCs w:val="32"/>
        </w:rPr>
      </w:pPr>
      <w:r>
        <w:rPr>
          <w:rFonts w:hint="eastAsia" w:ascii="黑体" w:hAnsi="黑体" w:eastAsia="黑体"/>
          <w:sz w:val="32"/>
          <w:szCs w:val="32"/>
        </w:rPr>
        <w:t>八、年初结转和结余：</w:t>
      </w:r>
      <w:r>
        <w:rPr>
          <w:rFonts w:hint="eastAsia" w:ascii="仿宋_GB2312" w:eastAsia="仿宋_GB2312"/>
          <w:sz w:val="32"/>
          <w:szCs w:val="32"/>
        </w:rPr>
        <w:t>指以前年度尚未完成、结转到本年仍按原规定用途继续使用的资金，或项目已完成等产生的结余资金。</w:t>
      </w:r>
    </w:p>
    <w:p>
      <w:pPr>
        <w:spacing w:line="580" w:lineRule="exact"/>
        <w:ind w:firstLine="640" w:firstLineChars="200"/>
        <w:rPr>
          <w:rFonts w:ascii="仿宋_GB2312" w:hAnsi="仿宋" w:eastAsia="仿宋_GB2312"/>
          <w:sz w:val="32"/>
          <w:szCs w:val="32"/>
        </w:rPr>
      </w:pPr>
      <w:r>
        <w:rPr>
          <w:rFonts w:hint="eastAsia" w:ascii="黑体" w:hAnsi="黑体" w:eastAsia="黑体"/>
          <w:sz w:val="32"/>
          <w:szCs w:val="32"/>
        </w:rPr>
        <w:t>九、结余分配：</w:t>
      </w:r>
      <w:r>
        <w:rPr>
          <w:rFonts w:hint="eastAsia" w:ascii="仿宋_GB2312" w:hAnsi="仿宋" w:eastAsia="仿宋_GB2312"/>
          <w:sz w:val="32"/>
          <w:szCs w:val="32"/>
        </w:rPr>
        <w:t>指事业单位按照《事业单位会计制度》的规定从非财政补助结余中分配的事业基金和职工福利基金等。</w:t>
      </w:r>
    </w:p>
    <w:p>
      <w:pPr>
        <w:spacing w:line="580" w:lineRule="exact"/>
        <w:ind w:firstLine="640" w:firstLineChars="200"/>
        <w:rPr>
          <w:rFonts w:ascii="仿宋_GB2312" w:hAnsi="仿宋" w:eastAsia="仿宋_GB2312"/>
          <w:sz w:val="32"/>
          <w:szCs w:val="32"/>
        </w:rPr>
      </w:pPr>
      <w:r>
        <w:rPr>
          <w:rFonts w:hint="eastAsia" w:ascii="黑体" w:hAnsi="黑体" w:eastAsia="黑体"/>
          <w:sz w:val="32"/>
          <w:szCs w:val="32"/>
        </w:rPr>
        <w:t>十、年末结转和结余：</w:t>
      </w:r>
      <w:r>
        <w:rPr>
          <w:rFonts w:hint="eastAsia" w:ascii="仿宋_GB2312" w:hAnsi="仿宋" w:eastAsia="仿宋_GB2312"/>
          <w:sz w:val="32"/>
          <w:szCs w:val="32"/>
        </w:rPr>
        <w:t>指单位按照有关规定结转到下年继续使用的资金，或项目已完成等产生的结余资金。</w:t>
      </w:r>
    </w:p>
    <w:p>
      <w:pPr>
        <w:spacing w:line="580" w:lineRule="exact"/>
        <w:ind w:firstLine="600"/>
        <w:rPr>
          <w:rFonts w:ascii="仿宋_GB2312" w:eastAsia="仿宋_GB2312"/>
          <w:sz w:val="32"/>
          <w:szCs w:val="32"/>
        </w:rPr>
      </w:pPr>
      <w:r>
        <w:rPr>
          <w:rFonts w:hint="eastAsia" w:ascii="黑体" w:hAnsi="黑体" w:eastAsia="黑体"/>
          <w:sz w:val="32"/>
          <w:szCs w:val="32"/>
        </w:rPr>
        <w:t>十一、基本支出：</w:t>
      </w:r>
      <w:r>
        <w:rPr>
          <w:rFonts w:hint="eastAsia" w:ascii="仿宋_GB2312" w:eastAsia="仿宋_GB2312"/>
          <w:sz w:val="32"/>
          <w:szCs w:val="32"/>
        </w:rPr>
        <w:t>指单位为保障其机构正常运转、完成日常工作任务而发生的各项支出。</w:t>
      </w:r>
    </w:p>
    <w:p>
      <w:pPr>
        <w:spacing w:line="580" w:lineRule="exact"/>
        <w:ind w:firstLine="600"/>
        <w:rPr>
          <w:rFonts w:ascii="仿宋_GB2312" w:eastAsia="仿宋_GB2312"/>
          <w:sz w:val="32"/>
          <w:szCs w:val="32"/>
        </w:rPr>
      </w:pPr>
      <w:r>
        <w:rPr>
          <w:rFonts w:hint="eastAsia" w:ascii="黑体" w:hAnsi="黑体" w:eastAsia="黑体"/>
          <w:sz w:val="32"/>
          <w:szCs w:val="32"/>
        </w:rPr>
        <w:t>十二、项目支出：</w:t>
      </w:r>
      <w:r>
        <w:rPr>
          <w:rFonts w:hint="eastAsia" w:ascii="仿宋_GB2312" w:eastAsia="仿宋_GB2312"/>
          <w:sz w:val="32"/>
          <w:szCs w:val="32"/>
        </w:rPr>
        <w:t>指单位在基本支出之外为完成特定的工作任务或事业发展目标所发生的支出。</w:t>
      </w:r>
    </w:p>
    <w:p>
      <w:pPr>
        <w:spacing w:line="580" w:lineRule="exact"/>
        <w:rPr>
          <w:rFonts w:ascii="仿宋_GB2312" w:eastAsia="仿宋_GB2312"/>
          <w:sz w:val="32"/>
          <w:szCs w:val="32"/>
        </w:rPr>
      </w:pPr>
      <w:r>
        <w:rPr>
          <w:rFonts w:hint="eastAsia" w:ascii="仿宋_GB2312" w:eastAsia="仿宋_GB2312"/>
          <w:sz w:val="32"/>
          <w:szCs w:val="32"/>
        </w:rPr>
        <w:t xml:space="preserve">    </w:t>
      </w:r>
      <w:r>
        <w:rPr>
          <w:rFonts w:hint="eastAsia" w:ascii="黑体" w:hAnsi="黑体" w:eastAsia="黑体"/>
          <w:sz w:val="32"/>
          <w:szCs w:val="32"/>
        </w:rPr>
        <w:t>十三、经营支出：</w:t>
      </w:r>
      <w:r>
        <w:rPr>
          <w:rFonts w:hint="eastAsia" w:ascii="仿宋_GB2312" w:eastAsia="仿宋_GB2312"/>
          <w:sz w:val="32"/>
          <w:szCs w:val="32"/>
        </w:rPr>
        <w:t>指事业单位在专业业务活动及其辅助活动之外开展非独立核算经营活动发生的支出。</w:t>
      </w:r>
    </w:p>
    <w:p>
      <w:pPr>
        <w:spacing w:line="580" w:lineRule="exact"/>
        <w:ind w:firstLine="600"/>
        <w:rPr>
          <w:rFonts w:ascii="仿宋_GB2312" w:eastAsia="仿宋_GB2312"/>
          <w:sz w:val="32"/>
          <w:szCs w:val="32"/>
        </w:rPr>
      </w:pPr>
      <w:r>
        <w:rPr>
          <w:rFonts w:hint="eastAsia" w:ascii="黑体" w:hAnsi="黑体" w:eastAsia="黑体"/>
          <w:sz w:val="32"/>
          <w:szCs w:val="32"/>
        </w:rPr>
        <w:t>十四、“三公”经费：</w:t>
      </w:r>
      <w:r>
        <w:rPr>
          <w:rFonts w:hint="eastAsia" w:ascii="仿宋_GB2312" w:eastAsia="仿宋_GB2312"/>
          <w:sz w:val="32"/>
          <w:szCs w:val="32"/>
        </w:rPr>
        <w:t>纳入市级财政预决算管理的“三公”经费，是指市级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费（含车辆购置税）及按规定保留的公务用车燃料费、维修费、过路过桥费、保险费等支出；公务接待费反映单位按规定开支的各类公务接待（含外宾接待）支出。</w:t>
      </w:r>
    </w:p>
    <w:p>
      <w:pPr>
        <w:spacing w:line="580" w:lineRule="exact"/>
        <w:ind w:firstLine="640" w:firstLineChars="200"/>
        <w:rPr>
          <w:rFonts w:ascii="仿宋_GB2312" w:eastAsia="仿宋_GB2312"/>
          <w:sz w:val="32"/>
          <w:szCs w:val="32"/>
        </w:rPr>
      </w:pPr>
      <w:r>
        <w:rPr>
          <w:rFonts w:hint="eastAsia" w:ascii="黑体" w:hAnsi="黑体" w:eastAsia="黑体"/>
          <w:sz w:val="32"/>
          <w:szCs w:val="32"/>
        </w:rPr>
        <w:t>十五、机关运行经费：</w:t>
      </w:r>
      <w:r>
        <w:rPr>
          <w:rFonts w:hint="eastAsia" w:ascii="仿宋_GB2312" w:eastAsia="仿宋_GB2312"/>
          <w:sz w:val="32"/>
          <w:szCs w:val="32"/>
        </w:rPr>
        <w:t>为保障行政单位(含参照公务员法管理的事业单位)运行用于购买货物和服务的各项资金，包括办公费、印刷费、咨询费、手续费、水费、电费、邮电费、取暖费、物业管理费、差旅费、因公出国（境）费、维修（护）费、租赁费、会议费、培训费、公务接待费、专用材料费、劳务费、委托业务费、工会经费、福利费、公务用车运行维护费以及其他费用等。</w:t>
      </w:r>
    </w:p>
    <w:p>
      <w:pPr>
        <w:spacing w:line="580" w:lineRule="exact"/>
        <w:ind w:firstLine="600"/>
        <w:rPr>
          <w:rFonts w:ascii="仿宋_GB2312" w:eastAsia="仿宋_GB2312"/>
          <w:sz w:val="32"/>
          <w:szCs w:val="32"/>
        </w:rPr>
      </w:pPr>
      <w:r>
        <w:rPr>
          <w:rFonts w:hint="eastAsia" w:ascii="仿宋_GB2312" w:eastAsia="仿宋_GB2312"/>
          <w:sz w:val="32"/>
          <w:szCs w:val="32"/>
        </w:rPr>
        <w:t>十六、一般公共服务（类）财政事务（款）行政运行（项）：反映xx部门行政单位（包括实行公务员管理的事业单位）的基本支出。</w:t>
      </w:r>
    </w:p>
    <w:p>
      <w:pPr>
        <w:spacing w:line="580" w:lineRule="exact"/>
        <w:ind w:firstLine="600"/>
        <w:rPr>
          <w:rFonts w:ascii="仿宋_GB2312" w:eastAsia="仿宋_GB2312"/>
          <w:sz w:val="32"/>
          <w:szCs w:val="32"/>
        </w:rPr>
      </w:pPr>
      <w:r>
        <w:rPr>
          <w:rFonts w:hint="eastAsia" w:ascii="仿宋_GB2312" w:eastAsia="仿宋_GB2312"/>
          <w:sz w:val="32"/>
          <w:szCs w:val="32"/>
        </w:rPr>
        <w:t>十七、一般公共服务（类）财政事务（款）一般行政管理事务（项）：反映xx部门行政单位（包括实行公务员管理的事业单位）未单独设置项级科目的其他项目支出。</w:t>
      </w:r>
    </w:p>
    <w:p>
      <w:pPr>
        <w:spacing w:line="580" w:lineRule="exact"/>
        <w:ind w:firstLine="640" w:firstLineChars="200"/>
        <w:rPr>
          <w:rFonts w:ascii="仿宋_GB2312" w:eastAsia="仿宋_GB2312"/>
          <w:sz w:val="32"/>
          <w:szCs w:val="32"/>
        </w:rPr>
      </w:pPr>
      <w:bookmarkStart w:id="1" w:name="_GoBack"/>
      <w:bookmarkEnd w:id="1"/>
    </w:p>
    <w:sectPr>
      <w:pgSz w:w="11906" w:h="16838"/>
      <w:pgMar w:top="1440" w:right="1797" w:bottom="1440" w:left="179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swiss"/>
    <w:pitch w:val="default"/>
    <w:sig w:usb0="E1002EFF" w:usb1="C000605B" w:usb2="00000029" w:usb3="00000000" w:csb0="200101FF" w:csb1="20280000"/>
  </w:font>
  <w:font w:name="Verdana">
    <w:panose1 w:val="020B0604030504040204"/>
    <w:charset w:val="00"/>
    <w:family w:val="swiss"/>
    <w:pitch w:val="default"/>
    <w:sig w:usb0="A10006FF" w:usb1="4000205B" w:usb2="00000010" w:usb3="00000000" w:csb0="2000019F" w:csb1="00000000"/>
  </w:font>
  <w:font w:name="仿宋_GB2312">
    <w:panose1 w:val="02010609030101010101"/>
    <w:charset w:val="86"/>
    <w:family w:val="modern"/>
    <w:pitch w:val="default"/>
    <w:sig w:usb0="00000001" w:usb1="080E0000" w:usb2="00000000" w:usb3="00000000" w:csb0="00040000" w:csb1="00000000"/>
  </w:font>
  <w:font w:name="文星简大标宋">
    <w:altName w:val="宋体"/>
    <w:panose1 w:val="00000000000000000000"/>
    <w:charset w:val="86"/>
    <w:family w:val="modern"/>
    <w:pitch w:val="default"/>
    <w:sig w:usb0="00000000" w:usb1="00000000" w:usb2="00000010" w:usb3="00000000" w:csb0="00040000" w:csb1="00000000"/>
  </w:font>
  <w:font w:name="Courier New">
    <w:panose1 w:val="02070309020205020404"/>
    <w:charset w:val="00"/>
    <w:family w:val="modern"/>
    <w:pitch w:val="default"/>
    <w:sig w:usb0="E0002AFF" w:usb1="C0007843" w:usb2="00000009" w:usb3="00000000" w:csb0="400001FF" w:csb1="FFFF0000"/>
  </w:font>
  <w:font w:name="华文中宋">
    <w:panose1 w:val="02010600040101010101"/>
    <w:charset w:val="86"/>
    <w:family w:val="auto"/>
    <w:pitch w:val="default"/>
    <w:sig w:usb0="00000287" w:usb1="080F0000" w:usb2="00000000" w:usb3="00000000" w:csb0="0004009F" w:csb1="DFD70000"/>
  </w:font>
  <w:font w:name="Arial">
    <w:panose1 w:val="020B0604020202020204"/>
    <w:charset w:val="00"/>
    <w:family w:val="swiss"/>
    <w:pitch w:val="default"/>
    <w:sig w:usb0="E0002A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9"/>
      </w:rPr>
    </w:pPr>
    <w:r>
      <w:rPr>
        <w:rStyle w:val="9"/>
      </w:rPr>
      <w:fldChar w:fldCharType="begin"/>
    </w:r>
    <w:r>
      <w:rPr>
        <w:rStyle w:val="9"/>
      </w:rPr>
      <w:instrText xml:space="preserve">PAGE  </w:instrText>
    </w:r>
    <w:r>
      <w:rPr>
        <w:rStyle w:val="9"/>
      </w:rPr>
      <w:fldChar w:fldCharType="separate"/>
    </w:r>
    <w:r>
      <w:rPr>
        <w:rStyle w:val="9"/>
      </w:rPr>
      <w:t>- 41 -</w:t>
    </w:r>
    <w:r>
      <w:rPr>
        <w:rStyle w:val="9"/>
      </w:rPr>
      <w:fldChar w:fldCharType="end"/>
    </w:r>
  </w:p>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9"/>
      </w:rPr>
    </w:pPr>
    <w:r>
      <w:rPr>
        <w:rStyle w:val="9"/>
      </w:rPr>
      <w:fldChar w:fldCharType="begin"/>
    </w:r>
    <w:r>
      <w:rPr>
        <w:rStyle w:val="9"/>
      </w:rPr>
      <w:instrText xml:space="preserve">PAGE  </w:instrText>
    </w:r>
    <w:r>
      <w:rPr>
        <w:rStyle w:val="9"/>
      </w:rPr>
      <w:fldChar w:fldCharType="end"/>
    </w:r>
  </w:p>
  <w:p>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E5F0312"/>
    <w:multiLevelType w:val="multilevel"/>
    <w:tmpl w:val="6E5F0312"/>
    <w:lvl w:ilvl="0" w:tentative="0">
      <w:start w:val="1"/>
      <w:numFmt w:val="japaneseCounting"/>
      <w:lvlText w:val="%1、"/>
      <w:lvlJc w:val="left"/>
      <w:pPr>
        <w:ind w:left="1365" w:hanging="720"/>
      </w:pPr>
      <w:rPr>
        <w:rFonts w:hint="default"/>
      </w:rPr>
    </w:lvl>
    <w:lvl w:ilvl="1" w:tentative="0">
      <w:start w:val="1"/>
      <w:numFmt w:val="lowerLetter"/>
      <w:lvlText w:val="%2)"/>
      <w:lvlJc w:val="left"/>
      <w:pPr>
        <w:ind w:left="1485" w:hanging="420"/>
      </w:pPr>
    </w:lvl>
    <w:lvl w:ilvl="2" w:tentative="0">
      <w:start w:val="1"/>
      <w:numFmt w:val="lowerRoman"/>
      <w:lvlText w:val="%3."/>
      <w:lvlJc w:val="right"/>
      <w:pPr>
        <w:ind w:left="1905" w:hanging="420"/>
      </w:pPr>
    </w:lvl>
    <w:lvl w:ilvl="3" w:tentative="0">
      <w:start w:val="1"/>
      <w:numFmt w:val="decimal"/>
      <w:lvlText w:val="%4."/>
      <w:lvlJc w:val="left"/>
      <w:pPr>
        <w:ind w:left="2325" w:hanging="420"/>
      </w:pPr>
    </w:lvl>
    <w:lvl w:ilvl="4" w:tentative="0">
      <w:start w:val="1"/>
      <w:numFmt w:val="lowerLetter"/>
      <w:lvlText w:val="%5)"/>
      <w:lvlJc w:val="left"/>
      <w:pPr>
        <w:ind w:left="2745" w:hanging="420"/>
      </w:pPr>
    </w:lvl>
    <w:lvl w:ilvl="5" w:tentative="0">
      <w:start w:val="1"/>
      <w:numFmt w:val="lowerRoman"/>
      <w:lvlText w:val="%6."/>
      <w:lvlJc w:val="right"/>
      <w:pPr>
        <w:ind w:left="3165" w:hanging="420"/>
      </w:pPr>
    </w:lvl>
    <w:lvl w:ilvl="6" w:tentative="0">
      <w:start w:val="1"/>
      <w:numFmt w:val="decimal"/>
      <w:lvlText w:val="%7."/>
      <w:lvlJc w:val="left"/>
      <w:pPr>
        <w:ind w:left="3585" w:hanging="420"/>
      </w:pPr>
    </w:lvl>
    <w:lvl w:ilvl="7" w:tentative="0">
      <w:start w:val="1"/>
      <w:numFmt w:val="lowerLetter"/>
      <w:lvlText w:val="%8)"/>
      <w:lvlJc w:val="left"/>
      <w:pPr>
        <w:ind w:left="4005" w:hanging="420"/>
      </w:pPr>
    </w:lvl>
    <w:lvl w:ilvl="8" w:tentative="0">
      <w:start w:val="1"/>
      <w:numFmt w:val="lowerRoman"/>
      <w:lvlText w:val="%9."/>
      <w:lvlJc w:val="right"/>
      <w:pPr>
        <w:ind w:left="4425"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4C7193"/>
    <w:rsid w:val="00003283"/>
    <w:rsid w:val="000037A0"/>
    <w:rsid w:val="00007DC9"/>
    <w:rsid w:val="00010FE6"/>
    <w:rsid w:val="00011373"/>
    <w:rsid w:val="00013D84"/>
    <w:rsid w:val="00014C2A"/>
    <w:rsid w:val="00016478"/>
    <w:rsid w:val="00017BE6"/>
    <w:rsid w:val="00021595"/>
    <w:rsid w:val="000217B6"/>
    <w:rsid w:val="00023ACF"/>
    <w:rsid w:val="0002586D"/>
    <w:rsid w:val="000262D1"/>
    <w:rsid w:val="00027A43"/>
    <w:rsid w:val="00031E72"/>
    <w:rsid w:val="00031FDC"/>
    <w:rsid w:val="000348C2"/>
    <w:rsid w:val="000368B1"/>
    <w:rsid w:val="00037B20"/>
    <w:rsid w:val="00044D10"/>
    <w:rsid w:val="00044DCC"/>
    <w:rsid w:val="00045A58"/>
    <w:rsid w:val="00046A75"/>
    <w:rsid w:val="00047D02"/>
    <w:rsid w:val="00053C6A"/>
    <w:rsid w:val="00054084"/>
    <w:rsid w:val="0005409F"/>
    <w:rsid w:val="00057D1D"/>
    <w:rsid w:val="000679A9"/>
    <w:rsid w:val="00074D65"/>
    <w:rsid w:val="00076084"/>
    <w:rsid w:val="0007680D"/>
    <w:rsid w:val="00076E25"/>
    <w:rsid w:val="00077098"/>
    <w:rsid w:val="0008135F"/>
    <w:rsid w:val="00082097"/>
    <w:rsid w:val="00085FEC"/>
    <w:rsid w:val="00087607"/>
    <w:rsid w:val="00090036"/>
    <w:rsid w:val="00090C14"/>
    <w:rsid w:val="00091FB6"/>
    <w:rsid w:val="000A0D90"/>
    <w:rsid w:val="000A2755"/>
    <w:rsid w:val="000A32E5"/>
    <w:rsid w:val="000A6EB0"/>
    <w:rsid w:val="000A7DB1"/>
    <w:rsid w:val="000A7E71"/>
    <w:rsid w:val="000B0216"/>
    <w:rsid w:val="000B02E0"/>
    <w:rsid w:val="000B43EC"/>
    <w:rsid w:val="000B6DA1"/>
    <w:rsid w:val="000C2254"/>
    <w:rsid w:val="000C74E1"/>
    <w:rsid w:val="000D0803"/>
    <w:rsid w:val="000D1878"/>
    <w:rsid w:val="000D31C7"/>
    <w:rsid w:val="000D5383"/>
    <w:rsid w:val="000D6140"/>
    <w:rsid w:val="000D7B27"/>
    <w:rsid w:val="000E0881"/>
    <w:rsid w:val="000E2130"/>
    <w:rsid w:val="000E37E6"/>
    <w:rsid w:val="000E41B0"/>
    <w:rsid w:val="000E76A2"/>
    <w:rsid w:val="000F2160"/>
    <w:rsid w:val="000F2903"/>
    <w:rsid w:val="000F406F"/>
    <w:rsid w:val="000F6B1F"/>
    <w:rsid w:val="000F7229"/>
    <w:rsid w:val="000F75A5"/>
    <w:rsid w:val="00102DF0"/>
    <w:rsid w:val="00107432"/>
    <w:rsid w:val="00107DCE"/>
    <w:rsid w:val="00110214"/>
    <w:rsid w:val="00111472"/>
    <w:rsid w:val="001149AF"/>
    <w:rsid w:val="00114AFE"/>
    <w:rsid w:val="00115F31"/>
    <w:rsid w:val="00117FD5"/>
    <w:rsid w:val="00122631"/>
    <w:rsid w:val="001247D3"/>
    <w:rsid w:val="0012556E"/>
    <w:rsid w:val="00125BFB"/>
    <w:rsid w:val="00126D33"/>
    <w:rsid w:val="00131042"/>
    <w:rsid w:val="0013247D"/>
    <w:rsid w:val="00133784"/>
    <w:rsid w:val="0013508F"/>
    <w:rsid w:val="0014481D"/>
    <w:rsid w:val="0015319D"/>
    <w:rsid w:val="00155BA2"/>
    <w:rsid w:val="001566A3"/>
    <w:rsid w:val="0015766C"/>
    <w:rsid w:val="001600CE"/>
    <w:rsid w:val="0016083B"/>
    <w:rsid w:val="00162F94"/>
    <w:rsid w:val="0016381D"/>
    <w:rsid w:val="001656F4"/>
    <w:rsid w:val="00167985"/>
    <w:rsid w:val="00167F6E"/>
    <w:rsid w:val="00170426"/>
    <w:rsid w:val="0017132B"/>
    <w:rsid w:val="001718EB"/>
    <w:rsid w:val="00174685"/>
    <w:rsid w:val="001776CE"/>
    <w:rsid w:val="00177A19"/>
    <w:rsid w:val="001823F0"/>
    <w:rsid w:val="0018362A"/>
    <w:rsid w:val="00184019"/>
    <w:rsid w:val="00185A37"/>
    <w:rsid w:val="00186D80"/>
    <w:rsid w:val="0019244E"/>
    <w:rsid w:val="00195E4A"/>
    <w:rsid w:val="001961AE"/>
    <w:rsid w:val="001A0EBF"/>
    <w:rsid w:val="001A3A2D"/>
    <w:rsid w:val="001A68B9"/>
    <w:rsid w:val="001B062F"/>
    <w:rsid w:val="001B293E"/>
    <w:rsid w:val="001B2B4D"/>
    <w:rsid w:val="001B60EA"/>
    <w:rsid w:val="001B65A9"/>
    <w:rsid w:val="001B76A3"/>
    <w:rsid w:val="001C37EC"/>
    <w:rsid w:val="001C444B"/>
    <w:rsid w:val="001C5454"/>
    <w:rsid w:val="001C5FD0"/>
    <w:rsid w:val="001C6FF9"/>
    <w:rsid w:val="001C7171"/>
    <w:rsid w:val="001D08CD"/>
    <w:rsid w:val="001D09B8"/>
    <w:rsid w:val="001D103F"/>
    <w:rsid w:val="001D1089"/>
    <w:rsid w:val="001D1117"/>
    <w:rsid w:val="001D152B"/>
    <w:rsid w:val="001D197E"/>
    <w:rsid w:val="001E24D4"/>
    <w:rsid w:val="001E24EC"/>
    <w:rsid w:val="001E4025"/>
    <w:rsid w:val="001E457C"/>
    <w:rsid w:val="001E69C8"/>
    <w:rsid w:val="001F0816"/>
    <w:rsid w:val="001F65C5"/>
    <w:rsid w:val="001F7208"/>
    <w:rsid w:val="001F789E"/>
    <w:rsid w:val="002022B9"/>
    <w:rsid w:val="00205664"/>
    <w:rsid w:val="0020598C"/>
    <w:rsid w:val="00210B61"/>
    <w:rsid w:val="002111EE"/>
    <w:rsid w:val="0021146E"/>
    <w:rsid w:val="00211F82"/>
    <w:rsid w:val="002122D4"/>
    <w:rsid w:val="00213312"/>
    <w:rsid w:val="002139C7"/>
    <w:rsid w:val="00213DC0"/>
    <w:rsid w:val="00221DFE"/>
    <w:rsid w:val="00222151"/>
    <w:rsid w:val="00224A07"/>
    <w:rsid w:val="00226C5A"/>
    <w:rsid w:val="002309D2"/>
    <w:rsid w:val="00231B86"/>
    <w:rsid w:val="00231EBE"/>
    <w:rsid w:val="00232600"/>
    <w:rsid w:val="00232FE3"/>
    <w:rsid w:val="0023596E"/>
    <w:rsid w:val="0024268A"/>
    <w:rsid w:val="00244C05"/>
    <w:rsid w:val="0024771D"/>
    <w:rsid w:val="00253115"/>
    <w:rsid w:val="00253391"/>
    <w:rsid w:val="0026303E"/>
    <w:rsid w:val="00265A3A"/>
    <w:rsid w:val="002661EC"/>
    <w:rsid w:val="002669B6"/>
    <w:rsid w:val="002713E0"/>
    <w:rsid w:val="00272A85"/>
    <w:rsid w:val="00274233"/>
    <w:rsid w:val="002772FD"/>
    <w:rsid w:val="00282C2B"/>
    <w:rsid w:val="00294BC6"/>
    <w:rsid w:val="00294D2F"/>
    <w:rsid w:val="002A026A"/>
    <w:rsid w:val="002A412F"/>
    <w:rsid w:val="002B09AE"/>
    <w:rsid w:val="002B7DA7"/>
    <w:rsid w:val="002C0ED4"/>
    <w:rsid w:val="002C47BC"/>
    <w:rsid w:val="002D0011"/>
    <w:rsid w:val="002D1809"/>
    <w:rsid w:val="002D35C0"/>
    <w:rsid w:val="002D38E5"/>
    <w:rsid w:val="002D486B"/>
    <w:rsid w:val="002D5809"/>
    <w:rsid w:val="002D748B"/>
    <w:rsid w:val="002E551E"/>
    <w:rsid w:val="002E5BA7"/>
    <w:rsid w:val="002F00F2"/>
    <w:rsid w:val="002F0219"/>
    <w:rsid w:val="002F6E69"/>
    <w:rsid w:val="00301BBA"/>
    <w:rsid w:val="00301F3F"/>
    <w:rsid w:val="00302E4B"/>
    <w:rsid w:val="00303791"/>
    <w:rsid w:val="0030390E"/>
    <w:rsid w:val="00311702"/>
    <w:rsid w:val="0031315A"/>
    <w:rsid w:val="003136D4"/>
    <w:rsid w:val="0031481E"/>
    <w:rsid w:val="00316859"/>
    <w:rsid w:val="00316B3F"/>
    <w:rsid w:val="003171C0"/>
    <w:rsid w:val="003207A7"/>
    <w:rsid w:val="00322604"/>
    <w:rsid w:val="00323FD0"/>
    <w:rsid w:val="00324F4C"/>
    <w:rsid w:val="00326A28"/>
    <w:rsid w:val="00331F0D"/>
    <w:rsid w:val="00335733"/>
    <w:rsid w:val="003369FE"/>
    <w:rsid w:val="00341E6C"/>
    <w:rsid w:val="003439FD"/>
    <w:rsid w:val="0034402F"/>
    <w:rsid w:val="00344C60"/>
    <w:rsid w:val="00345092"/>
    <w:rsid w:val="00345DCF"/>
    <w:rsid w:val="003464C7"/>
    <w:rsid w:val="003466B0"/>
    <w:rsid w:val="00346C30"/>
    <w:rsid w:val="0034701E"/>
    <w:rsid w:val="00350E02"/>
    <w:rsid w:val="003521FE"/>
    <w:rsid w:val="00354774"/>
    <w:rsid w:val="00354A29"/>
    <w:rsid w:val="0036187C"/>
    <w:rsid w:val="00362A69"/>
    <w:rsid w:val="00363B33"/>
    <w:rsid w:val="00364D86"/>
    <w:rsid w:val="00366644"/>
    <w:rsid w:val="00366A03"/>
    <w:rsid w:val="00367C74"/>
    <w:rsid w:val="00372117"/>
    <w:rsid w:val="003733C9"/>
    <w:rsid w:val="00374547"/>
    <w:rsid w:val="00376739"/>
    <w:rsid w:val="003772AC"/>
    <w:rsid w:val="0038681E"/>
    <w:rsid w:val="00386AB9"/>
    <w:rsid w:val="00387C92"/>
    <w:rsid w:val="003909A4"/>
    <w:rsid w:val="00390ABE"/>
    <w:rsid w:val="00392032"/>
    <w:rsid w:val="003973BF"/>
    <w:rsid w:val="003A0A2C"/>
    <w:rsid w:val="003A74AA"/>
    <w:rsid w:val="003B32A7"/>
    <w:rsid w:val="003B3F67"/>
    <w:rsid w:val="003B4301"/>
    <w:rsid w:val="003B5445"/>
    <w:rsid w:val="003B71FC"/>
    <w:rsid w:val="003B7D22"/>
    <w:rsid w:val="003C0B34"/>
    <w:rsid w:val="003C35F1"/>
    <w:rsid w:val="003C6496"/>
    <w:rsid w:val="003D2751"/>
    <w:rsid w:val="003D61D5"/>
    <w:rsid w:val="003D7461"/>
    <w:rsid w:val="003E339F"/>
    <w:rsid w:val="003E4711"/>
    <w:rsid w:val="003E5556"/>
    <w:rsid w:val="003E5D24"/>
    <w:rsid w:val="003E7375"/>
    <w:rsid w:val="003F1DCF"/>
    <w:rsid w:val="00400266"/>
    <w:rsid w:val="00400E2C"/>
    <w:rsid w:val="004031BC"/>
    <w:rsid w:val="00405D47"/>
    <w:rsid w:val="00411281"/>
    <w:rsid w:val="00412B6A"/>
    <w:rsid w:val="004135B7"/>
    <w:rsid w:val="00413BC6"/>
    <w:rsid w:val="00413EF3"/>
    <w:rsid w:val="00416379"/>
    <w:rsid w:val="00426FDF"/>
    <w:rsid w:val="004300A5"/>
    <w:rsid w:val="00435C0A"/>
    <w:rsid w:val="00440973"/>
    <w:rsid w:val="00440A47"/>
    <w:rsid w:val="00443328"/>
    <w:rsid w:val="004434E1"/>
    <w:rsid w:val="00445E78"/>
    <w:rsid w:val="0044702C"/>
    <w:rsid w:val="00447EC3"/>
    <w:rsid w:val="004503DE"/>
    <w:rsid w:val="004504AC"/>
    <w:rsid w:val="00454333"/>
    <w:rsid w:val="00454FBB"/>
    <w:rsid w:val="00455FF4"/>
    <w:rsid w:val="004607FD"/>
    <w:rsid w:val="00462348"/>
    <w:rsid w:val="00462680"/>
    <w:rsid w:val="00465436"/>
    <w:rsid w:val="00467431"/>
    <w:rsid w:val="00475CEF"/>
    <w:rsid w:val="00475EDF"/>
    <w:rsid w:val="0047767A"/>
    <w:rsid w:val="004830CB"/>
    <w:rsid w:val="0048482E"/>
    <w:rsid w:val="00484CC0"/>
    <w:rsid w:val="00484D66"/>
    <w:rsid w:val="00485907"/>
    <w:rsid w:val="00485FDE"/>
    <w:rsid w:val="004863B5"/>
    <w:rsid w:val="00490140"/>
    <w:rsid w:val="00490C6B"/>
    <w:rsid w:val="00492973"/>
    <w:rsid w:val="00495341"/>
    <w:rsid w:val="004A6E98"/>
    <w:rsid w:val="004B0533"/>
    <w:rsid w:val="004B7583"/>
    <w:rsid w:val="004C1C7B"/>
    <w:rsid w:val="004C43C7"/>
    <w:rsid w:val="004C6442"/>
    <w:rsid w:val="004C6B98"/>
    <w:rsid w:val="004C7193"/>
    <w:rsid w:val="004D043F"/>
    <w:rsid w:val="004D1CB8"/>
    <w:rsid w:val="004D225B"/>
    <w:rsid w:val="004D37E1"/>
    <w:rsid w:val="004D56E2"/>
    <w:rsid w:val="004E111B"/>
    <w:rsid w:val="004E4FF8"/>
    <w:rsid w:val="004F01C6"/>
    <w:rsid w:val="004F0C92"/>
    <w:rsid w:val="004F2701"/>
    <w:rsid w:val="004F2B79"/>
    <w:rsid w:val="004F6772"/>
    <w:rsid w:val="0050040E"/>
    <w:rsid w:val="00500863"/>
    <w:rsid w:val="005011D4"/>
    <w:rsid w:val="005039A7"/>
    <w:rsid w:val="00505B64"/>
    <w:rsid w:val="00506738"/>
    <w:rsid w:val="005109A3"/>
    <w:rsid w:val="00512FF3"/>
    <w:rsid w:val="00522F0F"/>
    <w:rsid w:val="005233EC"/>
    <w:rsid w:val="00524071"/>
    <w:rsid w:val="005307C1"/>
    <w:rsid w:val="0053096A"/>
    <w:rsid w:val="0053153E"/>
    <w:rsid w:val="005344D3"/>
    <w:rsid w:val="00536282"/>
    <w:rsid w:val="005373CB"/>
    <w:rsid w:val="0053776B"/>
    <w:rsid w:val="00540F27"/>
    <w:rsid w:val="00543249"/>
    <w:rsid w:val="0054412E"/>
    <w:rsid w:val="0054677A"/>
    <w:rsid w:val="00547154"/>
    <w:rsid w:val="0055166B"/>
    <w:rsid w:val="00551ED0"/>
    <w:rsid w:val="00552CDA"/>
    <w:rsid w:val="00555B87"/>
    <w:rsid w:val="00556D42"/>
    <w:rsid w:val="00561B5E"/>
    <w:rsid w:val="005646A8"/>
    <w:rsid w:val="00565412"/>
    <w:rsid w:val="00566CEB"/>
    <w:rsid w:val="00567075"/>
    <w:rsid w:val="00570E03"/>
    <w:rsid w:val="00573B80"/>
    <w:rsid w:val="00574539"/>
    <w:rsid w:val="005755A8"/>
    <w:rsid w:val="00575BA5"/>
    <w:rsid w:val="00577962"/>
    <w:rsid w:val="005831C6"/>
    <w:rsid w:val="00585BC9"/>
    <w:rsid w:val="0059306C"/>
    <w:rsid w:val="00594782"/>
    <w:rsid w:val="00594ACF"/>
    <w:rsid w:val="00595E22"/>
    <w:rsid w:val="005967A0"/>
    <w:rsid w:val="005A21B3"/>
    <w:rsid w:val="005B024D"/>
    <w:rsid w:val="005B2496"/>
    <w:rsid w:val="005B297E"/>
    <w:rsid w:val="005B2B10"/>
    <w:rsid w:val="005B43D9"/>
    <w:rsid w:val="005C18B7"/>
    <w:rsid w:val="005C1C2D"/>
    <w:rsid w:val="005C1FA3"/>
    <w:rsid w:val="005C3252"/>
    <w:rsid w:val="005C7552"/>
    <w:rsid w:val="005D4E72"/>
    <w:rsid w:val="005D590F"/>
    <w:rsid w:val="005D599A"/>
    <w:rsid w:val="005D6799"/>
    <w:rsid w:val="005D6B39"/>
    <w:rsid w:val="005E134E"/>
    <w:rsid w:val="005E16E7"/>
    <w:rsid w:val="005E36BC"/>
    <w:rsid w:val="005E6413"/>
    <w:rsid w:val="005F0341"/>
    <w:rsid w:val="005F2D23"/>
    <w:rsid w:val="005F3F69"/>
    <w:rsid w:val="005F3F70"/>
    <w:rsid w:val="005F4BA3"/>
    <w:rsid w:val="005F7113"/>
    <w:rsid w:val="006003D4"/>
    <w:rsid w:val="006007ED"/>
    <w:rsid w:val="00600EC5"/>
    <w:rsid w:val="00613A94"/>
    <w:rsid w:val="00616A0B"/>
    <w:rsid w:val="00616E01"/>
    <w:rsid w:val="00617765"/>
    <w:rsid w:val="00620166"/>
    <w:rsid w:val="006221DE"/>
    <w:rsid w:val="006238B2"/>
    <w:rsid w:val="00630A0B"/>
    <w:rsid w:val="006330B8"/>
    <w:rsid w:val="006333FC"/>
    <w:rsid w:val="00636296"/>
    <w:rsid w:val="00640B31"/>
    <w:rsid w:val="00642E72"/>
    <w:rsid w:val="006451CA"/>
    <w:rsid w:val="00645818"/>
    <w:rsid w:val="00651E51"/>
    <w:rsid w:val="00653A44"/>
    <w:rsid w:val="006626B2"/>
    <w:rsid w:val="00662969"/>
    <w:rsid w:val="00665DCB"/>
    <w:rsid w:val="00667CBE"/>
    <w:rsid w:val="00671D18"/>
    <w:rsid w:val="00672234"/>
    <w:rsid w:val="00672F6B"/>
    <w:rsid w:val="0067577E"/>
    <w:rsid w:val="00675CA1"/>
    <w:rsid w:val="00676472"/>
    <w:rsid w:val="00680C5C"/>
    <w:rsid w:val="006812F5"/>
    <w:rsid w:val="006846DB"/>
    <w:rsid w:val="006917F1"/>
    <w:rsid w:val="00694C54"/>
    <w:rsid w:val="0069671E"/>
    <w:rsid w:val="00697743"/>
    <w:rsid w:val="006A0235"/>
    <w:rsid w:val="006A2D4D"/>
    <w:rsid w:val="006A50AB"/>
    <w:rsid w:val="006A54D4"/>
    <w:rsid w:val="006A5E5E"/>
    <w:rsid w:val="006A728B"/>
    <w:rsid w:val="006B2173"/>
    <w:rsid w:val="006B5892"/>
    <w:rsid w:val="006C29F6"/>
    <w:rsid w:val="006C2EC5"/>
    <w:rsid w:val="006C3613"/>
    <w:rsid w:val="006C48DF"/>
    <w:rsid w:val="006D09A9"/>
    <w:rsid w:val="006D2734"/>
    <w:rsid w:val="006D2E8B"/>
    <w:rsid w:val="006D6890"/>
    <w:rsid w:val="006E0A8D"/>
    <w:rsid w:val="006E3ADD"/>
    <w:rsid w:val="006E5339"/>
    <w:rsid w:val="006F2519"/>
    <w:rsid w:val="006F28B3"/>
    <w:rsid w:val="006F4106"/>
    <w:rsid w:val="006F42D5"/>
    <w:rsid w:val="006F7571"/>
    <w:rsid w:val="0070226D"/>
    <w:rsid w:val="007023BD"/>
    <w:rsid w:val="00703E1B"/>
    <w:rsid w:val="00705024"/>
    <w:rsid w:val="00706CC7"/>
    <w:rsid w:val="00706CD1"/>
    <w:rsid w:val="007079FE"/>
    <w:rsid w:val="00713691"/>
    <w:rsid w:val="007155F8"/>
    <w:rsid w:val="00715A52"/>
    <w:rsid w:val="00720089"/>
    <w:rsid w:val="0072227E"/>
    <w:rsid w:val="007277F6"/>
    <w:rsid w:val="00731F18"/>
    <w:rsid w:val="00734893"/>
    <w:rsid w:val="007348EB"/>
    <w:rsid w:val="00735892"/>
    <w:rsid w:val="007363D5"/>
    <w:rsid w:val="00740894"/>
    <w:rsid w:val="0074314A"/>
    <w:rsid w:val="00746456"/>
    <w:rsid w:val="00747FD9"/>
    <w:rsid w:val="007538FE"/>
    <w:rsid w:val="00755A8E"/>
    <w:rsid w:val="00756EBC"/>
    <w:rsid w:val="00760C8A"/>
    <w:rsid w:val="007646B2"/>
    <w:rsid w:val="007651DB"/>
    <w:rsid w:val="00765FE2"/>
    <w:rsid w:val="0077070A"/>
    <w:rsid w:val="00774489"/>
    <w:rsid w:val="0077775C"/>
    <w:rsid w:val="00780916"/>
    <w:rsid w:val="00784D97"/>
    <w:rsid w:val="00785894"/>
    <w:rsid w:val="0078718E"/>
    <w:rsid w:val="00791675"/>
    <w:rsid w:val="00792E30"/>
    <w:rsid w:val="00796BCC"/>
    <w:rsid w:val="0079788A"/>
    <w:rsid w:val="007A0649"/>
    <w:rsid w:val="007A48A4"/>
    <w:rsid w:val="007A58BF"/>
    <w:rsid w:val="007B02BD"/>
    <w:rsid w:val="007B2ABD"/>
    <w:rsid w:val="007B2AFC"/>
    <w:rsid w:val="007B2D91"/>
    <w:rsid w:val="007B2FDB"/>
    <w:rsid w:val="007B5587"/>
    <w:rsid w:val="007B5B83"/>
    <w:rsid w:val="007C0C6B"/>
    <w:rsid w:val="007C2DA9"/>
    <w:rsid w:val="007D0831"/>
    <w:rsid w:val="007D0905"/>
    <w:rsid w:val="007D2D78"/>
    <w:rsid w:val="007D2EFF"/>
    <w:rsid w:val="007E068D"/>
    <w:rsid w:val="007E250F"/>
    <w:rsid w:val="007E5E7A"/>
    <w:rsid w:val="007E76E9"/>
    <w:rsid w:val="007E7996"/>
    <w:rsid w:val="007F197F"/>
    <w:rsid w:val="007F4E22"/>
    <w:rsid w:val="008069FD"/>
    <w:rsid w:val="00810EA6"/>
    <w:rsid w:val="00811BA9"/>
    <w:rsid w:val="00812E17"/>
    <w:rsid w:val="00814B7C"/>
    <w:rsid w:val="00814DA0"/>
    <w:rsid w:val="008151FA"/>
    <w:rsid w:val="008165E2"/>
    <w:rsid w:val="00820FFC"/>
    <w:rsid w:val="00823109"/>
    <w:rsid w:val="008257E6"/>
    <w:rsid w:val="00831F19"/>
    <w:rsid w:val="008324EA"/>
    <w:rsid w:val="008377F0"/>
    <w:rsid w:val="00841513"/>
    <w:rsid w:val="00843D50"/>
    <w:rsid w:val="00843FF0"/>
    <w:rsid w:val="008470E2"/>
    <w:rsid w:val="0085220C"/>
    <w:rsid w:val="00853EFF"/>
    <w:rsid w:val="00870812"/>
    <w:rsid w:val="00870D0A"/>
    <w:rsid w:val="00874270"/>
    <w:rsid w:val="00875837"/>
    <w:rsid w:val="00876ED2"/>
    <w:rsid w:val="00877705"/>
    <w:rsid w:val="00881A1C"/>
    <w:rsid w:val="00883684"/>
    <w:rsid w:val="0088746A"/>
    <w:rsid w:val="0089022B"/>
    <w:rsid w:val="00895096"/>
    <w:rsid w:val="0089634A"/>
    <w:rsid w:val="008978E3"/>
    <w:rsid w:val="008A0654"/>
    <w:rsid w:val="008A3A8A"/>
    <w:rsid w:val="008A5379"/>
    <w:rsid w:val="008A6293"/>
    <w:rsid w:val="008B2D73"/>
    <w:rsid w:val="008B4D3E"/>
    <w:rsid w:val="008B5D66"/>
    <w:rsid w:val="008C04AD"/>
    <w:rsid w:val="008C36CB"/>
    <w:rsid w:val="008C697A"/>
    <w:rsid w:val="008D1A06"/>
    <w:rsid w:val="008D1BEE"/>
    <w:rsid w:val="008D7064"/>
    <w:rsid w:val="008D7A9D"/>
    <w:rsid w:val="008E2141"/>
    <w:rsid w:val="008E3832"/>
    <w:rsid w:val="008E3D87"/>
    <w:rsid w:val="008E4BB9"/>
    <w:rsid w:val="008E5BA4"/>
    <w:rsid w:val="008F2917"/>
    <w:rsid w:val="008F2AFD"/>
    <w:rsid w:val="009104D6"/>
    <w:rsid w:val="0091111E"/>
    <w:rsid w:val="009205D2"/>
    <w:rsid w:val="009205EB"/>
    <w:rsid w:val="00921B10"/>
    <w:rsid w:val="009220D0"/>
    <w:rsid w:val="0092312F"/>
    <w:rsid w:val="00925A59"/>
    <w:rsid w:val="00925E71"/>
    <w:rsid w:val="00934D21"/>
    <w:rsid w:val="00935267"/>
    <w:rsid w:val="009353FA"/>
    <w:rsid w:val="009364CD"/>
    <w:rsid w:val="00954501"/>
    <w:rsid w:val="00955864"/>
    <w:rsid w:val="009560E0"/>
    <w:rsid w:val="0095663B"/>
    <w:rsid w:val="00963ED2"/>
    <w:rsid w:val="00965BEF"/>
    <w:rsid w:val="00965E5C"/>
    <w:rsid w:val="00965F20"/>
    <w:rsid w:val="00973DC0"/>
    <w:rsid w:val="00974034"/>
    <w:rsid w:val="009741DF"/>
    <w:rsid w:val="009756C1"/>
    <w:rsid w:val="0097607F"/>
    <w:rsid w:val="009774BB"/>
    <w:rsid w:val="00980122"/>
    <w:rsid w:val="00985766"/>
    <w:rsid w:val="00986B79"/>
    <w:rsid w:val="00987810"/>
    <w:rsid w:val="0099140F"/>
    <w:rsid w:val="009915DE"/>
    <w:rsid w:val="0099689B"/>
    <w:rsid w:val="009971C2"/>
    <w:rsid w:val="009A39FE"/>
    <w:rsid w:val="009A3A32"/>
    <w:rsid w:val="009A3A68"/>
    <w:rsid w:val="009A4C19"/>
    <w:rsid w:val="009B0E03"/>
    <w:rsid w:val="009B6761"/>
    <w:rsid w:val="009B7616"/>
    <w:rsid w:val="009C2E7D"/>
    <w:rsid w:val="009C4325"/>
    <w:rsid w:val="009D0824"/>
    <w:rsid w:val="009D19A6"/>
    <w:rsid w:val="009D3668"/>
    <w:rsid w:val="009D71E3"/>
    <w:rsid w:val="009D7733"/>
    <w:rsid w:val="009E0A44"/>
    <w:rsid w:val="009E1EC7"/>
    <w:rsid w:val="009E2932"/>
    <w:rsid w:val="009E60A7"/>
    <w:rsid w:val="009F0A22"/>
    <w:rsid w:val="009F0B1D"/>
    <w:rsid w:val="009F32CB"/>
    <w:rsid w:val="009F5CC6"/>
    <w:rsid w:val="00A0055B"/>
    <w:rsid w:val="00A01D03"/>
    <w:rsid w:val="00A119CC"/>
    <w:rsid w:val="00A121E0"/>
    <w:rsid w:val="00A128EE"/>
    <w:rsid w:val="00A21E60"/>
    <w:rsid w:val="00A23431"/>
    <w:rsid w:val="00A27950"/>
    <w:rsid w:val="00A27F4A"/>
    <w:rsid w:val="00A303CF"/>
    <w:rsid w:val="00A30456"/>
    <w:rsid w:val="00A33173"/>
    <w:rsid w:val="00A44FD1"/>
    <w:rsid w:val="00A46FC6"/>
    <w:rsid w:val="00A60620"/>
    <w:rsid w:val="00A63459"/>
    <w:rsid w:val="00A637B2"/>
    <w:rsid w:val="00A63BB9"/>
    <w:rsid w:val="00A65852"/>
    <w:rsid w:val="00A65FEA"/>
    <w:rsid w:val="00A66FB6"/>
    <w:rsid w:val="00A674AA"/>
    <w:rsid w:val="00A71E40"/>
    <w:rsid w:val="00A72282"/>
    <w:rsid w:val="00A72AE4"/>
    <w:rsid w:val="00A72C5C"/>
    <w:rsid w:val="00A743B3"/>
    <w:rsid w:val="00A76951"/>
    <w:rsid w:val="00A8145E"/>
    <w:rsid w:val="00A81514"/>
    <w:rsid w:val="00A81FF2"/>
    <w:rsid w:val="00A839C1"/>
    <w:rsid w:val="00A843B6"/>
    <w:rsid w:val="00A86088"/>
    <w:rsid w:val="00A903A0"/>
    <w:rsid w:val="00A91F76"/>
    <w:rsid w:val="00A92890"/>
    <w:rsid w:val="00A92D71"/>
    <w:rsid w:val="00A970C8"/>
    <w:rsid w:val="00A97E82"/>
    <w:rsid w:val="00AA271B"/>
    <w:rsid w:val="00AA3273"/>
    <w:rsid w:val="00AA346D"/>
    <w:rsid w:val="00AA7CCE"/>
    <w:rsid w:val="00AB0E43"/>
    <w:rsid w:val="00AB28FC"/>
    <w:rsid w:val="00AB2B45"/>
    <w:rsid w:val="00AB2E00"/>
    <w:rsid w:val="00AB7CCF"/>
    <w:rsid w:val="00AC17E3"/>
    <w:rsid w:val="00AC24E3"/>
    <w:rsid w:val="00AC34F3"/>
    <w:rsid w:val="00AC43D8"/>
    <w:rsid w:val="00AC475E"/>
    <w:rsid w:val="00AC5C42"/>
    <w:rsid w:val="00AD768B"/>
    <w:rsid w:val="00AE2F92"/>
    <w:rsid w:val="00AF10D3"/>
    <w:rsid w:val="00AF458E"/>
    <w:rsid w:val="00AF55FE"/>
    <w:rsid w:val="00B0120F"/>
    <w:rsid w:val="00B0254B"/>
    <w:rsid w:val="00B062C2"/>
    <w:rsid w:val="00B06810"/>
    <w:rsid w:val="00B06A8C"/>
    <w:rsid w:val="00B15167"/>
    <w:rsid w:val="00B16098"/>
    <w:rsid w:val="00B165E0"/>
    <w:rsid w:val="00B17819"/>
    <w:rsid w:val="00B17A76"/>
    <w:rsid w:val="00B25757"/>
    <w:rsid w:val="00B271A4"/>
    <w:rsid w:val="00B3021D"/>
    <w:rsid w:val="00B31CAD"/>
    <w:rsid w:val="00B414AC"/>
    <w:rsid w:val="00B41D30"/>
    <w:rsid w:val="00B42634"/>
    <w:rsid w:val="00B44470"/>
    <w:rsid w:val="00B46081"/>
    <w:rsid w:val="00B51DA0"/>
    <w:rsid w:val="00B51E38"/>
    <w:rsid w:val="00B52084"/>
    <w:rsid w:val="00B524C2"/>
    <w:rsid w:val="00B52E49"/>
    <w:rsid w:val="00B53C30"/>
    <w:rsid w:val="00B541B3"/>
    <w:rsid w:val="00B56144"/>
    <w:rsid w:val="00B56B77"/>
    <w:rsid w:val="00B61CF6"/>
    <w:rsid w:val="00B65DB1"/>
    <w:rsid w:val="00B6782E"/>
    <w:rsid w:val="00B709E2"/>
    <w:rsid w:val="00B709FC"/>
    <w:rsid w:val="00B70F34"/>
    <w:rsid w:val="00B71482"/>
    <w:rsid w:val="00B8067A"/>
    <w:rsid w:val="00B81B7C"/>
    <w:rsid w:val="00B9092C"/>
    <w:rsid w:val="00B90AAD"/>
    <w:rsid w:val="00B92962"/>
    <w:rsid w:val="00B94728"/>
    <w:rsid w:val="00B96A90"/>
    <w:rsid w:val="00BA7713"/>
    <w:rsid w:val="00BB34A7"/>
    <w:rsid w:val="00BB44A5"/>
    <w:rsid w:val="00BB62C8"/>
    <w:rsid w:val="00BC40F0"/>
    <w:rsid w:val="00BC6BA8"/>
    <w:rsid w:val="00BD111A"/>
    <w:rsid w:val="00BD54BD"/>
    <w:rsid w:val="00BD719C"/>
    <w:rsid w:val="00BE1BE1"/>
    <w:rsid w:val="00BE3135"/>
    <w:rsid w:val="00BE4A0B"/>
    <w:rsid w:val="00BF0368"/>
    <w:rsid w:val="00C03ED9"/>
    <w:rsid w:val="00C05A9B"/>
    <w:rsid w:val="00C06766"/>
    <w:rsid w:val="00C07719"/>
    <w:rsid w:val="00C12823"/>
    <w:rsid w:val="00C15F28"/>
    <w:rsid w:val="00C243A7"/>
    <w:rsid w:val="00C262A9"/>
    <w:rsid w:val="00C306DB"/>
    <w:rsid w:val="00C3076E"/>
    <w:rsid w:val="00C32E3D"/>
    <w:rsid w:val="00C35D5D"/>
    <w:rsid w:val="00C364D6"/>
    <w:rsid w:val="00C41FD6"/>
    <w:rsid w:val="00C42808"/>
    <w:rsid w:val="00C434B0"/>
    <w:rsid w:val="00C50961"/>
    <w:rsid w:val="00C515BF"/>
    <w:rsid w:val="00C52A1F"/>
    <w:rsid w:val="00C567A3"/>
    <w:rsid w:val="00C57211"/>
    <w:rsid w:val="00C61290"/>
    <w:rsid w:val="00C633DE"/>
    <w:rsid w:val="00C634B5"/>
    <w:rsid w:val="00C63755"/>
    <w:rsid w:val="00C64605"/>
    <w:rsid w:val="00C649AF"/>
    <w:rsid w:val="00C67ED1"/>
    <w:rsid w:val="00C703EA"/>
    <w:rsid w:val="00C74314"/>
    <w:rsid w:val="00C7560F"/>
    <w:rsid w:val="00C76465"/>
    <w:rsid w:val="00C815A6"/>
    <w:rsid w:val="00C81BF7"/>
    <w:rsid w:val="00C82757"/>
    <w:rsid w:val="00C83FDD"/>
    <w:rsid w:val="00C8566F"/>
    <w:rsid w:val="00C85D8A"/>
    <w:rsid w:val="00C863D4"/>
    <w:rsid w:val="00C869AC"/>
    <w:rsid w:val="00CA0A54"/>
    <w:rsid w:val="00CB09CA"/>
    <w:rsid w:val="00CB0C69"/>
    <w:rsid w:val="00CB1D6E"/>
    <w:rsid w:val="00CB3256"/>
    <w:rsid w:val="00CC2894"/>
    <w:rsid w:val="00CC4038"/>
    <w:rsid w:val="00CC5805"/>
    <w:rsid w:val="00CC609E"/>
    <w:rsid w:val="00CD01B7"/>
    <w:rsid w:val="00CD0F4A"/>
    <w:rsid w:val="00CE0139"/>
    <w:rsid w:val="00CE01D8"/>
    <w:rsid w:val="00CF15F8"/>
    <w:rsid w:val="00CF564F"/>
    <w:rsid w:val="00D05B14"/>
    <w:rsid w:val="00D06B98"/>
    <w:rsid w:val="00D14899"/>
    <w:rsid w:val="00D1793C"/>
    <w:rsid w:val="00D2442B"/>
    <w:rsid w:val="00D26E6C"/>
    <w:rsid w:val="00D27621"/>
    <w:rsid w:val="00D30E34"/>
    <w:rsid w:val="00D318F4"/>
    <w:rsid w:val="00D332FD"/>
    <w:rsid w:val="00D36154"/>
    <w:rsid w:val="00D366B3"/>
    <w:rsid w:val="00D40ECB"/>
    <w:rsid w:val="00D45403"/>
    <w:rsid w:val="00D46B74"/>
    <w:rsid w:val="00D47DF2"/>
    <w:rsid w:val="00D506F6"/>
    <w:rsid w:val="00D51120"/>
    <w:rsid w:val="00D52159"/>
    <w:rsid w:val="00D548A9"/>
    <w:rsid w:val="00D55F96"/>
    <w:rsid w:val="00D63781"/>
    <w:rsid w:val="00D672A9"/>
    <w:rsid w:val="00D67539"/>
    <w:rsid w:val="00D72121"/>
    <w:rsid w:val="00D746B3"/>
    <w:rsid w:val="00D746FC"/>
    <w:rsid w:val="00D76590"/>
    <w:rsid w:val="00D81063"/>
    <w:rsid w:val="00D854D3"/>
    <w:rsid w:val="00D85A79"/>
    <w:rsid w:val="00D8759A"/>
    <w:rsid w:val="00D87648"/>
    <w:rsid w:val="00D9080F"/>
    <w:rsid w:val="00D9327A"/>
    <w:rsid w:val="00D93A23"/>
    <w:rsid w:val="00D97195"/>
    <w:rsid w:val="00D971B4"/>
    <w:rsid w:val="00DA0B8E"/>
    <w:rsid w:val="00DA2517"/>
    <w:rsid w:val="00DA4FA5"/>
    <w:rsid w:val="00DB2611"/>
    <w:rsid w:val="00DB6188"/>
    <w:rsid w:val="00DB6874"/>
    <w:rsid w:val="00DB72F2"/>
    <w:rsid w:val="00DC2CC1"/>
    <w:rsid w:val="00DC3C05"/>
    <w:rsid w:val="00DC49AD"/>
    <w:rsid w:val="00DC7D38"/>
    <w:rsid w:val="00DD075B"/>
    <w:rsid w:val="00DD2032"/>
    <w:rsid w:val="00DD56FE"/>
    <w:rsid w:val="00DD667B"/>
    <w:rsid w:val="00DD6CC2"/>
    <w:rsid w:val="00DE077B"/>
    <w:rsid w:val="00DE332A"/>
    <w:rsid w:val="00DE3C7F"/>
    <w:rsid w:val="00DE40E7"/>
    <w:rsid w:val="00DE6E45"/>
    <w:rsid w:val="00DF0267"/>
    <w:rsid w:val="00DF2319"/>
    <w:rsid w:val="00DF3395"/>
    <w:rsid w:val="00DF74F0"/>
    <w:rsid w:val="00E00E61"/>
    <w:rsid w:val="00E0315F"/>
    <w:rsid w:val="00E03A96"/>
    <w:rsid w:val="00E04596"/>
    <w:rsid w:val="00E13F48"/>
    <w:rsid w:val="00E1422B"/>
    <w:rsid w:val="00E23138"/>
    <w:rsid w:val="00E234D8"/>
    <w:rsid w:val="00E25D51"/>
    <w:rsid w:val="00E26850"/>
    <w:rsid w:val="00E2757E"/>
    <w:rsid w:val="00E31164"/>
    <w:rsid w:val="00E31A58"/>
    <w:rsid w:val="00E32F8F"/>
    <w:rsid w:val="00E37026"/>
    <w:rsid w:val="00E41EB6"/>
    <w:rsid w:val="00E43BF9"/>
    <w:rsid w:val="00E46181"/>
    <w:rsid w:val="00E50120"/>
    <w:rsid w:val="00E5216C"/>
    <w:rsid w:val="00E558F4"/>
    <w:rsid w:val="00E6267D"/>
    <w:rsid w:val="00E634E2"/>
    <w:rsid w:val="00E65E82"/>
    <w:rsid w:val="00E661C3"/>
    <w:rsid w:val="00E708A1"/>
    <w:rsid w:val="00E71BA9"/>
    <w:rsid w:val="00E71CE8"/>
    <w:rsid w:val="00E771A2"/>
    <w:rsid w:val="00E77772"/>
    <w:rsid w:val="00E80BAB"/>
    <w:rsid w:val="00E80D85"/>
    <w:rsid w:val="00E83644"/>
    <w:rsid w:val="00E86A5F"/>
    <w:rsid w:val="00E873C2"/>
    <w:rsid w:val="00E91B7F"/>
    <w:rsid w:val="00EA03C9"/>
    <w:rsid w:val="00EA1878"/>
    <w:rsid w:val="00EA1E11"/>
    <w:rsid w:val="00EA3766"/>
    <w:rsid w:val="00EA3C4D"/>
    <w:rsid w:val="00EA75D8"/>
    <w:rsid w:val="00EB0799"/>
    <w:rsid w:val="00EB21BF"/>
    <w:rsid w:val="00EB25B2"/>
    <w:rsid w:val="00EB2665"/>
    <w:rsid w:val="00EB79FB"/>
    <w:rsid w:val="00EC1113"/>
    <w:rsid w:val="00EC1554"/>
    <w:rsid w:val="00EC2025"/>
    <w:rsid w:val="00EC3566"/>
    <w:rsid w:val="00EC3CC3"/>
    <w:rsid w:val="00EC5B08"/>
    <w:rsid w:val="00EC7B9C"/>
    <w:rsid w:val="00ED2A40"/>
    <w:rsid w:val="00ED3294"/>
    <w:rsid w:val="00ED56EF"/>
    <w:rsid w:val="00ED6A00"/>
    <w:rsid w:val="00EE05BC"/>
    <w:rsid w:val="00EE115B"/>
    <w:rsid w:val="00EE413D"/>
    <w:rsid w:val="00EE5778"/>
    <w:rsid w:val="00EE6CC3"/>
    <w:rsid w:val="00EE78E1"/>
    <w:rsid w:val="00EF11F9"/>
    <w:rsid w:val="00EF1378"/>
    <w:rsid w:val="00EF1B63"/>
    <w:rsid w:val="00EF1CEC"/>
    <w:rsid w:val="00F00C18"/>
    <w:rsid w:val="00F012AE"/>
    <w:rsid w:val="00F03A19"/>
    <w:rsid w:val="00F03B60"/>
    <w:rsid w:val="00F03BE5"/>
    <w:rsid w:val="00F04DC6"/>
    <w:rsid w:val="00F079BE"/>
    <w:rsid w:val="00F07D0D"/>
    <w:rsid w:val="00F104D7"/>
    <w:rsid w:val="00F1128F"/>
    <w:rsid w:val="00F2211D"/>
    <w:rsid w:val="00F22A92"/>
    <w:rsid w:val="00F25922"/>
    <w:rsid w:val="00F2686A"/>
    <w:rsid w:val="00F277B2"/>
    <w:rsid w:val="00F33839"/>
    <w:rsid w:val="00F37E69"/>
    <w:rsid w:val="00F408D6"/>
    <w:rsid w:val="00F43D4A"/>
    <w:rsid w:val="00F45593"/>
    <w:rsid w:val="00F479DB"/>
    <w:rsid w:val="00F50C7B"/>
    <w:rsid w:val="00F51E2E"/>
    <w:rsid w:val="00F523E5"/>
    <w:rsid w:val="00F54182"/>
    <w:rsid w:val="00F55939"/>
    <w:rsid w:val="00F56FD8"/>
    <w:rsid w:val="00F65E1A"/>
    <w:rsid w:val="00F66A10"/>
    <w:rsid w:val="00F672DC"/>
    <w:rsid w:val="00F702EB"/>
    <w:rsid w:val="00F70BB6"/>
    <w:rsid w:val="00F71C18"/>
    <w:rsid w:val="00F72127"/>
    <w:rsid w:val="00F74217"/>
    <w:rsid w:val="00F74C73"/>
    <w:rsid w:val="00F74D3C"/>
    <w:rsid w:val="00F75283"/>
    <w:rsid w:val="00F753CF"/>
    <w:rsid w:val="00F76F11"/>
    <w:rsid w:val="00F8064C"/>
    <w:rsid w:val="00F82413"/>
    <w:rsid w:val="00F82E0A"/>
    <w:rsid w:val="00F8525D"/>
    <w:rsid w:val="00F859D5"/>
    <w:rsid w:val="00F90260"/>
    <w:rsid w:val="00F91188"/>
    <w:rsid w:val="00F92C9C"/>
    <w:rsid w:val="00F96274"/>
    <w:rsid w:val="00FB012D"/>
    <w:rsid w:val="00FB1075"/>
    <w:rsid w:val="00FB326A"/>
    <w:rsid w:val="00FB522D"/>
    <w:rsid w:val="00FB6CB9"/>
    <w:rsid w:val="00FC03D4"/>
    <w:rsid w:val="00FC08C3"/>
    <w:rsid w:val="00FD1922"/>
    <w:rsid w:val="00FD3933"/>
    <w:rsid w:val="00FD5EDF"/>
    <w:rsid w:val="00FD6C32"/>
    <w:rsid w:val="00FE5DBF"/>
    <w:rsid w:val="00FE754C"/>
    <w:rsid w:val="00FF6A3B"/>
    <w:rsid w:val="736570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qFormat/>
    <w:uiPriority w:val="0"/>
    <w:pPr>
      <w:jc w:val="left"/>
    </w:pPr>
  </w:style>
  <w:style w:type="paragraph" w:styleId="3">
    <w:name w:val="Balloon Text"/>
    <w:basedOn w:val="1"/>
    <w:semiHidden/>
    <w:qFormat/>
    <w:uiPriority w:val="0"/>
    <w:rPr>
      <w:sz w:val="18"/>
      <w:szCs w:val="18"/>
    </w:r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6">
    <w:name w:val="annotation subject"/>
    <w:basedOn w:val="2"/>
    <w:next w:val="2"/>
    <w:link w:val="15"/>
    <w:qFormat/>
    <w:uiPriority w:val="0"/>
    <w:rPr>
      <w:b/>
      <w:bCs/>
    </w:rPr>
  </w:style>
  <w:style w:type="character" w:styleId="9">
    <w:name w:val="page number"/>
    <w:basedOn w:val="8"/>
    <w:qFormat/>
    <w:uiPriority w:val="0"/>
  </w:style>
  <w:style w:type="character" w:styleId="10">
    <w:name w:val="annotation reference"/>
    <w:qFormat/>
    <w:uiPriority w:val="0"/>
    <w:rPr>
      <w:sz w:val="21"/>
      <w:szCs w:val="21"/>
    </w:rPr>
  </w:style>
  <w:style w:type="paragraph" w:customStyle="1" w:styleId="11">
    <w:name w:val="Char"/>
    <w:basedOn w:val="1"/>
    <w:uiPriority w:val="0"/>
    <w:rPr>
      <w:rFonts w:ascii="Tahoma" w:hAnsi="Tahoma"/>
      <w:sz w:val="24"/>
      <w:szCs w:val="20"/>
    </w:rPr>
  </w:style>
  <w:style w:type="paragraph" w:customStyle="1" w:styleId="12">
    <w:name w:val="Char Char Char Char1 Char Char Char Char Char Char Char Char Char Char Char Char Char Char Char Char Char"/>
    <w:basedOn w:val="1"/>
    <w:qFormat/>
    <w:uiPriority w:val="0"/>
    <w:pPr>
      <w:widowControl/>
      <w:spacing w:after="160" w:line="240" w:lineRule="exact"/>
      <w:ind w:firstLine="980" w:firstLineChars="350"/>
      <w:jc w:val="left"/>
    </w:pPr>
    <w:rPr>
      <w:rFonts w:ascii="Verdana" w:hAnsi="Verdana" w:eastAsia="仿宋_GB2312"/>
      <w:kern w:val="0"/>
      <w:sz w:val="28"/>
      <w:szCs w:val="28"/>
      <w:lang w:eastAsia="en-US"/>
    </w:rPr>
  </w:style>
  <w:style w:type="paragraph" w:customStyle="1" w:styleId="13">
    <w:name w:val="Char Char Char Char Char Char Char Char Char Char Char Char Char Char Char Char"/>
    <w:basedOn w:val="1"/>
    <w:qFormat/>
    <w:uiPriority w:val="0"/>
    <w:pPr>
      <w:tabs>
        <w:tab w:val="left" w:pos="360"/>
      </w:tabs>
    </w:pPr>
    <w:rPr>
      <w:sz w:val="24"/>
    </w:rPr>
  </w:style>
  <w:style w:type="character" w:customStyle="1" w:styleId="14">
    <w:name w:val="批注文字 Char"/>
    <w:link w:val="2"/>
    <w:qFormat/>
    <w:uiPriority w:val="0"/>
    <w:rPr>
      <w:kern w:val="2"/>
      <w:sz w:val="21"/>
      <w:szCs w:val="24"/>
    </w:rPr>
  </w:style>
  <w:style w:type="character" w:customStyle="1" w:styleId="15">
    <w:name w:val="批注主题 Char"/>
    <w:link w:val="6"/>
    <w:qFormat/>
    <w:uiPriority w:val="0"/>
    <w:rPr>
      <w:b/>
      <w:bCs/>
      <w:kern w:val="2"/>
      <w:sz w:val="21"/>
      <w:szCs w:val="24"/>
    </w:rPr>
  </w:style>
  <w:style w:type="paragraph" w:styleId="16">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4.xml"/><Relationship Id="rId8" Type="http://schemas.openxmlformats.org/officeDocument/2006/relationships/chart" Target="charts/chart3.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chart" Target="charts/chart8.xml"/><Relationship Id="rId12" Type="http://schemas.openxmlformats.org/officeDocument/2006/relationships/chart" Target="charts/chart7.xml"/><Relationship Id="rId11" Type="http://schemas.openxmlformats.org/officeDocument/2006/relationships/chart" Target="charts/chart6.xml"/><Relationship Id="rId10" Type="http://schemas.openxmlformats.org/officeDocument/2006/relationships/chart" Target="charts/chart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D:\documents\tencent%20files\409584217\filerecv\&#20844;&#31034;&#22270;&#34920;.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documents\tencent%20files\409584217\filerecv\&#20844;&#31034;&#22270;&#34920;.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documents\tencent%20files\409584217\filerecv\&#20844;&#31034;&#22270;&#34920;.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documents\tencent%20files\409584217\filerecv\&#20844;&#31034;&#22270;&#34920;.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documents\tencent%20files\409584217\filerecv\&#20844;&#31034;&#22270;&#34920;.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documents\tencent%20files\409584217\filerecv\&#20844;&#31034;&#22270;&#34920;.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documents\tencent%20files\409584217\filerecv\&#20844;&#31034;&#22270;&#34920;.xls"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documents\tencent%20files\409584217\filerecv\&#20844;&#31034;&#22270;&#3492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sz="1600"/>
              <a:t>收入决算变动情况图</a:t>
            </a:r>
            <a:endParaRPr lang="en-US" altLang="zh-CN" sz="1600"/>
          </a:p>
          <a:p>
            <a:pPr>
              <a:defRPr lang="zh-CN" sz="1800" b="1" i="0" u="none" strike="noStrike" kern="1200" baseline="0">
                <a:solidFill>
                  <a:schemeClr val="tx1"/>
                </a:solidFill>
                <a:latin typeface="+mn-lt"/>
                <a:ea typeface="+mn-ea"/>
                <a:cs typeface="+mn-cs"/>
              </a:defRPr>
            </a:pPr>
            <a:r>
              <a:rPr lang="zh-CN" altLang="en-US" sz="1200"/>
              <a:t>　　　　</a:t>
            </a:r>
            <a:r>
              <a:rPr lang="zh-CN" altLang="en-US" sz="1200" baseline="0"/>
              <a:t>     </a:t>
            </a:r>
            <a:r>
              <a:rPr lang="zh-CN" altLang="en-US" sz="1200"/>
              <a:t>单位：万元</a:t>
            </a:r>
            <a:endParaRPr lang="zh-CN" sz="1200"/>
          </a:p>
        </c:rich>
      </c:tx>
      <c:layout>
        <c:manualLayout>
          <c:xMode val="edge"/>
          <c:yMode val="edge"/>
          <c:x val="0.258024784323998"/>
          <c:y val="0.0292397795458764"/>
        </c:manualLayout>
      </c:layout>
      <c:overlay val="0"/>
    </c:title>
    <c:autoTitleDeleted val="0"/>
    <c:plotArea>
      <c:layout/>
      <c:barChart>
        <c:barDir val="col"/>
        <c:grouping val="clustered"/>
        <c:varyColors val="0"/>
        <c:ser>
          <c:idx val="0"/>
          <c:order val="0"/>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'1.1'!$A$1:$B$1</c:f>
              <c:strCache>
                <c:ptCount val="2"/>
                <c:pt idx="0">
                  <c:v>2016年度</c:v>
                </c:pt>
                <c:pt idx="1">
                  <c:v>2017年度</c:v>
                </c:pt>
              </c:strCache>
            </c:strRef>
          </c:cat>
          <c:val>
            <c:numRef>
              <c:f>'1.1'!$A$2:$B$2</c:f>
              <c:numCache>
                <c:formatCode>General</c:formatCode>
                <c:ptCount val="2"/>
                <c:pt idx="0">
                  <c:v>13418.29</c:v>
                </c:pt>
                <c:pt idx="1">
                  <c:v>18547.64</c:v>
                </c:pt>
              </c:numCache>
            </c:numRef>
          </c:val>
        </c:ser>
        <c:dLbls>
          <c:showLegendKey val="0"/>
          <c:showVal val="1"/>
          <c:showCatName val="0"/>
          <c:showSerName val="0"/>
          <c:showPercent val="0"/>
          <c:showBubbleSize val="0"/>
        </c:dLbls>
        <c:gapWidth val="150"/>
        <c:axId val="151940096"/>
        <c:axId val="143869056"/>
      </c:barChart>
      <c:catAx>
        <c:axId val="151940096"/>
        <c:scaling>
          <c:orientation val="minMax"/>
        </c:scaling>
        <c:delete val="0"/>
        <c:axPos val="b"/>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43869056"/>
        <c:crosses val="autoZero"/>
        <c:auto val="1"/>
        <c:lblAlgn val="ctr"/>
        <c:lblOffset val="100"/>
        <c:noMultiLvlLbl val="0"/>
      </c:catAx>
      <c:valAx>
        <c:axId val="143869056"/>
        <c:scaling>
          <c:orientation val="minMax"/>
        </c:scaling>
        <c:delete val="0"/>
        <c:axPos val="l"/>
        <c:majorGridlines/>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51940096"/>
        <c:crosses val="autoZero"/>
        <c:crossBetween val="between"/>
      </c:valAx>
    </c:plotArea>
    <c:plotVisOnly val="1"/>
    <c:dispBlanksAs val="gap"/>
    <c:showDLblsOverMax val="0"/>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sz="1600" b="1" i="0" baseline="0"/>
              <a:t>支出</a:t>
            </a:r>
            <a:r>
              <a:rPr lang="zh-CN" sz="1600" b="1" i="0" baseline="0"/>
              <a:t>决算变动情况图</a:t>
            </a:r>
            <a:endParaRPr lang="en-US" sz="1600" b="1" i="0" baseline="0"/>
          </a:p>
          <a:p>
            <a:pPr>
              <a:defRPr lang="zh-CN" sz="1800" b="1" i="0" u="none" strike="noStrike" kern="1200" baseline="0">
                <a:solidFill>
                  <a:schemeClr val="tx1"/>
                </a:solidFill>
                <a:latin typeface="+mn-lt"/>
                <a:ea typeface="+mn-ea"/>
                <a:cs typeface="+mn-cs"/>
              </a:defRPr>
            </a:pPr>
            <a:r>
              <a:rPr lang="zh-CN" sz="1800" b="1" i="0" baseline="0"/>
              <a:t>　　　　　</a:t>
            </a:r>
            <a:r>
              <a:rPr lang="zh-CN" sz="1200" b="1" i="0" baseline="0"/>
              <a:t>单位：万元</a:t>
            </a:r>
            <a:endParaRPr lang="zh-CN" sz="1200" b="1" i="0" baseline="0"/>
          </a:p>
        </c:rich>
      </c:tx>
      <c:layout/>
      <c:overlay val="0"/>
    </c:title>
    <c:autoTitleDeleted val="0"/>
    <c:plotArea>
      <c:layout/>
      <c:barChart>
        <c:barDir val="col"/>
        <c:grouping val="clustered"/>
        <c:varyColors val="0"/>
        <c:ser>
          <c:idx val="0"/>
          <c:order val="0"/>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'1.11'!$A$1:$B$1</c:f>
              <c:strCache>
                <c:ptCount val="2"/>
                <c:pt idx="0">
                  <c:v>2016年度</c:v>
                </c:pt>
                <c:pt idx="1">
                  <c:v>2017年度</c:v>
                </c:pt>
              </c:strCache>
            </c:strRef>
          </c:cat>
          <c:val>
            <c:numRef>
              <c:f>'1.11'!$A$2:$B$2</c:f>
              <c:numCache>
                <c:formatCode>General</c:formatCode>
                <c:ptCount val="2"/>
                <c:pt idx="0">
                  <c:v>13418.29</c:v>
                </c:pt>
                <c:pt idx="1">
                  <c:v>18547.64</c:v>
                </c:pt>
              </c:numCache>
            </c:numRef>
          </c:val>
        </c:ser>
        <c:dLbls>
          <c:showLegendKey val="0"/>
          <c:showVal val="1"/>
          <c:showCatName val="0"/>
          <c:showSerName val="0"/>
          <c:showPercent val="0"/>
          <c:showBubbleSize val="0"/>
        </c:dLbls>
        <c:gapWidth val="150"/>
        <c:axId val="143893248"/>
        <c:axId val="143894784"/>
      </c:barChart>
      <c:catAx>
        <c:axId val="143893248"/>
        <c:scaling>
          <c:orientation val="minMax"/>
        </c:scaling>
        <c:delete val="0"/>
        <c:axPos val="b"/>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43894784"/>
        <c:crosses val="autoZero"/>
        <c:auto val="1"/>
        <c:lblAlgn val="ctr"/>
        <c:lblOffset val="100"/>
        <c:noMultiLvlLbl val="0"/>
      </c:catAx>
      <c:valAx>
        <c:axId val="143894784"/>
        <c:scaling>
          <c:orientation val="minMax"/>
        </c:scaling>
        <c:delete val="0"/>
        <c:axPos val="l"/>
        <c:majorGridlines/>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43893248"/>
        <c:crosses val="autoZero"/>
        <c:crossBetween val="between"/>
      </c:valAx>
      <c:spPr>
        <a:noFill/>
        <a:ln w="25400">
          <a:noFill/>
        </a:ln>
      </c:spPr>
    </c:plotArea>
    <c:plotVisOnly val="1"/>
    <c:dispBlanksAs val="zero"/>
    <c:showDLblsOverMax val="0"/>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0"/>
          <c:dPt>
            <c:idx val="0"/>
            <c:bubble3D val="0"/>
          </c:dPt>
          <c:dPt>
            <c:idx val="1"/>
            <c:bubble3D val="0"/>
          </c:dPt>
          <c:dPt>
            <c:idx val="2"/>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收入决算支出!$A$1:$C$1</c:f>
              <c:strCache>
                <c:ptCount val="3"/>
                <c:pt idx="0">
                  <c:v>财政拨款收入</c:v>
                </c:pt>
                <c:pt idx="1">
                  <c:v>上级补助收入</c:v>
                </c:pt>
                <c:pt idx="2">
                  <c:v>其他收入</c:v>
                </c:pt>
              </c:strCache>
            </c:strRef>
          </c:cat>
          <c:val>
            <c:numRef>
              <c:f>收入决算支出!$A$2:$C$2</c:f>
              <c:numCache>
                <c:formatCode>0%</c:formatCode>
                <c:ptCount val="3"/>
                <c:pt idx="0">
                  <c:v>1</c:v>
                </c:pt>
                <c:pt idx="1">
                  <c:v>0</c:v>
                </c:pt>
                <c:pt idx="2">
                  <c:v>0</c:v>
                </c:pt>
              </c:numCache>
            </c:numRef>
          </c:val>
        </c:ser>
        <c:dLbls>
          <c:showLegendKey val="0"/>
          <c:showVal val="1"/>
          <c:showCatName val="0"/>
          <c:showSerName val="0"/>
          <c:showPercent val="0"/>
          <c:showBubbleSize val="0"/>
          <c:showLeaderLines val="1"/>
        </c:dLbls>
        <c:firstSliceAng val="0"/>
      </c:pieChart>
      <c:spPr>
        <a:noFill/>
        <a:ln w="25400">
          <a:noFill/>
        </a:ln>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0"/>
          <c:dPt>
            <c:idx val="0"/>
            <c:bubble3D val="0"/>
          </c:dPt>
          <c:dPt>
            <c:idx val="1"/>
            <c:bubble3D val="0"/>
          </c:dPt>
          <c:dPt>
            <c:idx val="2"/>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支出决算情况!$A$1:$C$1</c:f>
              <c:strCache>
                <c:ptCount val="3"/>
                <c:pt idx="0">
                  <c:v>基本支出</c:v>
                </c:pt>
                <c:pt idx="1">
                  <c:v>项目支出</c:v>
                </c:pt>
                <c:pt idx="2">
                  <c:v>对附属单位补助支出</c:v>
                </c:pt>
              </c:strCache>
            </c:strRef>
          </c:cat>
          <c:val>
            <c:numRef>
              <c:f>支出决算情况!$A$2:$C$2</c:f>
              <c:numCache>
                <c:formatCode>0.00%</c:formatCode>
                <c:ptCount val="3"/>
                <c:pt idx="0">
                  <c:v>0.2148</c:v>
                </c:pt>
                <c:pt idx="1">
                  <c:v>0.7852</c:v>
                </c:pt>
                <c:pt idx="2">
                  <c:v>0</c:v>
                </c:pt>
              </c:numCache>
            </c:numRef>
          </c:val>
        </c:ser>
        <c:dLbls>
          <c:showLegendKey val="0"/>
          <c:showVal val="1"/>
          <c:showCatName val="0"/>
          <c:showSerName val="0"/>
          <c:showPercent val="0"/>
          <c:showBubbleSize val="0"/>
          <c:showLeaderLines val="1"/>
        </c:dLbls>
        <c:firstSliceAng val="0"/>
      </c:pieChart>
      <c:spPr>
        <a:noFill/>
        <a:ln w="25400">
          <a:noFill/>
        </a:ln>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0"/>
          <c:dPt>
            <c:idx val="0"/>
            <c:bubble3D val="0"/>
          </c:dPt>
          <c:dPt>
            <c:idx val="1"/>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'（四）'!$A$1:$B$1</c:f>
              <c:strCache>
                <c:ptCount val="2"/>
                <c:pt idx="0">
                  <c:v>2016年度财政拨款收入（万元）</c:v>
                </c:pt>
                <c:pt idx="1">
                  <c:v>2017年度财政拨款收入（万元）</c:v>
                </c:pt>
              </c:strCache>
            </c:strRef>
          </c:cat>
          <c:val>
            <c:numRef>
              <c:f>'（四）'!$A$2:$B$2</c:f>
              <c:numCache>
                <c:formatCode>General</c:formatCode>
                <c:ptCount val="2"/>
                <c:pt idx="0">
                  <c:v>13418.29</c:v>
                </c:pt>
                <c:pt idx="1">
                  <c:v>18547.64</c:v>
                </c:pt>
              </c:numCache>
            </c:numRef>
          </c:val>
        </c:ser>
        <c:dLbls>
          <c:showLegendKey val="0"/>
          <c:showVal val="1"/>
          <c:showCatName val="0"/>
          <c:showSerName val="0"/>
          <c:showPercent val="0"/>
          <c:showBubbleSize val="0"/>
          <c:showLeaderLines val="1"/>
        </c:dLbls>
        <c:firstSliceAng val="0"/>
      </c:pieChart>
      <c:spPr>
        <a:noFill/>
        <a:ln w="25400">
          <a:noFill/>
        </a:ln>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0"/>
          <c:dPt>
            <c:idx val="0"/>
            <c:bubble3D val="0"/>
          </c:dPt>
          <c:dPt>
            <c:idx val="1"/>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'4.2'!$A$1:$B$1</c:f>
              <c:strCache>
                <c:ptCount val="2"/>
                <c:pt idx="0">
                  <c:v>2016年度财政拨款支出（万元）</c:v>
                </c:pt>
                <c:pt idx="1">
                  <c:v>2017年度财政拨款支出（万元）</c:v>
                </c:pt>
              </c:strCache>
            </c:strRef>
          </c:cat>
          <c:val>
            <c:numRef>
              <c:f>'4.2'!$A$2:$B$2</c:f>
              <c:numCache>
                <c:formatCode>General</c:formatCode>
                <c:ptCount val="2"/>
                <c:pt idx="0">
                  <c:v>13418.29</c:v>
                </c:pt>
                <c:pt idx="1">
                  <c:v>18547.64</c:v>
                </c:pt>
              </c:numCache>
            </c:numRef>
          </c:val>
        </c:ser>
        <c:dLbls>
          <c:showLegendKey val="0"/>
          <c:showVal val="1"/>
          <c:showCatName val="0"/>
          <c:showSerName val="0"/>
          <c:showPercent val="0"/>
          <c:showBubbleSize val="0"/>
          <c:showLeaderLines val="1"/>
        </c:dLbls>
        <c:firstSliceAng val="0"/>
      </c:pieChart>
      <c:spPr>
        <a:noFill/>
        <a:ln w="25400">
          <a:noFill/>
        </a:ln>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txPr>
    <a:bodyPr/>
    <a:lstStyle/>
    <a:p>
      <a:pPr>
        <a:defRPr lang="zh-CN"/>
      </a:pP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sz="1600"/>
              <a:t>财政拨款支出决算变动情况图</a:t>
            </a:r>
            <a:endParaRPr lang="en-US" altLang="zh-CN" sz="1600"/>
          </a:p>
          <a:p>
            <a:pPr>
              <a:defRPr lang="zh-CN" sz="1800" b="1" i="0" u="none" strike="noStrike" kern="1200" baseline="0">
                <a:solidFill>
                  <a:schemeClr val="tx1"/>
                </a:solidFill>
                <a:latin typeface="+mn-lt"/>
                <a:ea typeface="+mn-ea"/>
                <a:cs typeface="+mn-cs"/>
              </a:defRPr>
            </a:pPr>
            <a:r>
              <a:rPr lang="zh-CN" altLang="en-US" sz="1200"/>
              <a:t>　　　　　　　　　　单位：万元</a:t>
            </a:r>
            <a:endParaRPr lang="zh-CN" altLang="en-US" sz="1200"/>
          </a:p>
        </c:rich>
      </c:tx>
      <c:layout/>
      <c:overlay val="0"/>
    </c:title>
    <c:autoTitleDeleted val="0"/>
    <c:plotArea>
      <c:layout/>
      <c:barChart>
        <c:barDir val="col"/>
        <c:grouping val="clustered"/>
        <c:varyColors val="0"/>
        <c:ser>
          <c:idx val="0"/>
          <c:order val="0"/>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'5.1'!$A$1:$B$1</c:f>
              <c:strCache>
                <c:ptCount val="2"/>
                <c:pt idx="0">
                  <c:v>2016年度</c:v>
                </c:pt>
                <c:pt idx="1">
                  <c:v>2017年度</c:v>
                </c:pt>
              </c:strCache>
            </c:strRef>
          </c:cat>
          <c:val>
            <c:numRef>
              <c:f>'5.1'!$A$2:$B$2</c:f>
              <c:numCache>
                <c:formatCode>General</c:formatCode>
                <c:ptCount val="2"/>
                <c:pt idx="0">
                  <c:v>9706.2</c:v>
                </c:pt>
                <c:pt idx="1">
                  <c:v>16679.5</c:v>
                </c:pt>
              </c:numCache>
            </c:numRef>
          </c:val>
        </c:ser>
        <c:dLbls>
          <c:showLegendKey val="0"/>
          <c:showVal val="1"/>
          <c:showCatName val="0"/>
          <c:showSerName val="0"/>
          <c:showPercent val="0"/>
          <c:showBubbleSize val="0"/>
        </c:dLbls>
        <c:gapWidth val="150"/>
        <c:axId val="85833600"/>
        <c:axId val="85835136"/>
      </c:barChart>
      <c:catAx>
        <c:axId val="85833600"/>
        <c:scaling>
          <c:orientation val="minMax"/>
        </c:scaling>
        <c:delete val="0"/>
        <c:axPos val="b"/>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85835136"/>
        <c:crosses val="autoZero"/>
        <c:auto val="1"/>
        <c:lblAlgn val="ctr"/>
        <c:lblOffset val="100"/>
        <c:noMultiLvlLbl val="0"/>
      </c:catAx>
      <c:valAx>
        <c:axId val="85835136"/>
        <c:scaling>
          <c:orientation val="minMax"/>
        </c:scaling>
        <c:delete val="0"/>
        <c:axPos val="l"/>
        <c:majorGridlines/>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85833600"/>
        <c:crosses val="autoZero"/>
        <c:crossBetween val="between"/>
      </c:valAx>
      <c:spPr>
        <a:noFill/>
        <a:ln w="25400">
          <a:noFill/>
        </a:ln>
      </c:spPr>
    </c:plotArea>
    <c:plotVisOnly val="1"/>
    <c:dispBlanksAs val="zero"/>
    <c:showDLblsOverMax val="0"/>
  </c:chart>
  <c:txPr>
    <a:bodyPr/>
    <a:lstStyle/>
    <a:p>
      <a:pPr>
        <a:defRPr lang="zh-CN"/>
      </a:pPr>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'5.2'!$A$1:$K$1</c:f>
              <c:strCache>
                <c:ptCount val="10"/>
                <c:pt idx="0">
                  <c:v>一般公共服务支出</c:v>
                </c:pt>
                <c:pt idx="1">
                  <c:v>社会保障和就业支出</c:v>
                </c:pt>
                <c:pt idx="2">
                  <c:v>医疗卫生与计划生育支出</c:v>
                </c:pt>
                <c:pt idx="3">
                  <c:v>住房保障支出</c:v>
                </c:pt>
                <c:pt idx="4">
                  <c:v>教育支出</c:v>
                </c:pt>
                <c:pt idx="5">
                  <c:v>文化体育与传媒支出</c:v>
                </c:pt>
                <c:pt idx="6">
                  <c:v>城乡社区支出</c:v>
                </c:pt>
                <c:pt idx="7">
                  <c:v>农林水支出</c:v>
                </c:pt>
                <c:pt idx="8">
                  <c:v>商业服务业等支出</c:v>
                </c:pt>
                <c:pt idx="9">
                  <c:v>国土海洋气象等支出</c:v>
                </c:pt>
              </c:strCache>
            </c:strRef>
          </c:cat>
          <c:val>
            <c:numRef>
              <c:f>'5.2'!$A$2:$K$2</c:f>
              <c:numCache>
                <c:formatCode>0.00%</c:formatCode>
                <c:ptCount val="11"/>
                <c:pt idx="0">
                  <c:v>0.0309</c:v>
                </c:pt>
                <c:pt idx="1">
                  <c:v>0.0139</c:v>
                </c:pt>
                <c:pt idx="2">
                  <c:v>0.00730000000000001</c:v>
                </c:pt>
                <c:pt idx="3">
                  <c:v>0.00430000000000001</c:v>
                </c:pt>
                <c:pt idx="4">
                  <c:v>0.391600000000001</c:v>
                </c:pt>
                <c:pt idx="5">
                  <c:v>0.0017</c:v>
                </c:pt>
                <c:pt idx="6">
                  <c:v>0.3547</c:v>
                </c:pt>
                <c:pt idx="7">
                  <c:v>0.174</c:v>
                </c:pt>
                <c:pt idx="8">
                  <c:v>0.00360000000000001</c:v>
                </c:pt>
                <c:pt idx="9">
                  <c:v>0.018</c:v>
                </c:pt>
              </c:numCache>
            </c:numRef>
          </c:val>
        </c:ser>
        <c:dLbls>
          <c:showLegendKey val="0"/>
          <c:showVal val="1"/>
          <c:showCatName val="0"/>
          <c:showSerName val="0"/>
          <c:showPercent val="0"/>
          <c:showBubbleSize val="0"/>
          <c:showLeaderLines val="1"/>
        </c:dLbls>
        <c:firstSliceAng val="0"/>
      </c:pieChart>
      <c:spPr>
        <a:noFill/>
        <a:ln w="25400">
          <a:noFill/>
        </a:ln>
      </c:spPr>
    </c:plotArea>
    <c:legend>
      <c:legendPos val="r"/>
      <c:layout>
        <c:manualLayout>
          <c:xMode val="edge"/>
          <c:yMode val="edge"/>
          <c:x val="0.640912727237509"/>
          <c:y val="0.0115752582950253"/>
          <c:w val="0.329566977559541"/>
          <c:h val="0.980703047957156"/>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46</Pages>
  <Words>3348</Words>
  <Characters>19089</Characters>
  <Lines>159</Lines>
  <Paragraphs>44</Paragraphs>
  <TotalTime>5867</TotalTime>
  <ScaleCrop>false</ScaleCrop>
  <LinksUpToDate>false</LinksUpToDate>
  <CharactersWithSpaces>22393</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2018-09-18T05:54:00Z</dcterms:created>
  <dc:creator>Administrator</dc:creator>
  <cp:lastModifiedBy>admin</cp:lastModifiedBy>
  <cp:lastPrinted>2018-09-07T05:39:00Z</cp:lastPrinted>
  <dcterms:modified xsi:type="dcterms:W3CDTF">2021-04-14T12:28:06Z</dcterms:modified>
  <dc:title>内部资料参考，请勿外传(公开时请删除)</dc:title>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EDFF766A464E4760B4FD23228D575B2B</vt:lpwstr>
  </property>
</Properties>
</file>