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20" w:lineRule="exact"/>
        <w:jc w:val="center"/>
        <w:rPr>
          <w:rFonts w:hint="eastAsia" w:ascii="方正小标宋简体" w:hAnsi="ˎ̥" w:eastAsia="方正小标宋简体" w:cs="宋体"/>
          <w:bCs/>
          <w:sz w:val="44"/>
          <w:szCs w:val="44"/>
          <w:lang w:eastAsia="zh-CN"/>
        </w:rPr>
      </w:pPr>
      <w:r>
        <w:rPr>
          <w:rFonts w:hint="eastAsia" w:ascii="方正小标宋简体" w:hAnsi="ˎ̥" w:eastAsia="方正小标宋简体" w:cs="宋体"/>
          <w:bCs/>
          <w:sz w:val="44"/>
          <w:szCs w:val="44"/>
        </w:rPr>
        <w:t>20</w:t>
      </w:r>
      <w:r>
        <w:rPr>
          <w:rFonts w:ascii="方正小标宋简体" w:hAnsi="ˎ̥" w:eastAsia="方正小标宋简体" w:cs="宋体"/>
          <w:bCs/>
          <w:sz w:val="44"/>
          <w:szCs w:val="44"/>
        </w:rPr>
        <w:t>20</w:t>
      </w:r>
      <w:r>
        <w:rPr>
          <w:rFonts w:hint="eastAsia" w:ascii="方正小标宋简体" w:hAnsi="ˎ̥" w:eastAsia="方正小标宋简体" w:cs="宋体"/>
          <w:bCs/>
          <w:sz w:val="44"/>
          <w:szCs w:val="44"/>
        </w:rPr>
        <w:t>年荣成市</w:t>
      </w:r>
      <w:r>
        <w:rPr>
          <w:rFonts w:hint="eastAsia" w:ascii="方正小标宋简体" w:hAnsi="ˎ̥" w:eastAsia="方正小标宋简体" w:cs="宋体"/>
          <w:bCs/>
          <w:sz w:val="44"/>
          <w:szCs w:val="44"/>
          <w:lang w:eastAsia="zh-CN"/>
        </w:rPr>
        <w:t>荫子镇人民政府</w:t>
      </w:r>
    </w:p>
    <w:p>
      <w:pPr>
        <w:widowControl/>
        <w:spacing w:line="520" w:lineRule="exact"/>
        <w:jc w:val="center"/>
        <w:rPr>
          <w:rFonts w:hint="eastAsia" w:ascii="方正小标宋简体" w:hAnsi="ˎ̥" w:eastAsia="方正小标宋简体" w:cs="宋体"/>
          <w:bCs/>
          <w:sz w:val="44"/>
          <w:szCs w:val="44"/>
        </w:rPr>
      </w:pPr>
      <w:r>
        <w:rPr>
          <w:rFonts w:hint="eastAsia" w:ascii="方正小标宋简体" w:hAnsi="ˎ̥" w:eastAsia="方正小标宋简体" w:cs="宋体"/>
          <w:bCs/>
          <w:sz w:val="44"/>
          <w:szCs w:val="44"/>
        </w:rPr>
        <w:t xml:space="preserve">“三公”经费预算 </w:t>
      </w:r>
    </w:p>
    <w:p>
      <w:pPr>
        <w:spacing w:line="500" w:lineRule="exact"/>
      </w:pPr>
    </w:p>
    <w:p>
      <w:pPr>
        <w:spacing w:line="580" w:lineRule="exact"/>
        <w:ind w:firstLine="640" w:firstLineChars="200"/>
        <w:contextualSpacing/>
        <w:rPr>
          <w:rFonts w:hint="eastAsia" w:ascii="仿宋_GB2312" w:eastAsia="仿宋_GB2312"/>
          <w:lang w:eastAsia="zh-CN"/>
        </w:rPr>
      </w:pPr>
      <w:r>
        <w:rPr>
          <w:rFonts w:hint="eastAsia" w:ascii="仿宋_GB2312"/>
        </w:rPr>
        <w:t>根据中央、</w:t>
      </w:r>
      <w:r>
        <w:rPr>
          <w:rFonts w:ascii="仿宋_GB2312"/>
        </w:rPr>
        <w:t>省</w:t>
      </w:r>
      <w:r>
        <w:rPr>
          <w:rFonts w:hint="eastAsia" w:ascii="仿宋_GB2312"/>
        </w:rPr>
        <w:t>级</w:t>
      </w:r>
      <w:r>
        <w:rPr>
          <w:rFonts w:ascii="仿宋_GB2312"/>
        </w:rPr>
        <w:t>、威海和</w:t>
      </w:r>
      <w:r>
        <w:rPr>
          <w:rFonts w:hint="eastAsia" w:ascii="仿宋_GB2312"/>
        </w:rPr>
        <w:t>市委</w:t>
      </w:r>
      <w:r>
        <w:rPr>
          <w:rFonts w:ascii="仿宋_GB2312"/>
        </w:rPr>
        <w:t>市政府</w:t>
      </w:r>
      <w:r>
        <w:rPr>
          <w:rFonts w:hint="eastAsia" w:ascii="仿宋_GB2312"/>
        </w:rPr>
        <w:t>关于推进预算公开工作有关部署要求，经汇总，2020年荣成市</w:t>
      </w:r>
      <w:r>
        <w:rPr>
          <w:rFonts w:hint="eastAsia" w:ascii="仿宋_GB2312"/>
          <w:lang w:eastAsia="zh-CN"/>
        </w:rPr>
        <w:t>荫子镇人民政府</w:t>
      </w:r>
      <w:r>
        <w:rPr>
          <w:rFonts w:hint="eastAsia" w:ascii="仿宋_GB2312"/>
        </w:rPr>
        <w:t>预算部门使</w:t>
      </w:r>
      <w:bookmarkStart w:id="0" w:name="_GoBack"/>
      <w:bookmarkEnd w:id="0"/>
      <w:r>
        <w:rPr>
          <w:rFonts w:hint="eastAsia" w:ascii="仿宋_GB2312"/>
        </w:rPr>
        <w:t>用当年一般公共预算财政拨款安排的“三公”经费预算为</w:t>
      </w:r>
      <w:r>
        <w:rPr>
          <w:rFonts w:hint="eastAsia" w:ascii="仿宋_GB2312"/>
          <w:lang w:val="en-US" w:eastAsia="zh-CN"/>
        </w:rPr>
        <w:t>12</w:t>
      </w:r>
      <w:r>
        <w:rPr>
          <w:rFonts w:hint="eastAsia"/>
        </w:rPr>
        <w:t>万</w:t>
      </w:r>
      <w:r>
        <w:rPr>
          <w:rFonts w:hint="eastAsia" w:ascii="仿宋_GB2312"/>
        </w:rPr>
        <w:t>元，比上年</w:t>
      </w:r>
      <w:r>
        <w:rPr>
          <w:rFonts w:hint="eastAsia" w:ascii="仿宋_GB2312"/>
          <w:lang w:eastAsia="zh-CN"/>
        </w:rPr>
        <w:t>增加</w:t>
      </w:r>
      <w:r>
        <w:rPr>
          <w:rFonts w:hint="eastAsia" w:ascii="仿宋_GB2312"/>
          <w:lang w:val="en-US" w:eastAsia="zh-CN"/>
        </w:rPr>
        <w:t>1</w:t>
      </w:r>
      <w:r>
        <w:rPr>
          <w:rFonts w:hint="eastAsia" w:ascii="仿宋_GB2312"/>
        </w:rPr>
        <w:t>万元，</w:t>
      </w:r>
      <w:r>
        <w:rPr>
          <w:rFonts w:hint="eastAsia" w:ascii="仿宋_GB2312"/>
          <w:lang w:eastAsia="zh-CN"/>
        </w:rPr>
        <w:t>增加</w:t>
      </w:r>
      <w:r>
        <w:rPr>
          <w:rFonts w:hint="eastAsia" w:ascii="仿宋_GB2312"/>
          <w:lang w:val="en-US" w:eastAsia="zh-CN"/>
        </w:rPr>
        <w:t>9.09%</w:t>
      </w:r>
      <w:r>
        <w:rPr>
          <w:rFonts w:hint="eastAsia" w:ascii="仿宋_GB2312"/>
        </w:rPr>
        <w:t>。其中，因公出国（境）费</w:t>
      </w:r>
      <w:r>
        <w:rPr>
          <w:rFonts w:hint="eastAsia" w:ascii="仿宋_GB2312"/>
          <w:lang w:val="en-US" w:eastAsia="zh-CN"/>
        </w:rPr>
        <w:t>0</w:t>
      </w:r>
      <w:r>
        <w:rPr>
          <w:rFonts w:hint="eastAsia" w:ascii="仿宋_GB2312"/>
        </w:rPr>
        <w:t>万元，公务用车购置及运行维护费</w:t>
      </w:r>
      <w:r>
        <w:rPr>
          <w:rFonts w:hint="eastAsia" w:ascii="仿宋_GB2312"/>
          <w:lang w:val="en-US" w:eastAsia="zh-CN"/>
        </w:rPr>
        <w:t>12</w:t>
      </w:r>
      <w:r>
        <w:rPr>
          <w:rFonts w:hint="eastAsia" w:ascii="仿宋_GB2312"/>
        </w:rPr>
        <w:t>万元（其中，公务用车购置费</w:t>
      </w:r>
      <w:r>
        <w:rPr>
          <w:rFonts w:ascii="仿宋_GB2312"/>
        </w:rPr>
        <w:t>0</w:t>
      </w:r>
      <w:r>
        <w:rPr>
          <w:rFonts w:hint="eastAsia" w:ascii="仿宋_GB2312"/>
        </w:rPr>
        <w:t>万元，公务用车运行维护费</w:t>
      </w:r>
      <w:r>
        <w:rPr>
          <w:rFonts w:hint="eastAsia" w:ascii="仿宋_GB2312"/>
          <w:lang w:val="en-US" w:eastAsia="zh-CN"/>
        </w:rPr>
        <w:t>12</w:t>
      </w:r>
      <w:r>
        <w:rPr>
          <w:rFonts w:hint="eastAsia" w:ascii="仿宋_GB2312"/>
        </w:rPr>
        <w:t>万元），比上年</w:t>
      </w:r>
      <w:r>
        <w:rPr>
          <w:rFonts w:hint="eastAsia" w:ascii="仿宋_GB2312"/>
          <w:lang w:eastAsia="zh-CN"/>
        </w:rPr>
        <w:t>增加</w:t>
      </w:r>
      <w:r>
        <w:rPr>
          <w:rFonts w:hint="eastAsia" w:ascii="仿宋_GB2312"/>
          <w:lang w:val="en-US" w:eastAsia="zh-CN"/>
        </w:rPr>
        <w:t>1</w:t>
      </w:r>
      <w:r>
        <w:rPr>
          <w:rFonts w:hint="eastAsia" w:ascii="仿宋_GB2312"/>
        </w:rPr>
        <w:t>万元</w:t>
      </w:r>
      <w:r>
        <w:rPr>
          <w:rFonts w:hint="eastAsia" w:ascii="仿宋_GB2312"/>
          <w:lang w:eastAsia="zh-CN"/>
        </w:rPr>
        <w:t>。</w:t>
      </w:r>
      <w:r>
        <w:rPr>
          <w:rFonts w:hint="eastAsia" w:ascii="仿宋_GB2312"/>
        </w:rPr>
        <w:t>公务接待费</w:t>
      </w:r>
      <w:r>
        <w:rPr>
          <w:rFonts w:hint="eastAsia" w:ascii="仿宋_GB2312"/>
          <w:lang w:val="en-US" w:eastAsia="zh-CN"/>
        </w:rPr>
        <w:t>0</w:t>
      </w:r>
      <w:r>
        <w:rPr>
          <w:rFonts w:hint="eastAsia" w:ascii="仿宋_GB2312"/>
        </w:rPr>
        <w:t>万元</w:t>
      </w:r>
      <w:r>
        <w:rPr>
          <w:rFonts w:hint="eastAsia" w:ascii="仿宋_GB2312"/>
          <w:lang w:eastAsia="zh-CN"/>
        </w:rPr>
        <w:t>。</w:t>
      </w:r>
    </w:p>
    <w:p>
      <w:pPr>
        <w:spacing w:line="580" w:lineRule="exact"/>
        <w:ind w:firstLine="640" w:firstLineChars="200"/>
        <w:contextualSpacing/>
        <w:rPr>
          <w:rFonts w:ascii="黑体" w:hAnsi="黑体" w:eastAsia="黑体"/>
        </w:rPr>
      </w:pPr>
      <w:r>
        <w:rPr>
          <w:rFonts w:hint="eastAsia" w:ascii="黑体" w:hAnsi="黑体" w:eastAsia="黑体"/>
        </w:rPr>
        <w:t>注 释：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1、因公出国（境）费反映单位公务出国（境）的国际旅费、国外城市间交通费、住宿费、伙食费、培训费、公杂费等支出。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2、公务用车购置及运行维护费反映单位公务用车购置支出（含车辆购置税、牌照费）以及燃料费、维修费、过路过桥费、保险费、安全奖励费用等支出。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3、公务接待费反映单位按规定开支的各类公务接待（含外宾接待）费用。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4BC2"/>
    <w:rsid w:val="00177F02"/>
    <w:rsid w:val="00187246"/>
    <w:rsid w:val="003D315E"/>
    <w:rsid w:val="00524BC2"/>
    <w:rsid w:val="006C0B04"/>
    <w:rsid w:val="524B3CD1"/>
    <w:rsid w:val="68FC3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napToGrid w:val="0"/>
      <w:spacing w:line="360" w:lineRule="auto"/>
      <w:jc w:val="both"/>
    </w:pPr>
    <w:rPr>
      <w:rFonts w:ascii="Times New Roman" w:hAnsi="Times New Roman" w:eastAsia="仿宋_GB2312" w:cs="Times New Roman"/>
      <w:kern w:val="0"/>
      <w:sz w:val="32"/>
      <w:szCs w:val="3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adjustRightInd/>
      <w:spacing w:line="240" w:lineRule="auto"/>
      <w:jc w:val="left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adjustRightInd/>
      <w:spacing w:line="240" w:lineRule="auto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73</Words>
  <Characters>420</Characters>
  <Lines>3</Lines>
  <Paragraphs>1</Paragraphs>
  <TotalTime>3</TotalTime>
  <ScaleCrop>false</ScaleCrop>
  <LinksUpToDate>false</LinksUpToDate>
  <CharactersWithSpaces>492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2020-06-16T06:07:00Z</dcterms:created>
  <dc:creator>刘英杰</dc:creator>
  <cp:lastModifiedBy>Administrator</cp:lastModifiedBy>
  <dcterms:modified xsi:type="dcterms:W3CDTF">2020-06-24T00:11:31Z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