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方正小标宋简体" w:hAnsi="方正小标宋简体" w:eastAsia="方正小标宋简体" w:cs="方正小标宋简体"/>
          <w:sz w:val="44"/>
          <w:szCs w:val="44"/>
          <w:vertAlign w:val="baseline"/>
          <w:lang w:val="en-US" w:eastAsia="zh-CN"/>
        </w:rPr>
      </w:pPr>
      <w:bookmarkStart w:id="0" w:name="_GoBack"/>
      <w:bookmarkEnd w:id="0"/>
      <w:r>
        <w:rPr>
          <w:rFonts w:hint="eastAsia" w:ascii="方正小标宋简体" w:hAnsi="方正小标宋简体" w:eastAsia="方正小标宋简体" w:cs="方正小标宋简体"/>
          <w:sz w:val="44"/>
          <w:szCs w:val="44"/>
          <w:lang w:val="en-US" w:eastAsia="zh-CN"/>
        </w:rPr>
        <w:t>荣成市海洋发展局随机抽查事项清单</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5"/>
        <w:gridCol w:w="1260"/>
        <w:gridCol w:w="1140"/>
        <w:gridCol w:w="1215"/>
        <w:gridCol w:w="1140"/>
        <w:gridCol w:w="1080"/>
        <w:gridCol w:w="1320"/>
        <w:gridCol w:w="1380"/>
        <w:gridCol w:w="4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序号</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抽查事项</w:t>
            </w:r>
          </w:p>
        </w:tc>
        <w:tc>
          <w:tcPr>
            <w:tcW w:w="11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检查对象</w:t>
            </w:r>
          </w:p>
        </w:tc>
        <w:tc>
          <w:tcPr>
            <w:tcW w:w="121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抽查内容</w:t>
            </w:r>
          </w:p>
        </w:tc>
        <w:tc>
          <w:tcPr>
            <w:tcW w:w="11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事项类别</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检查方式</w:t>
            </w:r>
          </w:p>
        </w:tc>
        <w:tc>
          <w:tcPr>
            <w:tcW w:w="132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抽查比例及频次</w:t>
            </w:r>
          </w:p>
        </w:tc>
        <w:tc>
          <w:tcPr>
            <w:tcW w:w="138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检查部门及实施层级</w:t>
            </w:r>
          </w:p>
        </w:tc>
        <w:tc>
          <w:tcPr>
            <w:tcW w:w="478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检查依据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1</w:t>
            </w:r>
          </w:p>
        </w:tc>
        <w:tc>
          <w:tcPr>
            <w:tcW w:w="1260"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落实进出港渔船登记制度的检查</w:t>
            </w:r>
          </w:p>
        </w:tc>
        <w:tc>
          <w:tcPr>
            <w:tcW w:w="1140"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渔港经营人</w:t>
            </w:r>
          </w:p>
        </w:tc>
        <w:tc>
          <w:tcPr>
            <w:tcW w:w="1215"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登记制度建立、渔船身份核验和安全检查情况</w:t>
            </w:r>
          </w:p>
        </w:tc>
        <w:tc>
          <w:tcPr>
            <w:tcW w:w="1140"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一般检查事项</w:t>
            </w:r>
          </w:p>
        </w:tc>
        <w:tc>
          <w:tcPr>
            <w:tcW w:w="1080"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现场检查</w:t>
            </w:r>
          </w:p>
        </w:tc>
        <w:tc>
          <w:tcPr>
            <w:tcW w:w="1320"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抽查比例为30%；</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抽查频次为每半年1次</w:t>
            </w:r>
          </w:p>
        </w:tc>
        <w:tc>
          <w:tcPr>
            <w:tcW w:w="1380"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县级渔业主管部门</w:t>
            </w:r>
          </w:p>
        </w:tc>
        <w:tc>
          <w:tcPr>
            <w:tcW w:w="4785"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山东省规范海洋渔业船舶捕捞规定》第三条第一款：渔业港口应当建立海洋渔业船舶进出港登记制度，核验进港渔业船舶身份，检查出港渔业船舶安全设备以及船员配备等情况，不得为违法渔业船舶提供港口服务。法律、行政法规另有规定的，从其规定。第四款：渔业港口违反本条第一款规定的，由县级以上人民政府渔业行政主管部门责令改正，处十万元以上五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2</w:t>
            </w:r>
          </w:p>
        </w:tc>
        <w:tc>
          <w:tcPr>
            <w:tcW w:w="1260"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渔业船员培训质量的检查</w:t>
            </w:r>
          </w:p>
        </w:tc>
        <w:tc>
          <w:tcPr>
            <w:tcW w:w="1140"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渔业船员培训机构</w:t>
            </w:r>
          </w:p>
        </w:tc>
        <w:tc>
          <w:tcPr>
            <w:tcW w:w="1215"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渔业船员培训质量</w:t>
            </w:r>
          </w:p>
        </w:tc>
        <w:tc>
          <w:tcPr>
            <w:tcW w:w="1140"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一般检查事项</w:t>
            </w:r>
          </w:p>
        </w:tc>
        <w:tc>
          <w:tcPr>
            <w:tcW w:w="1080"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现场检查</w:t>
            </w:r>
          </w:p>
        </w:tc>
        <w:tc>
          <w:tcPr>
            <w:tcW w:w="1320"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抽查比例为30%；</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抽查频次为每半年1次</w:t>
            </w:r>
          </w:p>
        </w:tc>
        <w:tc>
          <w:tcPr>
            <w:tcW w:w="1380"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县级渔业主管部门</w:t>
            </w:r>
          </w:p>
        </w:tc>
        <w:tc>
          <w:tcPr>
            <w:tcW w:w="4785" w:type="dxa"/>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微软雅黑" w:hAnsi="微软雅黑" w:eastAsia="微软雅黑" w:cs="微软雅黑"/>
                <w:sz w:val="21"/>
                <w:szCs w:val="21"/>
                <w:vertAlign w:val="baseline"/>
                <w:lang w:val="en-US" w:eastAsia="zh-CN"/>
              </w:rPr>
            </w:pPr>
            <w:r>
              <w:rPr>
                <w:rFonts w:hint="eastAsia" w:ascii="微软雅黑" w:hAnsi="微软雅黑" w:eastAsia="微软雅黑" w:cs="微软雅黑"/>
                <w:sz w:val="21"/>
                <w:szCs w:val="21"/>
                <w:vertAlign w:val="baseline"/>
                <w:lang w:val="en-US" w:eastAsia="zh-CN"/>
              </w:rPr>
              <w:t>《中华人民共和国渔业船员管理办法》第三条第二款：县级以上地方人民政府渔业行政主管部门及其所属的渔政渔港监督管理机构，依照各自职责负责渔业船员管理工作。第三十六条：渔政渔港监督管理机构应当依法对渔业船舶持证情况、任职资格和资历、履职情况、安全记录、船员培训机构培训质量、船员服务机构诚实守信情况等进行监督检查，必要时可对船员进行现场考核。</w:t>
            </w:r>
          </w:p>
        </w:tc>
      </w:tr>
    </w:tbl>
    <w:p>
      <w:pPr>
        <w:jc w:val="center"/>
        <w:rPr>
          <w:rFonts w:hint="default" w:ascii="方正小标宋简体" w:hAnsi="方正小标宋简体" w:eastAsia="方正小标宋简体" w:cs="方正小标宋简体"/>
          <w:sz w:val="44"/>
          <w:szCs w:val="44"/>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B47EBD"/>
    <w:rsid w:val="105735A7"/>
    <w:rsid w:val="14AD3601"/>
    <w:rsid w:val="290F3EF6"/>
    <w:rsid w:val="540A174B"/>
    <w:rsid w:val="6EB47E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59</TotalTime>
  <ScaleCrop>false</ScaleCrop>
  <LinksUpToDate>false</LinksUpToDate>
  <CharactersWithSpaces>0</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2021-08-25T05:37:00Z</dcterms:created>
  <dc:creator>当时只道是寻常</dc:creator>
  <cp:lastModifiedBy>Administrator</cp:lastModifiedBy>
  <dcterms:modified xsi:type="dcterms:W3CDTF">2022-05-12T03:29:12Z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F0765108EB38430EB1A39E05D3582D97</vt:lpwstr>
  </property>
</Properties>
</file>