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W w:w="853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8292"/>
        <w:gridCol w:w="2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8292"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Style w:val="5"/>
                <w:rFonts w:hint="eastAsia" w:ascii="宋体" w:hAnsi="宋体" w:eastAsia="宋体" w:cs="宋体"/>
                <w:b/>
                <w:bCs/>
                <w:i w:val="0"/>
                <w:iCs w:val="0"/>
                <w:caps w:val="0"/>
                <w:color w:val="515151"/>
                <w:spacing w:val="15"/>
                <w:sz w:val="19"/>
                <w:szCs w:val="19"/>
              </w:rPr>
              <w:t>目    录</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第一部分  荣成市上庄镇人民政府概况</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一、机构职责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二、预算单位构成</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第二部分  2016年上庄镇人民政府“三公”经费预算表</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表一、2016年上庄镇人民政府“三公”经费预算表</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第三部分  2016年“三公”经费预算安排情况说明</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第四部分  名词解释</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第一部分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概    况</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一、机构职责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上庄镇人民政府是乡镇一级人民政府，下设党政办公室、经济发展办公室、社会事务办公室和镇村建设办公室四大办公室。</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政府职责：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一、宣传、贯彻、落实党的路线、方针、政策和上级党委、政府的指示、决议、决定。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二、贯彻党和国家的政策、法律、法规，开展社会主义民主与法制宣传，弘扬社会公德，加强家庭美德教育，形成安全、稳定的社会新秩序。</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三、协调好本镇与外地区的经济交流与合作，抓好招商引资，搞好商品流通，促进经济发展。指导、协调村民委员会发展经济，开展科技兴镇，完成市政府下达的各项经济指标任务。</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四、制定并组织实施村镇建设规划，部署重点工程建设，地方道路建设及公共设施，水利设施的管理，负责土地、林木、水等自然资源和生态环境的保护，做好护林防火工作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五、贯彻执行党和国家的计划生育方针、政策、法规，拟定本镇人口与计划生育的年度计划，协同有关部门开展计划生育、爱国卫生、防病保健、村容环境卫生、环境保护和劳动就业等管理工作，加强对村民委员会计生工作的指导</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六、指导、支持和帮助村民委员会开展工作，促进村民委员会的组织建设和制度建设。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七、管理本镇教育、文化、科技体育、卫生、人民调解组织建设；做好法制宣传、教育、法律服务、民间纠纷调解工作。依法逐级向市人民政府反映农民群众的意见和要求，接待、办理人民群众来信、来访事项。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八、实施本镇社会治安综合治理计划，并组织、指导、协调、检查各单位工作。做好定补、救灾救济扶贫、双拥、优待、抚恤、老龄、五保、殡改等工作。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九、搞好本镇民兵组织建设、国防教育、军事训练、征兵等工作。配合上级有关部门做好防汛、防震、防火、防灾、救灾工作。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十、编制财政预算内、预算外、自筹资金的年度预算、决算和管理，执行镇人代会审查批准的财政收支预算和市政府下达的收支任务，做好各项财政收入的征收管理、划解工作。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十一、建立健全各项财务会计制度，加强对本镇企业、事业、行政单位财务指导管理，提高财政资金使用效益，促进经济和社会事业的协调发展。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十二、抓好精神文明建设，丰富群众文化生活，提倡移风易俗，反对封建迷信，破除陈规陋习，树立社会主义新风尚。</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十三、完成上级政府部署的各项工作。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（一）党政办公室工作职责：</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1、贯彻执行党的路线、方针、政策，努力提高政治思想和理论水平，树立全心全意为人民服务的思想。</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2、认真履行职责，充分发挥参谋作用、助手作用、提供信息作用、协调组织作用，为党委、政府献计献策。</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3、严格按照公文处理办法，及时做好文件的收发、登记、拟办、承办、催办、传阅、清退、立卷归档等工作。</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4、保守秘密，认真做好各种会议的会务安排，负责记录、整理和保存各种会议资料。</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5、协调领导与领导、领导与部门、部门与部门之间的关系，督促检查各部门的工作开展情况，及时向有关领导和部门反馈信息。</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6、认真做好考勤、车辆、食堂等后勤管理工作，认真开展政务公开，做好人民群众的来信来访工作。</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7、完成镇党委、政府和上级有关部门交办的其他工作任务。</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（二）社会事务办公室工作职责：</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研究拟订本辖区的工作计划、阶段性工作方案，提交会并负责组织实施；掌握、分析辖区内的社会治安形势和工作动态，及时向上反馈信息，重大问题提请镇党委、政府研究解决；组织、协调各有关部门共同解决辖区内突出的社会问题；指导、检查、督促基层党支部、村委会和辖区内的单位和企事业开展社会治安综合治理工作，对存在问题的单位提出整改意见，并视情况提出行使一票否决权的建议；协助有关部门，指导治保会、调解会和各种形式的群防群治队伍的工作；开展调查研究，总结推广经验；；办理上级交办的有关社会事务工作的的其他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（三）经济发展办公室工作职责：</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贯彻执行党和政府有关发展乡镇经济的方针、政策和法规，监督检查执行情况，并做好镇企业的调查研究；负责拟定企业发展规划及编制指导年度计划，检查督促计划任务的完成，并做好目标责任制考核及评比工作；按照检查、指导、督促辖区内企业各项安全制度的执行，保证安全生产；认真承办镇党委、政府和上级业务部门交办的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（四）村镇建设办公室职责：</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1、宣传、贯彻《城市规划法》、《建筑法》、《环境保护法》以及国家和省、地、县有关村镇建设管理的方针、政策、法规，协助镇政府以及村委员制定和完善村镇建设管理的具体实施办法。</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2、参与编制本镇域的总体规划，参与和知道编制所辖各村的建设规划。</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3、责编制和实施村镇建设年度计划，包括计划工程量，投资估算，建设项目的选址定点，公建项目的材料、施工管理及竣工验收、分配上级部门调拨的农房建材等。</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4、认真组织各项建设用地及农民宅基用地的申报、查验工作，包括审查、汇总、报送各类用地（含宅基地）的申请；核发宅基地使用证和建设施工许可证；负责农宅及各类建设的放线、验线；负责农房及各类工程的建设质量监督和检验；解决村镇违章建房、不合理使用宅基地及有关宅基地纠纷等；协助上级部门完成国家建设征用土地工作。</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5、负责指导村级建设助理员的工作，在村镇建设中，推广和使用新材料、新技术、新方法、宣传和解决本乡镇规划的有关内容。</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6、认真做好村镇建设管理费的征收和使用，并接受财务、物价部门的检查和监督。</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7、了解和掌握本镇各项建设进展情况，做好村镇建设统计工作，按时填写并上报村镇建设统计报表，完成村镇建设基础材料，规划设计施工资料，有关文件、图片等的搜集、整理和存档工作。</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8、抓好建设项目的管理、督促建设和施工单位严格执行基本建设程序，杜绝各类事故的发生，保护测量标志。确保国家和本镇的各科测量标志不受破坏。</w:t>
            </w:r>
            <w:r>
              <w:rPr>
                <w:rFonts w:hint="eastAsia" w:ascii="宋体" w:hAnsi="宋体" w:eastAsia="宋体" w:cs="宋体"/>
                <w:i w:val="0"/>
                <w:iCs w:val="0"/>
                <w:caps w:val="0"/>
                <w:color w:val="515151"/>
                <w:spacing w:val="15"/>
                <w:sz w:val="19"/>
                <w:szCs w:val="19"/>
              </w:rPr>
              <w:br w:type="textWrapping"/>
            </w:r>
            <w:r>
              <w:rPr>
                <w:rFonts w:hint="eastAsia" w:ascii="宋体" w:hAnsi="宋体" w:eastAsia="宋体" w:cs="宋体"/>
                <w:i w:val="0"/>
                <w:iCs w:val="0"/>
                <w:caps w:val="0"/>
                <w:color w:val="515151"/>
                <w:spacing w:val="15"/>
                <w:sz w:val="19"/>
                <w:szCs w:val="19"/>
              </w:rPr>
              <w:t>              9、积极主动的完成市建委和镇党委、政府交办的各项任务。</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二、预算单位构成</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纳入2016年预算编制范围的单位详细情况见下表：</w:t>
            </w:r>
          </w:p>
          <w:tbl>
            <w:tblPr>
              <w:tblStyle w:val="3"/>
              <w:tblW w:w="0" w:type="auto"/>
              <w:tblInd w:w="10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904"/>
              <w:gridCol w:w="6035"/>
              <w:gridCol w:w="12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914"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序号</w:t>
                  </w:r>
                </w:p>
              </w:tc>
              <w:tc>
                <w:tcPr>
                  <w:tcW w:w="6117"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单位名称</w:t>
                  </w:r>
                </w:p>
              </w:tc>
              <w:tc>
                <w:tcPr>
                  <w:tcW w:w="1259"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914"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1</w:t>
                  </w:r>
                </w:p>
              </w:tc>
              <w:tc>
                <w:tcPr>
                  <w:tcW w:w="6117"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荣成市上庄镇人民政府</w:t>
                  </w:r>
                </w:p>
              </w:tc>
              <w:tc>
                <w:tcPr>
                  <w:tcW w:w="1259"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914"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 </w:t>
                  </w:r>
                </w:p>
              </w:tc>
              <w:tc>
                <w:tcPr>
                  <w:tcW w:w="6117"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c>
                <w:tcPr>
                  <w:tcW w:w="1259"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914"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 </w:t>
                  </w:r>
                </w:p>
              </w:tc>
              <w:tc>
                <w:tcPr>
                  <w:tcW w:w="6117"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c>
                <w:tcPr>
                  <w:tcW w:w="1259"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97" w:hRule="atLeast"/>
              </w:trPr>
              <w:tc>
                <w:tcPr>
                  <w:tcW w:w="914"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 </w:t>
                  </w:r>
                </w:p>
              </w:tc>
              <w:tc>
                <w:tcPr>
                  <w:tcW w:w="6117"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c>
                <w:tcPr>
                  <w:tcW w:w="1259"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420" w:lineRule="atLeast"/>
              <w:ind w:left="0" w:right="0"/>
              <w:jc w:val="left"/>
            </w:pPr>
            <w:r>
              <w:rPr>
                <w:rFonts w:hint="eastAsia" w:ascii="宋体" w:hAnsi="宋体" w:eastAsia="宋体" w:cs="宋体"/>
                <w:i w:val="0"/>
                <w:iCs w:val="0"/>
                <w:caps w:val="0"/>
                <w:color w:val="515151"/>
                <w:spacing w:val="15"/>
                <w:sz w:val="19"/>
                <w:szCs w:val="19"/>
              </w:rPr>
              <w:t>第二部分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2016年上庄镇人民政府</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“三公”经费预算表</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tbl>
            <w:tblPr>
              <w:tblStyle w:val="3"/>
              <w:tblW w:w="0" w:type="auto"/>
              <w:tblInd w:w="10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1214"/>
              <w:gridCol w:w="1336"/>
              <w:gridCol w:w="740"/>
              <w:gridCol w:w="1223"/>
              <w:gridCol w:w="1357"/>
              <w:gridCol w:w="1138"/>
              <w:gridCol w:w="11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8289" w:type="dxa"/>
                  <w:gridSpan w:val="7"/>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2016年荣成市上庄镇人民政府“三公”经费预算表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1230"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单位名称：</w:t>
                  </w:r>
                </w:p>
              </w:tc>
              <w:tc>
                <w:tcPr>
                  <w:tcW w:w="1349"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right"/>
                  </w:pPr>
                  <w:r>
                    <w:rPr>
                      <w:rFonts w:hint="eastAsia" w:ascii="宋体" w:hAnsi="宋体" w:eastAsia="宋体" w:cs="宋体"/>
                      <w:sz w:val="24"/>
                      <w:szCs w:val="24"/>
                    </w:rPr>
                    <w:t> </w:t>
                  </w:r>
                </w:p>
              </w:tc>
              <w:tc>
                <w:tcPr>
                  <w:tcW w:w="748" w:type="dxa"/>
                  <w:shd w:val="clear" w:color="auto" w:fill="auto"/>
                  <w:tcMar>
                    <w:top w:w="0" w:type="dxa"/>
                    <w:left w:w="0" w:type="dxa"/>
                    <w:bottom w:w="0" w:type="dxa"/>
                    <w:right w:w="0" w:type="dxa"/>
                  </w:tcMar>
                  <w:vAlign w:val="bottom"/>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c>
                <w:tcPr>
                  <w:tcW w:w="1244" w:type="dxa"/>
                  <w:shd w:val="clear" w:color="auto" w:fill="auto"/>
                  <w:tcMar>
                    <w:top w:w="0" w:type="dxa"/>
                    <w:left w:w="0" w:type="dxa"/>
                    <w:bottom w:w="0" w:type="dxa"/>
                    <w:right w:w="0" w:type="dxa"/>
                  </w:tcMar>
                  <w:vAlign w:val="bottom"/>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c>
                <w:tcPr>
                  <w:tcW w:w="1378" w:type="dxa"/>
                  <w:shd w:val="clear" w:color="auto" w:fill="auto"/>
                  <w:tcMar>
                    <w:top w:w="0" w:type="dxa"/>
                    <w:left w:w="0" w:type="dxa"/>
                    <w:bottom w:w="0" w:type="dxa"/>
                    <w:right w:w="0" w:type="dxa"/>
                  </w:tcMar>
                  <w:vAlign w:val="bottom"/>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c>
                <w:tcPr>
                  <w:tcW w:w="2340" w:type="dxa"/>
                  <w:gridSpan w:val="2"/>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    单位：千元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1230" w:type="dxa"/>
                  <w:vMerge w:val="restart"/>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总计</w:t>
                  </w:r>
                </w:p>
              </w:tc>
              <w:tc>
                <w:tcPr>
                  <w:tcW w:w="1349" w:type="dxa"/>
                  <w:vMerge w:val="restart"/>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因公出国（境）经费</w:t>
                  </w:r>
                </w:p>
              </w:tc>
              <w:tc>
                <w:tcPr>
                  <w:tcW w:w="3370" w:type="dxa"/>
                  <w:gridSpan w:val="3"/>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公务用车购置和运行维护费</w:t>
                  </w:r>
                </w:p>
              </w:tc>
              <w:tc>
                <w:tcPr>
                  <w:tcW w:w="1149" w:type="dxa"/>
                  <w:vMerge w:val="restart"/>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公务接待费</w:t>
                  </w:r>
                </w:p>
              </w:tc>
              <w:tc>
                <w:tcPr>
                  <w:tcW w:w="1191" w:type="dxa"/>
                  <w:vMerge w:val="restart"/>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1230" w:type="dxa"/>
                  <w:vMerge w:val="continue"/>
                  <w:shd w:val="clear" w:color="auto" w:fill="auto"/>
                  <w:tcMar>
                    <w:top w:w="0" w:type="dxa"/>
                    <w:left w:w="0" w:type="dxa"/>
                    <w:bottom w:w="0" w:type="dxa"/>
                    <w:right w:w="0" w:type="dxa"/>
                  </w:tcMar>
                  <w:vAlign w:val="center"/>
                </w:tcPr>
                <w:p>
                  <w:pPr>
                    <w:rPr>
                      <w:rFonts w:hint="eastAsia" w:ascii="宋体"/>
                      <w:sz w:val="24"/>
                      <w:szCs w:val="24"/>
                    </w:rPr>
                  </w:pPr>
                </w:p>
              </w:tc>
              <w:tc>
                <w:tcPr>
                  <w:tcW w:w="1349" w:type="dxa"/>
                  <w:vMerge w:val="continue"/>
                  <w:shd w:val="clear" w:color="auto" w:fill="auto"/>
                  <w:tcMar>
                    <w:top w:w="0" w:type="dxa"/>
                    <w:left w:w="0" w:type="dxa"/>
                    <w:bottom w:w="0" w:type="dxa"/>
                    <w:right w:w="0" w:type="dxa"/>
                  </w:tcMar>
                  <w:vAlign w:val="center"/>
                </w:tcPr>
                <w:p>
                  <w:pPr>
                    <w:rPr>
                      <w:rFonts w:hint="eastAsia" w:ascii="宋体"/>
                      <w:sz w:val="24"/>
                      <w:szCs w:val="24"/>
                    </w:rPr>
                  </w:pPr>
                </w:p>
              </w:tc>
              <w:tc>
                <w:tcPr>
                  <w:tcW w:w="748"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小计</w:t>
                  </w:r>
                </w:p>
              </w:tc>
              <w:tc>
                <w:tcPr>
                  <w:tcW w:w="1244"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公务用车购置经费</w:t>
                  </w:r>
                </w:p>
              </w:tc>
              <w:tc>
                <w:tcPr>
                  <w:tcW w:w="1378"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公务用车运行维护费</w:t>
                  </w:r>
                </w:p>
              </w:tc>
              <w:tc>
                <w:tcPr>
                  <w:tcW w:w="1149" w:type="dxa"/>
                  <w:vMerge w:val="continue"/>
                  <w:shd w:val="clear" w:color="auto" w:fill="auto"/>
                  <w:tcMar>
                    <w:top w:w="0" w:type="dxa"/>
                    <w:left w:w="0" w:type="dxa"/>
                    <w:bottom w:w="0" w:type="dxa"/>
                    <w:right w:w="0" w:type="dxa"/>
                  </w:tcMar>
                  <w:vAlign w:val="center"/>
                </w:tcPr>
                <w:p>
                  <w:pPr>
                    <w:rPr>
                      <w:rFonts w:hint="eastAsia" w:ascii="宋体"/>
                      <w:sz w:val="24"/>
                      <w:szCs w:val="24"/>
                    </w:rPr>
                  </w:pPr>
                </w:p>
              </w:tc>
              <w:tc>
                <w:tcPr>
                  <w:tcW w:w="1191" w:type="dxa"/>
                  <w:vMerge w:val="continue"/>
                  <w:shd w:val="clear" w:color="auto" w:fill="auto"/>
                  <w:tcMar>
                    <w:top w:w="0" w:type="dxa"/>
                    <w:left w:w="0" w:type="dxa"/>
                    <w:bottom w:w="0" w:type="dxa"/>
                    <w:right w:w="0" w:type="dxa"/>
                  </w:tcMar>
                  <w:vAlign w:val="center"/>
                </w:tcPr>
                <w:p>
                  <w:pPr>
                    <w:rPr>
                      <w:rFonts w:hint="eastAsia" w:ascii="宋体"/>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1230"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1"/>
                      <w:szCs w:val="21"/>
                    </w:rPr>
                    <w:t>504</w:t>
                  </w:r>
                </w:p>
              </w:tc>
              <w:tc>
                <w:tcPr>
                  <w:tcW w:w="1349" w:type="dxa"/>
                  <w:shd w:val="clear" w:color="auto" w:fill="auto"/>
                  <w:tcMar>
                    <w:top w:w="0" w:type="dxa"/>
                    <w:left w:w="0" w:type="dxa"/>
                    <w:bottom w:w="0" w:type="dxa"/>
                    <w:right w:w="0" w:type="dxa"/>
                  </w:tcMar>
                  <w:vAlign w:val="center"/>
                </w:tcPr>
                <w:p>
                  <w:pPr>
                    <w:rPr>
                      <w:rFonts w:hint="eastAsia" w:ascii="宋体"/>
                      <w:sz w:val="24"/>
                      <w:szCs w:val="24"/>
                    </w:rPr>
                  </w:pPr>
                </w:p>
              </w:tc>
              <w:tc>
                <w:tcPr>
                  <w:tcW w:w="748"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500</w:t>
                  </w:r>
                </w:p>
              </w:tc>
              <w:tc>
                <w:tcPr>
                  <w:tcW w:w="1244"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0</w:t>
                  </w:r>
                </w:p>
              </w:tc>
              <w:tc>
                <w:tcPr>
                  <w:tcW w:w="1378"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4"/>
                      <w:szCs w:val="24"/>
                    </w:rPr>
                    <w:t>500</w:t>
                  </w:r>
                </w:p>
              </w:tc>
              <w:tc>
                <w:tcPr>
                  <w:tcW w:w="1149"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center"/>
                  </w:pPr>
                  <w:r>
                    <w:rPr>
                      <w:rFonts w:hint="eastAsia" w:ascii="宋体" w:hAnsi="宋体" w:eastAsia="宋体" w:cs="宋体"/>
                      <w:sz w:val="21"/>
                      <w:szCs w:val="21"/>
                    </w:rPr>
                    <w:t>4</w:t>
                  </w:r>
                </w:p>
              </w:tc>
              <w:tc>
                <w:tcPr>
                  <w:tcW w:w="1191" w:type="dxa"/>
                  <w:shd w:val="clear" w:color="auto" w:fill="auto"/>
                  <w:tcMar>
                    <w:top w:w="0" w:type="dxa"/>
                    <w:left w:w="0" w:type="dxa"/>
                    <w:bottom w:w="0" w:type="dxa"/>
                    <w:right w:w="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left"/>
                  </w:pPr>
                  <w:r>
                    <w:rPr>
                      <w:rFonts w:hint="eastAsia" w:ascii="宋体" w:hAnsi="宋体" w:eastAsia="宋体" w:cs="宋体"/>
                      <w:sz w:val="24"/>
                      <w:szCs w:val="24"/>
                    </w:rPr>
                    <w:t>　</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第三部分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2016年上庄镇人民政府预算</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“三公”经费情况说明</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Style w:val="5"/>
                <w:rFonts w:hint="eastAsia" w:ascii="宋体" w:hAnsi="宋体" w:eastAsia="宋体" w:cs="宋体"/>
                <w:b/>
                <w:bCs/>
                <w:i w:val="0"/>
                <w:iCs w:val="0"/>
                <w:caps w:val="0"/>
                <w:color w:val="515151"/>
                <w:spacing w:val="15"/>
                <w:sz w:val="19"/>
                <w:szCs w:val="19"/>
              </w:rPr>
              <w:t>一、预算编制的基本原则和方法</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（一）、预算编制的基本原则：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合法性原则:部门预算的编制要符合《预算法》和国家其他法律、法规，充分体现 国家的有关方针、政策，还要在法律赋予部门的职能范围内编制。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真实性原则:部门预算收支的预测必须以国家社会经济发展计划和履行部门职能的 需要为依据，对每一收支项目的数字指标运用科学合理的方法加以测算，力求各项收支 数据真实准确。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稳妥性原则:部门预算的编制要做到稳妥可靠，量入为出，收支平衡，不得编制赤 字预算。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重点性原则:部门预算编制要做到合理安排各项资金，本着“一要吃饭，二要建设” 的方针，在兼顾一般的同时优先保证重点支出。根据重点性原则，要先保证基本支出， 后安排项目支出;先重点、急需项目，后一般项目。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完整性原则:部门预算编制要体现综合预算的思想。各种预算外资金要严格执行收 支两条线管理，所有收入和支出全部纳入预算管理。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透明性原则:部门预算要体现公平、透明原则。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部门参与性原则:部门预算应为各单位提供一种规范的模式，使部门可以将其所有 收支情况通过法定预算的形式进行编制和使用。部门应根据本部门职能、事业发展规划 制订年度预算框架。</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（二）、预算编制方法：</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1、制定预算编制方案，根据预算编制原则制定部门预算编制方案，明确预算编制的口径、标准、时间要求等，经领导审批后实施。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2、编制预算。财政所对预算单位上报的基础数据资料进行审核，依据定额标准及政策规定，提取预算安排意见，报送镇领导审批。</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3、形成预算草案。根据领导提出的修改建议，财政所对预算安排意见进行修改调整，形成预算草案。</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4、提交人大审议。预算草案报镇政府汇报通过后，提交镇人代会审议。</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5、组织实施。镇人大会批准后，财政部门对批准后的预算组织实施。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r>
              <w:rPr>
                <w:rStyle w:val="5"/>
                <w:rFonts w:hint="eastAsia" w:ascii="宋体" w:hAnsi="宋体" w:eastAsia="宋体" w:cs="宋体"/>
                <w:b/>
                <w:bCs/>
                <w:i w:val="0"/>
                <w:iCs w:val="0"/>
                <w:caps w:val="0"/>
                <w:color w:val="515151"/>
                <w:spacing w:val="15"/>
                <w:sz w:val="19"/>
                <w:szCs w:val="19"/>
              </w:rPr>
              <w:t>“三公”经费预算情况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2016年，“三公”经费预算共50.4万元，其中：因公出国（境）费0 万元，公务用车购置及运行费50万元，公务接待费4000元。</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2016年“三公”经费预算比2015年增加5.7 万元，其中：因公出国（境）费增加0万元、公务用车购置及运行费增加5.7万元。公务用车购置及运行费增加的主要原因是2015年 新购置一台安监车和洒水运行维护费增加。</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第四部分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名词解释</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 一、“三公”经费：包括因公出国（境）费、公务接待费、公务用车购置及运行维护费。</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二、因公出国（境）费用：指单位按照《山东省因公临时出国经费管理实施办法》和《山东省因公短期出国培训费用管理实施办法》开支的公务出国（境）的培训费、国际旅费、国外城市间交通费、住宿费、伙食费、公杂费和其他费用。</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三、公务用车购置及运行费：指单位公务用车购置费及租用费、燃料费、维修费、过路过桥费、保险费、安全奖励费用等支出。公务用车指用于履行公务的机动车辆，包括一般公务用车和执法执勤用车。</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90" w:lineRule="atLeast"/>
              <w:ind w:left="0" w:right="0"/>
              <w:jc w:val="left"/>
            </w:pPr>
            <w:r>
              <w:rPr>
                <w:rFonts w:hint="eastAsia" w:ascii="宋体" w:hAnsi="宋体" w:eastAsia="宋体" w:cs="宋体"/>
                <w:i w:val="0"/>
                <w:iCs w:val="0"/>
                <w:caps w:val="0"/>
                <w:color w:val="515151"/>
                <w:spacing w:val="15"/>
                <w:sz w:val="19"/>
                <w:szCs w:val="19"/>
              </w:rPr>
              <w:t>四、公务接待费：指单位按照《荣成市党政机关国内公务接待管理办法》和《荣成市党政机关外宾接待经费管理办法》开支的</w:t>
            </w:r>
            <w:bookmarkStart w:id="0" w:name="_GoBack"/>
            <w:bookmarkEnd w:id="0"/>
            <w:r>
              <w:rPr>
                <w:rFonts w:hint="eastAsia" w:ascii="宋体" w:hAnsi="宋体" w:eastAsia="宋体" w:cs="宋体"/>
                <w:i w:val="0"/>
                <w:iCs w:val="0"/>
                <w:caps w:val="0"/>
                <w:color w:val="515151"/>
                <w:spacing w:val="15"/>
                <w:sz w:val="19"/>
                <w:szCs w:val="19"/>
              </w:rPr>
              <w:t>各类公务接待支出。</w:t>
            </w:r>
          </w:p>
        </w:tc>
        <w:tc>
          <w:tcPr>
            <w:tcW w:w="240" w:type="dxa"/>
            <w:shd w:val="clear" w:color="auto" w:fill="auto"/>
            <w:tcMar>
              <w:top w:w="0" w:type="dxa"/>
              <w:left w:w="0" w:type="dxa"/>
              <w:bottom w:w="0" w:type="dxa"/>
              <w:right w:w="0" w:type="dxa"/>
            </w:tcMar>
            <w:vAlign w:val="center"/>
          </w:tcPr>
          <w:p>
            <w:pPr>
              <w:rPr>
                <w:rFonts w:hint="eastAsia" w:ascii="sans-serif" w:hAnsi="sans-serif" w:eastAsia="sans-serif" w:cs="sans-serif"/>
                <w:i w:val="0"/>
                <w:iCs w:val="0"/>
                <w:caps w:val="0"/>
                <w:color w:val="000000"/>
                <w:spacing w:val="0"/>
                <w:sz w:val="24"/>
                <w:szCs w:val="24"/>
              </w:rPr>
            </w:pPr>
          </w:p>
        </w:tc>
      </w:tr>
    </w:tbl>
    <w:p/>
    <w:sectPr>
      <w:pgSz w:w="11905" w:h="16838"/>
      <w:pgMar w:top="1701" w:right="1418" w:bottom="1814" w:left="1474" w:header="851" w:footer="1417" w:gutter="0"/>
      <w:pgNumType w:fmt="decimal"/>
      <w:cols w:space="0" w:num="1"/>
      <w:titlePg/>
      <w:rtlGutter w:val="0"/>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JjNDU3OGUxZTA3YmE4ZTMyYzBiYWJiYzVhOWM4YTgifQ=="/>
  </w:docVars>
  <w:rsids>
    <w:rsidRoot w:val="00000000"/>
    <w:rsid w:val="28651051"/>
    <w:rsid w:val="2DE2640B"/>
    <w:rsid w:val="694F6D4D"/>
    <w:rsid w:val="6DDC0E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3723</Words>
  <Characters>3773</Characters>
  <Lines>0</Lines>
  <Paragraphs>0</Paragraphs>
  <TotalTime>0</TotalTime>
  <ScaleCrop>false</ScaleCrop>
  <LinksUpToDate>false</LinksUpToDate>
  <CharactersWithSpaces>4171</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Owner</dc:creator>
  <cp:lastModifiedBy>李宗达</cp:lastModifiedBy>
  <dcterms:modified xsi:type="dcterms:W3CDTF">2023-10-18T09:04:37Z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9FC21F7ECB9749678892D169BABA1D57</vt:lpwstr>
  </property>
</Properties>
</file>