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4"/>
        <w:tblW w:w="5000" w:type="pct"/>
        <w:tblInd w:w="0" w:type="dxa"/>
        <w:tblBorders>
          <w:top w:val="none" w:color="auto" w:sz="0" w:space="0"/>
          <w:left w:val="none" w:color="auto" w:sz="0" w:space="0"/>
          <w:bottom w:val="single" w:color="C4C4C4" w:sz="8"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8718"/>
      </w:tblGrid>
      <w:tr>
        <w:tblPrEx>
          <w:tblBorders>
            <w:top w:val="none" w:color="auto" w:sz="0" w:space="0"/>
            <w:left w:val="none" w:color="auto" w:sz="0" w:space="0"/>
            <w:bottom w:val="single" w:color="C4C4C4" w:sz="8"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c>
          <w:tcPr>
            <w:tcW w:w="0" w:type="auto"/>
            <w:tcBorders>
              <w:top w:val="nil"/>
              <w:left w:val="nil"/>
              <w:bottom w:val="nil"/>
              <w:right w:val="nil"/>
            </w:tcBorders>
            <w:shd w:val="clear" w:color="auto" w:fill="FFFFFF"/>
            <w:tcMar>
              <w:top w:w="206" w:type="dxa"/>
              <w:left w:w="206" w:type="dxa"/>
              <w:bottom w:w="206" w:type="dxa"/>
              <w:right w:w="206" w:type="dxa"/>
            </w:tcMar>
            <w:vAlign w:val="center"/>
          </w:tcPr>
          <w:p>
            <w:pPr>
              <w:widowControl/>
              <w:jc w:val="center"/>
              <w:rPr>
                <w:rFonts w:hint="eastAsia" w:ascii="微软雅黑" w:hAnsi="微软雅黑" w:eastAsia="微软雅黑" w:cs="宋体"/>
                <w:b/>
                <w:bCs/>
                <w:color w:val="C02020"/>
                <w:kern w:val="0"/>
                <w:sz w:val="41"/>
                <w:szCs w:val="41"/>
                <w:lang w:val="en-US" w:eastAsia="zh-CN"/>
              </w:rPr>
            </w:pPr>
            <w:r>
              <w:rPr>
                <w:rFonts w:hint="eastAsia" w:ascii="微软雅黑" w:hAnsi="微软雅黑" w:eastAsia="微软雅黑" w:cs="宋体"/>
                <w:b/>
                <w:bCs/>
                <w:color w:val="C02020"/>
                <w:kern w:val="0"/>
                <w:sz w:val="41"/>
                <w:szCs w:val="41"/>
                <w:lang w:val="en-US" w:eastAsia="zh-CN"/>
              </w:rPr>
              <w:t>威海市生态环境局荣成分局</w:t>
            </w:r>
          </w:p>
          <w:p>
            <w:pPr>
              <w:widowControl/>
              <w:jc w:val="center"/>
              <w:rPr>
                <w:rFonts w:ascii="微软雅黑" w:hAnsi="微软雅黑" w:eastAsia="微软雅黑" w:cs="宋体"/>
                <w:b/>
                <w:bCs/>
                <w:color w:val="C02020"/>
                <w:kern w:val="0"/>
                <w:sz w:val="41"/>
                <w:szCs w:val="41"/>
              </w:rPr>
            </w:pPr>
            <w:r>
              <w:rPr>
                <w:rFonts w:hint="eastAsia" w:ascii="微软雅黑" w:hAnsi="微软雅黑" w:eastAsia="微软雅黑" w:cs="宋体"/>
                <w:b/>
                <w:bCs/>
                <w:color w:val="C02020"/>
                <w:kern w:val="0"/>
                <w:sz w:val="41"/>
                <w:szCs w:val="41"/>
                <w:lang w:val="en-US" w:eastAsia="zh-CN"/>
              </w:rPr>
              <w:t>“双随机、一公开”</w:t>
            </w:r>
            <w:r>
              <w:rPr>
                <w:rFonts w:hint="eastAsia" w:ascii="微软雅黑" w:hAnsi="微软雅黑" w:eastAsia="微软雅黑" w:cs="宋体"/>
                <w:b/>
                <w:bCs/>
                <w:color w:val="C02020"/>
                <w:kern w:val="0"/>
                <w:sz w:val="41"/>
                <w:szCs w:val="41"/>
              </w:rPr>
              <w:t>抽查事项清单</w:t>
            </w:r>
          </w:p>
        </w:tc>
      </w:tr>
    </w:tbl>
    <w:p>
      <w:pPr>
        <w:widowControl/>
        <w:jc w:val="left"/>
        <w:rPr>
          <w:rFonts w:ascii="宋体" w:hAnsi="宋体" w:eastAsia="宋体" w:cs="宋体"/>
          <w:vanish/>
          <w:kern w:val="0"/>
          <w:sz w:val="24"/>
          <w:szCs w:val="24"/>
        </w:rPr>
      </w:pPr>
    </w:p>
    <w:tbl>
      <w:tblPr>
        <w:tblStyle w:val="4"/>
        <w:tblW w:w="5000" w:type="pct"/>
        <w:tblInd w:w="0" w:type="dxa"/>
        <w:shd w:val="clear" w:color="auto" w:fill="FFFFFF"/>
        <w:tblLayout w:type="autofit"/>
        <w:tblCellMar>
          <w:top w:w="0" w:type="dxa"/>
          <w:left w:w="0" w:type="dxa"/>
          <w:bottom w:w="0" w:type="dxa"/>
          <w:right w:w="0" w:type="dxa"/>
        </w:tblCellMar>
      </w:tblPr>
      <w:tblGrid>
        <w:gridCol w:w="9540"/>
      </w:tblGrid>
      <w:tr>
        <w:tblPrEx>
          <w:shd w:val="clear" w:color="auto" w:fill="FFFFFF"/>
          <w:tblCellMar>
            <w:top w:w="0" w:type="dxa"/>
            <w:left w:w="0" w:type="dxa"/>
            <w:bottom w:w="0" w:type="dxa"/>
            <w:right w:w="0" w:type="dxa"/>
          </w:tblCellMar>
        </w:tblPrEx>
        <w:trPr>
          <w:trHeight w:val="2700" w:hRule="atLeast"/>
        </w:trPr>
        <w:tc>
          <w:tcPr>
            <w:tcW w:w="0" w:type="auto"/>
            <w:tcBorders>
              <w:top w:val="nil"/>
              <w:left w:val="nil"/>
              <w:bottom w:val="nil"/>
              <w:right w:val="nil"/>
            </w:tcBorders>
            <w:shd w:val="clear" w:color="auto" w:fill="FFFFFF"/>
            <w:tcMar>
              <w:top w:w="411" w:type="dxa"/>
              <w:left w:w="617" w:type="dxa"/>
              <w:bottom w:w="0" w:type="dxa"/>
              <w:right w:w="617" w:type="dxa"/>
            </w:tcMar>
          </w:tcPr>
          <w:p>
            <w:pPr>
              <w:widowControl/>
              <w:spacing w:line="514" w:lineRule="atLeast"/>
              <w:jc w:val="left"/>
              <w:rPr>
                <w:rFonts w:hint="eastAsia" w:ascii="微软雅黑" w:hAnsi="微软雅黑" w:eastAsia="微软雅黑" w:cs="宋体"/>
                <w:kern w:val="0"/>
                <w:sz w:val="29"/>
                <w:szCs w:val="29"/>
              </w:rPr>
            </w:pPr>
            <w:r>
              <w:rPr>
                <w:rFonts w:hint="eastAsia" w:ascii="微软雅黑" w:hAnsi="微软雅黑" w:eastAsia="微软雅黑" w:cs="宋体"/>
                <w:kern w:val="0"/>
                <w:sz w:val="29"/>
                <w:szCs w:val="29"/>
              </w:rPr>
              <w:t> </w:t>
            </w:r>
          </w:p>
          <w:p>
            <w:pPr>
              <w:widowControl/>
              <w:spacing w:line="514" w:lineRule="atLeast"/>
              <w:jc w:val="center"/>
              <w:rPr>
                <w:rFonts w:hint="eastAsia" w:ascii="宋体" w:hAnsi="宋体" w:eastAsia="宋体" w:cs="宋体"/>
                <w:kern w:val="0"/>
                <w:sz w:val="24"/>
                <w:szCs w:val="24"/>
              </w:rPr>
            </w:pPr>
            <w:r>
              <w:rPr>
                <w:rFonts w:ascii="宋体" w:hAnsi="宋体" w:eastAsia="宋体" w:cs="宋体"/>
                <w:kern w:val="0"/>
                <w:sz w:val="24"/>
                <w:szCs w:val="24"/>
              </w:rPr>
              <w:t> </w:t>
            </w:r>
          </w:p>
          <w:p>
            <w:pPr>
              <w:widowControl/>
              <w:spacing w:line="514" w:lineRule="atLeast"/>
              <w:jc w:val="left"/>
              <w:rPr>
                <w:rFonts w:ascii="宋体" w:hAnsi="宋体" w:eastAsia="宋体" w:cs="宋体"/>
                <w:kern w:val="0"/>
                <w:sz w:val="24"/>
                <w:szCs w:val="24"/>
              </w:rPr>
            </w:pPr>
            <w:r>
              <w:rPr>
                <w:rFonts w:hint="eastAsia" w:ascii="仿宋_GB2312" w:hAnsi="宋体" w:eastAsia="仿宋_GB2312" w:cs="宋体"/>
                <w:kern w:val="0"/>
                <w:sz w:val="24"/>
                <w:szCs w:val="24"/>
              </w:rPr>
              <w:t> </w:t>
            </w:r>
          </w:p>
          <w:tbl>
            <w:tblPr>
              <w:tblStyle w:val="4"/>
              <w:tblW w:w="0" w:type="auto"/>
              <w:jc w:val="center"/>
              <w:tblLayout w:type="autofit"/>
              <w:tblCellMar>
                <w:top w:w="0" w:type="dxa"/>
                <w:left w:w="0" w:type="dxa"/>
                <w:bottom w:w="0" w:type="dxa"/>
                <w:right w:w="0" w:type="dxa"/>
              </w:tblCellMar>
            </w:tblPr>
            <w:tblGrid>
              <w:gridCol w:w="259"/>
              <w:gridCol w:w="792"/>
              <w:gridCol w:w="855"/>
              <w:gridCol w:w="1566"/>
              <w:gridCol w:w="694"/>
              <w:gridCol w:w="2681"/>
              <w:gridCol w:w="1459"/>
            </w:tblGrid>
            <w:tr>
              <w:tblPrEx>
                <w:tblCellMar>
                  <w:top w:w="0" w:type="dxa"/>
                  <w:left w:w="0" w:type="dxa"/>
                  <w:bottom w:w="0" w:type="dxa"/>
                  <w:right w:w="0" w:type="dxa"/>
                </w:tblCellMar>
              </w:tblPrEx>
              <w:trPr>
                <w:trHeight w:val="856" w:hRule="atLeast"/>
                <w:jc w:val="center"/>
              </w:trPr>
              <w:tc>
                <w:tcPr>
                  <w:tcW w:w="320" w:type="dxa"/>
                  <w:tcBorders>
                    <w:top w:val="single" w:color="auto" w:sz="8" w:space="0"/>
                    <w:left w:val="single" w:color="auto" w:sz="8" w:space="0"/>
                    <w:bottom w:val="single" w:color="auto" w:sz="8" w:space="0"/>
                    <w:right w:val="single" w:color="auto" w:sz="8" w:space="0"/>
                  </w:tcBorders>
                  <w:shd w:val="clear" w:color="auto" w:fill="auto"/>
                  <w:vAlign w:val="center"/>
                </w:tcPr>
                <w:p>
                  <w:pPr>
                    <w:widowControl/>
                    <w:spacing w:line="300" w:lineRule="atLeast"/>
                    <w:jc w:val="center"/>
                    <w:rPr>
                      <w:rFonts w:ascii="宋体" w:hAnsi="宋体" w:eastAsia="宋体" w:cs="宋体"/>
                      <w:kern w:val="0"/>
                      <w:sz w:val="24"/>
                      <w:szCs w:val="24"/>
                    </w:rPr>
                  </w:pPr>
                  <w:r>
                    <w:rPr>
                      <w:rFonts w:hint="eastAsia" w:ascii="仿宋_GB2312" w:hAnsi="宋体" w:eastAsia="仿宋_GB2312" w:cs="宋体"/>
                      <w:b/>
                      <w:bCs/>
                      <w:kern w:val="0"/>
                      <w:sz w:val="20"/>
                      <w:szCs w:val="20"/>
                    </w:rPr>
                    <w:t>序号</w:t>
                  </w:r>
                </w:p>
              </w:tc>
              <w:tc>
                <w:tcPr>
                  <w:tcW w:w="1069"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spacing w:line="300" w:lineRule="atLeast"/>
                    <w:jc w:val="center"/>
                    <w:rPr>
                      <w:rFonts w:ascii="宋体" w:hAnsi="宋体" w:eastAsia="宋体" w:cs="宋体"/>
                      <w:kern w:val="0"/>
                      <w:sz w:val="24"/>
                      <w:szCs w:val="24"/>
                    </w:rPr>
                  </w:pPr>
                  <w:r>
                    <w:rPr>
                      <w:rFonts w:hint="eastAsia" w:ascii="仿宋_GB2312" w:hAnsi="宋体" w:eastAsia="仿宋_GB2312" w:cs="宋体"/>
                      <w:b/>
                      <w:bCs/>
                      <w:spacing w:val="-20"/>
                      <w:kern w:val="0"/>
                      <w:sz w:val="20"/>
                      <w:szCs w:val="20"/>
                    </w:rPr>
                    <w:t>事项名称</w:t>
                  </w:r>
                </w:p>
              </w:tc>
              <w:tc>
                <w:tcPr>
                  <w:tcW w:w="1229"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spacing w:line="300" w:lineRule="atLeast"/>
                    <w:jc w:val="center"/>
                    <w:rPr>
                      <w:rFonts w:ascii="宋体" w:hAnsi="宋体" w:eastAsia="宋体" w:cs="宋体"/>
                      <w:kern w:val="0"/>
                      <w:sz w:val="24"/>
                      <w:szCs w:val="24"/>
                    </w:rPr>
                  </w:pPr>
                  <w:r>
                    <w:rPr>
                      <w:rFonts w:hint="eastAsia" w:ascii="仿宋_GB2312" w:hAnsi="宋体" w:eastAsia="仿宋_GB2312" w:cs="宋体"/>
                      <w:b/>
                      <w:bCs/>
                      <w:kern w:val="0"/>
                      <w:sz w:val="20"/>
                      <w:szCs w:val="20"/>
                    </w:rPr>
                    <w:t>抽查对象</w:t>
                  </w:r>
                </w:p>
              </w:tc>
              <w:tc>
                <w:tcPr>
                  <w:tcW w:w="2744"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spacing w:line="300" w:lineRule="atLeast"/>
                    <w:jc w:val="center"/>
                    <w:rPr>
                      <w:rFonts w:ascii="宋体" w:hAnsi="宋体" w:eastAsia="宋体" w:cs="宋体"/>
                      <w:kern w:val="0"/>
                      <w:sz w:val="24"/>
                      <w:szCs w:val="24"/>
                    </w:rPr>
                  </w:pPr>
                  <w:r>
                    <w:rPr>
                      <w:rFonts w:hint="eastAsia" w:ascii="仿宋_GB2312" w:hAnsi="宋体" w:eastAsia="仿宋_GB2312" w:cs="宋体"/>
                      <w:b/>
                      <w:bCs/>
                      <w:kern w:val="0"/>
                      <w:sz w:val="20"/>
                      <w:szCs w:val="20"/>
                    </w:rPr>
                    <w:t>抽查内容</w:t>
                  </w:r>
                </w:p>
              </w:tc>
              <w:tc>
                <w:tcPr>
                  <w:tcW w:w="816"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spacing w:line="300" w:lineRule="atLeast"/>
                    <w:jc w:val="center"/>
                    <w:rPr>
                      <w:rFonts w:ascii="宋体" w:hAnsi="宋体" w:eastAsia="宋体" w:cs="宋体"/>
                      <w:kern w:val="0"/>
                      <w:sz w:val="24"/>
                      <w:szCs w:val="24"/>
                    </w:rPr>
                  </w:pPr>
                  <w:r>
                    <w:rPr>
                      <w:rFonts w:hint="eastAsia" w:ascii="仿宋_GB2312" w:hAnsi="宋体" w:eastAsia="仿宋_GB2312" w:cs="宋体"/>
                      <w:b/>
                      <w:bCs/>
                      <w:kern w:val="0"/>
                      <w:sz w:val="20"/>
                      <w:szCs w:val="20"/>
                    </w:rPr>
                    <w:t>抽查方式</w:t>
                  </w:r>
                </w:p>
              </w:tc>
              <w:tc>
                <w:tcPr>
                  <w:tcW w:w="5294"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spacing w:line="300" w:lineRule="atLeast"/>
                    <w:jc w:val="center"/>
                    <w:rPr>
                      <w:rFonts w:ascii="宋体" w:hAnsi="宋体" w:eastAsia="宋体" w:cs="宋体"/>
                      <w:kern w:val="0"/>
                      <w:sz w:val="24"/>
                      <w:szCs w:val="24"/>
                    </w:rPr>
                  </w:pPr>
                  <w:r>
                    <w:rPr>
                      <w:rFonts w:hint="eastAsia" w:ascii="仿宋_GB2312" w:hAnsi="宋体" w:eastAsia="仿宋_GB2312" w:cs="宋体"/>
                      <w:b/>
                      <w:bCs/>
                      <w:kern w:val="0"/>
                      <w:sz w:val="20"/>
                      <w:szCs w:val="20"/>
                    </w:rPr>
                    <w:t>检查程序</w:t>
                  </w:r>
                </w:p>
              </w:tc>
              <w:tc>
                <w:tcPr>
                  <w:tcW w:w="2468"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spacing w:line="300" w:lineRule="atLeast"/>
                    <w:jc w:val="center"/>
                    <w:rPr>
                      <w:rFonts w:ascii="宋体" w:hAnsi="宋体" w:eastAsia="宋体" w:cs="宋体"/>
                      <w:kern w:val="0"/>
                      <w:sz w:val="24"/>
                      <w:szCs w:val="24"/>
                    </w:rPr>
                  </w:pPr>
                  <w:r>
                    <w:rPr>
                      <w:rFonts w:hint="eastAsia" w:ascii="仿宋_GB2312" w:hAnsi="宋体" w:eastAsia="仿宋_GB2312" w:cs="宋体"/>
                      <w:b/>
                      <w:bCs/>
                      <w:kern w:val="0"/>
                      <w:sz w:val="20"/>
                      <w:szCs w:val="20"/>
                    </w:rPr>
                    <w:t>检查处理</w:t>
                  </w:r>
                </w:p>
              </w:tc>
            </w:tr>
            <w:tr>
              <w:tblPrEx>
                <w:tblCellMar>
                  <w:top w:w="0" w:type="dxa"/>
                  <w:left w:w="0" w:type="dxa"/>
                  <w:bottom w:w="0" w:type="dxa"/>
                  <w:right w:w="0" w:type="dxa"/>
                </w:tblCellMar>
              </w:tblPrEx>
              <w:trPr>
                <w:trHeight w:val="3925" w:hRule="atLeast"/>
                <w:jc w:val="center"/>
              </w:trPr>
              <w:tc>
                <w:tcPr>
                  <w:tcW w:w="320" w:type="dxa"/>
                  <w:tcBorders>
                    <w:top w:val="nil"/>
                    <w:left w:val="single" w:color="auto" w:sz="8" w:space="0"/>
                    <w:bottom w:val="single" w:color="auto" w:sz="8" w:space="0"/>
                    <w:right w:val="single" w:color="auto" w:sz="8" w:space="0"/>
                  </w:tcBorders>
                  <w:shd w:val="clear" w:color="auto" w:fill="auto"/>
                  <w:vAlign w:val="center"/>
                </w:tcPr>
                <w:p>
                  <w:pPr>
                    <w:widowControl/>
                    <w:wordWrap w:val="0"/>
                    <w:spacing w:line="300" w:lineRule="atLeast"/>
                    <w:jc w:val="center"/>
                    <w:rPr>
                      <w:rFonts w:ascii="宋体" w:hAnsi="宋体" w:eastAsia="宋体" w:cs="宋体"/>
                      <w:kern w:val="0"/>
                      <w:sz w:val="24"/>
                      <w:szCs w:val="24"/>
                    </w:rPr>
                  </w:pPr>
                  <w:r>
                    <w:rPr>
                      <w:rFonts w:hint="eastAsia" w:ascii="仿宋_GB2312" w:hAnsi="宋体" w:eastAsia="仿宋_GB2312" w:cs="宋体"/>
                      <w:kern w:val="0"/>
                      <w:sz w:val="20"/>
                      <w:szCs w:val="20"/>
                    </w:rPr>
                    <w:t>1</w:t>
                  </w:r>
                </w:p>
              </w:tc>
              <w:tc>
                <w:tcPr>
                  <w:tcW w:w="106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shd w:val="clear" w:color="auto" w:fill="FFFFFF"/>
                    <w:outlineLvl w:val="3"/>
                    <w:rPr>
                      <w:rFonts w:ascii="宋体" w:hAnsi="宋体" w:eastAsia="宋体" w:cs="宋体"/>
                      <w:b/>
                      <w:bCs/>
                      <w:kern w:val="0"/>
                      <w:sz w:val="33"/>
                      <w:szCs w:val="33"/>
                    </w:rPr>
                  </w:pPr>
                  <w:r>
                    <w:rPr>
                      <w:rFonts w:hint="eastAsia" w:ascii="仿宋_GB2312" w:hAnsi="宋体" w:eastAsia="仿宋_GB2312" w:cs="宋体"/>
                      <w:kern w:val="0"/>
                      <w:sz w:val="20"/>
                      <w:szCs w:val="20"/>
                    </w:rPr>
                    <w:t>对重点污染源的监督检查</w:t>
                  </w:r>
                </w:p>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 </w:t>
                  </w:r>
                </w:p>
              </w:tc>
              <w:tc>
                <w:tcPr>
                  <w:tcW w:w="122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国控、省控、市控重点污染源。</w:t>
                  </w:r>
                </w:p>
              </w:tc>
              <w:tc>
                <w:tcPr>
                  <w:tcW w:w="274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shd w:val="clear" w:color="auto" w:fill="FFFFFF"/>
                    <w:outlineLvl w:val="3"/>
                    <w:rPr>
                      <w:rFonts w:ascii="宋体" w:hAnsi="宋体" w:eastAsia="宋体" w:cs="宋体"/>
                      <w:b/>
                      <w:bCs/>
                      <w:kern w:val="0"/>
                      <w:sz w:val="33"/>
                      <w:szCs w:val="33"/>
                    </w:rPr>
                  </w:pPr>
                  <w:r>
                    <w:rPr>
                      <w:rFonts w:hint="eastAsia" w:ascii="仿宋_GB2312" w:hAnsi="宋体" w:eastAsia="仿宋_GB2312" w:cs="宋体"/>
                      <w:kern w:val="0"/>
                      <w:sz w:val="20"/>
                      <w:szCs w:val="20"/>
                    </w:rPr>
                    <w:t>（一）环评和“三同时”制度执行情况。 </w:t>
                  </w:r>
                </w:p>
                <w:p>
                  <w:pPr>
                    <w:widowControl/>
                    <w:shd w:val="clear" w:color="auto" w:fill="FFFFFF"/>
                    <w:outlineLvl w:val="3"/>
                    <w:rPr>
                      <w:rFonts w:ascii="宋体" w:hAnsi="宋体" w:eastAsia="宋体" w:cs="宋体"/>
                      <w:b/>
                      <w:bCs/>
                      <w:kern w:val="0"/>
                      <w:sz w:val="33"/>
                      <w:szCs w:val="33"/>
                    </w:rPr>
                  </w:pPr>
                  <w:r>
                    <w:rPr>
                      <w:rFonts w:hint="eastAsia" w:ascii="仿宋_GB2312" w:hAnsi="宋体" w:eastAsia="仿宋_GB2312" w:cs="宋体"/>
                      <w:kern w:val="0"/>
                      <w:sz w:val="20"/>
                      <w:szCs w:val="20"/>
                    </w:rPr>
                    <w:t>（二）污染防治设施运行情况。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（三）污染物排放情况。</w:t>
                  </w:r>
                </w:p>
              </w:tc>
              <w:tc>
                <w:tcPr>
                  <w:tcW w:w="816"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每季度随机抽查。</w:t>
                  </w:r>
                </w:p>
              </w:tc>
              <w:tc>
                <w:tcPr>
                  <w:tcW w:w="529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shd w:val="clear" w:color="auto" w:fill="FFFFFF"/>
                    <w:outlineLvl w:val="3"/>
                    <w:rPr>
                      <w:rFonts w:ascii="宋体" w:hAnsi="宋体" w:eastAsia="宋体" w:cs="宋体"/>
                      <w:b/>
                      <w:bCs/>
                      <w:kern w:val="0"/>
                      <w:sz w:val="33"/>
                      <w:szCs w:val="33"/>
                    </w:rPr>
                  </w:pPr>
                  <w:r>
                    <w:rPr>
                      <w:rFonts w:hint="eastAsia" w:ascii="仿宋_GB2312" w:hAnsi="宋体" w:eastAsia="仿宋_GB2312" w:cs="宋体"/>
                      <w:kern w:val="0"/>
                      <w:sz w:val="20"/>
                      <w:szCs w:val="20"/>
                    </w:rPr>
                    <w:t>（一）制定检查方案。根据检查内容，制定详细检查方案计划，做好检查前的准备工作。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（二）开展检查。持有效执法证检查，人数不得少于2人；实施现场检查，突出精细化监察要求；视情处理各类情况，对监督检查的情况和处理意见出具检查记录表，并由被检查企业负责人签字确认。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三）向检查对象反馈检查结果。检查结束后，对重点污染源单位进行反馈，指出发现的问题，提出整改意见，并要求被检查单位在规定期限内将整改情况报市环保局。对需要实施行政处罚的，制作调查案卷由局法宣科审查。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（四）督促整改落实。市环保局对监督检查和整改落实情况适时组织开展复查工作，以督促整改落实。</w:t>
                  </w:r>
                </w:p>
              </w:tc>
              <w:tc>
                <w:tcPr>
                  <w:tcW w:w="2468"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shd w:val="clear" w:color="auto" w:fill="FFFFFF"/>
                    <w:outlineLvl w:val="3"/>
                    <w:rPr>
                      <w:rFonts w:ascii="宋体" w:hAnsi="宋体" w:eastAsia="宋体" w:cs="宋体"/>
                      <w:b/>
                      <w:bCs/>
                      <w:kern w:val="0"/>
                      <w:sz w:val="33"/>
                      <w:szCs w:val="33"/>
                    </w:rPr>
                  </w:pPr>
                  <w:r>
                    <w:rPr>
                      <w:rFonts w:hint="eastAsia" w:ascii="仿宋_GB2312" w:hAnsi="宋体" w:eastAsia="仿宋_GB2312" w:cs="宋体"/>
                      <w:kern w:val="0"/>
                      <w:sz w:val="20"/>
                      <w:szCs w:val="20"/>
                    </w:rPr>
                    <w:t>通过监督检查，发现重点污染源单位存在问题的，严格按照《环境保护法》等有关法律法规的规定，对违法企业作出责令改正、责令停产停业、查封扣押相关设施设备、罚款等处理决定。</w:t>
                  </w:r>
                </w:p>
              </w:tc>
            </w:tr>
            <w:tr>
              <w:tblPrEx>
                <w:tblCellMar>
                  <w:top w:w="0" w:type="dxa"/>
                  <w:left w:w="0" w:type="dxa"/>
                  <w:bottom w:w="0" w:type="dxa"/>
                  <w:right w:w="0" w:type="dxa"/>
                </w:tblCellMar>
              </w:tblPrEx>
              <w:trPr>
                <w:trHeight w:val="1369" w:hRule="atLeast"/>
                <w:jc w:val="center"/>
              </w:trPr>
              <w:tc>
                <w:tcPr>
                  <w:tcW w:w="320" w:type="dxa"/>
                  <w:tcBorders>
                    <w:top w:val="nil"/>
                    <w:left w:val="single" w:color="auto" w:sz="8" w:space="0"/>
                    <w:bottom w:val="single" w:color="auto" w:sz="8" w:space="0"/>
                    <w:right w:val="single" w:color="auto" w:sz="8" w:space="0"/>
                  </w:tcBorders>
                  <w:shd w:val="clear" w:color="auto" w:fill="auto"/>
                  <w:vAlign w:val="center"/>
                </w:tcPr>
                <w:p>
                  <w:pPr>
                    <w:widowControl/>
                    <w:wordWrap w:val="0"/>
                    <w:spacing w:line="300" w:lineRule="atLeast"/>
                    <w:jc w:val="center"/>
                    <w:rPr>
                      <w:rFonts w:ascii="宋体" w:hAnsi="宋体" w:eastAsia="宋体" w:cs="宋体"/>
                      <w:kern w:val="0"/>
                      <w:sz w:val="24"/>
                      <w:szCs w:val="24"/>
                    </w:rPr>
                  </w:pPr>
                  <w:r>
                    <w:rPr>
                      <w:rFonts w:hint="eastAsia" w:ascii="仿宋_GB2312" w:hAnsi="宋体" w:eastAsia="仿宋_GB2312" w:cs="宋体"/>
                      <w:kern w:val="0"/>
                      <w:sz w:val="20"/>
                      <w:szCs w:val="20"/>
                    </w:rPr>
                    <w:t>2</w:t>
                  </w:r>
                </w:p>
              </w:tc>
              <w:tc>
                <w:tcPr>
                  <w:tcW w:w="106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shd w:val="clear" w:color="auto" w:fill="FFFFFF"/>
                    <w:outlineLvl w:val="3"/>
                    <w:rPr>
                      <w:rFonts w:ascii="宋体" w:hAnsi="宋体" w:eastAsia="宋体" w:cs="宋体"/>
                      <w:b/>
                      <w:bCs/>
                      <w:kern w:val="0"/>
                      <w:sz w:val="33"/>
                      <w:szCs w:val="33"/>
                    </w:rPr>
                  </w:pPr>
                  <w:r>
                    <w:rPr>
                      <w:rFonts w:hint="eastAsia" w:ascii="仿宋_GB2312" w:hAnsi="宋体" w:eastAsia="仿宋_GB2312" w:cs="宋体"/>
                      <w:kern w:val="0"/>
                      <w:sz w:val="20"/>
                      <w:szCs w:val="20"/>
                    </w:rPr>
                    <w:t>污染源自动监控设施现场监督检查</w:t>
                  </w:r>
                </w:p>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 </w:t>
                  </w:r>
                </w:p>
              </w:tc>
              <w:tc>
                <w:tcPr>
                  <w:tcW w:w="122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shd w:val="clear" w:color="auto" w:fill="FFFFFF"/>
                    <w:outlineLvl w:val="3"/>
                    <w:rPr>
                      <w:rFonts w:ascii="宋体" w:hAnsi="宋体" w:eastAsia="宋体" w:cs="宋体"/>
                      <w:b/>
                      <w:bCs/>
                      <w:kern w:val="0"/>
                      <w:sz w:val="33"/>
                      <w:szCs w:val="33"/>
                    </w:rPr>
                  </w:pPr>
                  <w:r>
                    <w:rPr>
                      <w:rFonts w:hint="eastAsia" w:ascii="仿宋_GB2312" w:hAnsi="宋体" w:eastAsia="仿宋_GB2312" w:cs="宋体"/>
                      <w:kern w:val="0"/>
                      <w:sz w:val="20"/>
                      <w:szCs w:val="20"/>
                    </w:rPr>
                    <w:t>排污单位、污染源自动监控设施运营单位及监控设施生产者、销售者。</w:t>
                  </w:r>
                </w:p>
              </w:tc>
              <w:tc>
                <w:tcPr>
                  <w:tcW w:w="274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（一）排放口规范化情况。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（二）污染源自动监控设施现场端建设规范化情况。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（三）污染源自动监控设施变更情况。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（四）污染源自动监控设施运行状况。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（五）污染源自动监控设施运行、维护、检修、校准校验记录。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（六）相关资质、证书、标志的有效性。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（七）企业生产工况、污染治理设施运行与自动监控数据的相关性。</w:t>
                  </w:r>
                </w:p>
              </w:tc>
              <w:tc>
                <w:tcPr>
                  <w:tcW w:w="816"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不定期检查。</w:t>
                  </w:r>
                </w:p>
              </w:tc>
              <w:tc>
                <w:tcPr>
                  <w:tcW w:w="529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（一）检查前准备工作，包括污染源自动监控设施登记备案情况、污染物排放及污染防治的有关情况，现场检查装备配备等。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（二）进行现场监督检查。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（三）认定运行正常的，结束现场监督检查。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（四）对涉嫌不正常运行、使用或者有弄虚作假等违法行为的，进行重点检查。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（五）经重点检查，认定有违法行为的，依法予以处罚。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污染源自动监控设施现场监督检查结果，及时反馈被检查单位。</w:t>
                  </w:r>
                </w:p>
              </w:tc>
              <w:tc>
                <w:tcPr>
                  <w:tcW w:w="2468"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对发现的问题，按照《环境保护法》、《水污染防治法》和《大气污染防治法》等法律法规作出处理。</w:t>
                  </w:r>
                </w:p>
              </w:tc>
            </w:tr>
            <w:tr>
              <w:tblPrEx>
                <w:tblCellMar>
                  <w:top w:w="0" w:type="dxa"/>
                  <w:left w:w="0" w:type="dxa"/>
                  <w:bottom w:w="0" w:type="dxa"/>
                  <w:right w:w="0" w:type="dxa"/>
                </w:tblCellMar>
              </w:tblPrEx>
              <w:trPr>
                <w:trHeight w:val="1706" w:hRule="atLeast"/>
                <w:jc w:val="center"/>
              </w:trPr>
              <w:tc>
                <w:tcPr>
                  <w:tcW w:w="320" w:type="dxa"/>
                  <w:tcBorders>
                    <w:top w:val="nil"/>
                    <w:left w:val="single" w:color="auto" w:sz="8" w:space="0"/>
                    <w:bottom w:val="single" w:color="auto" w:sz="8" w:space="0"/>
                    <w:right w:val="single" w:color="auto" w:sz="8" w:space="0"/>
                  </w:tcBorders>
                  <w:shd w:val="clear" w:color="auto" w:fill="auto"/>
                  <w:vAlign w:val="center"/>
                </w:tcPr>
                <w:p>
                  <w:pPr>
                    <w:widowControl/>
                    <w:wordWrap w:val="0"/>
                    <w:spacing w:line="300" w:lineRule="atLeast"/>
                    <w:jc w:val="center"/>
                    <w:rPr>
                      <w:rFonts w:ascii="宋体" w:hAnsi="宋体" w:eastAsia="宋体" w:cs="宋体"/>
                      <w:kern w:val="0"/>
                      <w:sz w:val="24"/>
                      <w:szCs w:val="24"/>
                    </w:rPr>
                  </w:pPr>
                  <w:r>
                    <w:rPr>
                      <w:rFonts w:hint="eastAsia" w:ascii="仿宋_GB2312" w:hAnsi="宋体" w:eastAsia="仿宋_GB2312" w:cs="宋体"/>
                      <w:kern w:val="0"/>
                      <w:sz w:val="20"/>
                      <w:szCs w:val="20"/>
                    </w:rPr>
                    <w:t>3</w:t>
                  </w:r>
                </w:p>
              </w:tc>
              <w:tc>
                <w:tcPr>
                  <w:tcW w:w="106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环境影响评价文件审批制度及“三同时”验收制度的监督检查</w:t>
                  </w:r>
                </w:p>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 </w:t>
                  </w:r>
                </w:p>
              </w:tc>
              <w:tc>
                <w:tcPr>
                  <w:tcW w:w="122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新建、改建、扩建或已建成对环境有影响的建设项目的单位。</w:t>
                  </w:r>
                </w:p>
              </w:tc>
              <w:tc>
                <w:tcPr>
                  <w:tcW w:w="274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（一）建设单位是否办理环境影响评价手续。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（二）建设项目性质、规模、地点、生产工艺自环境影响评价文件批准之日起是否发生重大变化。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（三）建设项目自环境影响评价文件批准之日起是否已经超过5年方开工建设。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（四）建设项目是否执行“三同时”制度。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（五）建设项目正式投产，需配套的环保设施是否通过验收合格。</w:t>
                  </w:r>
                </w:p>
              </w:tc>
              <w:tc>
                <w:tcPr>
                  <w:tcW w:w="816"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每季度随机抽查。</w:t>
                  </w:r>
                </w:p>
              </w:tc>
              <w:tc>
                <w:tcPr>
                  <w:tcW w:w="529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（一）做好检查前的准备工作（收集相关材料和信息，制定检查方案，备好检查工具和监测采样工具）。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（二）实施现场检查。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（三）视情处理各类情况，对监督检查的情况和处理意见出具检查记录表，并由被检查单位负责人签字确认后归档。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（四）对需要实施行政处罚的，制作调查案卷移交局法宣科审查。</w:t>
                  </w:r>
                </w:p>
              </w:tc>
              <w:tc>
                <w:tcPr>
                  <w:tcW w:w="2468"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通过现场核查，发现建设单位未落实环评审批制度及“三同时”制度的，按照《环境保护法》、《环境影响评价法》和《建设项目环境保护管理条例》等法律法规依法予以处理。</w:t>
                  </w:r>
                </w:p>
              </w:tc>
            </w:tr>
            <w:tr>
              <w:tblPrEx>
                <w:tblCellMar>
                  <w:top w:w="0" w:type="dxa"/>
                  <w:left w:w="0" w:type="dxa"/>
                  <w:bottom w:w="0" w:type="dxa"/>
                  <w:right w:w="0" w:type="dxa"/>
                </w:tblCellMar>
              </w:tblPrEx>
              <w:trPr>
                <w:trHeight w:val="807" w:hRule="atLeast"/>
                <w:jc w:val="center"/>
              </w:trPr>
              <w:tc>
                <w:tcPr>
                  <w:tcW w:w="320" w:type="dxa"/>
                  <w:tcBorders>
                    <w:top w:val="nil"/>
                    <w:left w:val="single" w:color="auto" w:sz="8" w:space="0"/>
                    <w:bottom w:val="single" w:color="auto" w:sz="8" w:space="0"/>
                    <w:right w:val="single" w:color="auto" w:sz="8" w:space="0"/>
                  </w:tcBorders>
                  <w:shd w:val="clear" w:color="auto" w:fill="auto"/>
                  <w:vAlign w:val="center"/>
                </w:tcPr>
                <w:p>
                  <w:pPr>
                    <w:widowControl/>
                    <w:wordWrap w:val="0"/>
                    <w:spacing w:line="300" w:lineRule="atLeast"/>
                    <w:jc w:val="center"/>
                    <w:rPr>
                      <w:rFonts w:ascii="宋体" w:hAnsi="宋体" w:eastAsia="宋体" w:cs="宋体"/>
                      <w:kern w:val="0"/>
                      <w:sz w:val="24"/>
                      <w:szCs w:val="24"/>
                    </w:rPr>
                  </w:pPr>
                  <w:r>
                    <w:rPr>
                      <w:rFonts w:hint="eastAsia" w:ascii="仿宋_GB2312" w:hAnsi="宋体" w:eastAsia="仿宋_GB2312" w:cs="宋体"/>
                      <w:kern w:val="0"/>
                      <w:sz w:val="20"/>
                      <w:szCs w:val="20"/>
                    </w:rPr>
                    <w:t>4</w:t>
                  </w:r>
                </w:p>
              </w:tc>
              <w:tc>
                <w:tcPr>
                  <w:tcW w:w="106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辐射项目的事中事后监管</w:t>
                  </w:r>
                </w:p>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 </w:t>
                  </w:r>
                </w:p>
              </w:tc>
              <w:tc>
                <w:tcPr>
                  <w:tcW w:w="122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辐射项目、单位辐射工作人员的相关活动。</w:t>
                  </w:r>
                </w:p>
              </w:tc>
              <w:tc>
                <w:tcPr>
                  <w:tcW w:w="274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辐射项目单位以及辐射工作人员相关活动是否符合《放射性污染防治法》、《放射性同位素与射线装置安全和防护条例》、《山东省辐射污染防治条例》及相关法律法规、规范性文件的有关规定。</w:t>
                  </w:r>
                </w:p>
              </w:tc>
              <w:tc>
                <w:tcPr>
                  <w:tcW w:w="816"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不定期检查。</w:t>
                  </w:r>
                </w:p>
              </w:tc>
              <w:tc>
                <w:tcPr>
                  <w:tcW w:w="529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（一）做好检查前的准备工作（收集相关材料和信息，制定检查方案，备好检查工具和监测采样工具）。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（二）实施现场检查。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（三）视情处理各类情况，对监督检查的情况和处理意见出具检查记录表，并由被检查单位负责人签字确认后归档。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（四）对需要实施行政处罚的，制作调查案卷移交局法宣科审查。</w:t>
                  </w:r>
                </w:p>
              </w:tc>
              <w:tc>
                <w:tcPr>
                  <w:tcW w:w="2468"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对发现的问题，按照《环境保护法》、《环境影响评价法》、《放射性污染防治法》、《建设项目环境保护管理条例》和《放射性同位素与射线装置安全和防护条例》等法律法规有关规定进行处理。</w:t>
                  </w:r>
                </w:p>
              </w:tc>
            </w:tr>
            <w:tr>
              <w:tblPrEx>
                <w:tblCellMar>
                  <w:top w:w="0" w:type="dxa"/>
                  <w:left w:w="0" w:type="dxa"/>
                  <w:bottom w:w="0" w:type="dxa"/>
                  <w:right w:w="0" w:type="dxa"/>
                </w:tblCellMar>
              </w:tblPrEx>
              <w:trPr>
                <w:trHeight w:val="807" w:hRule="atLeast"/>
                <w:jc w:val="center"/>
              </w:trPr>
              <w:tc>
                <w:tcPr>
                  <w:tcW w:w="320" w:type="dxa"/>
                  <w:tcBorders>
                    <w:top w:val="nil"/>
                    <w:left w:val="single" w:color="auto" w:sz="8" w:space="0"/>
                    <w:bottom w:val="single" w:color="auto" w:sz="8" w:space="0"/>
                    <w:right w:val="single" w:color="auto" w:sz="8" w:space="0"/>
                  </w:tcBorders>
                  <w:shd w:val="clear" w:color="auto" w:fill="auto"/>
                  <w:vAlign w:val="center"/>
                </w:tcPr>
                <w:p>
                  <w:pPr>
                    <w:widowControl/>
                    <w:wordWrap w:val="0"/>
                    <w:spacing w:line="300" w:lineRule="atLeast"/>
                    <w:jc w:val="center"/>
                    <w:rPr>
                      <w:rFonts w:ascii="宋体" w:hAnsi="宋体" w:eastAsia="宋体" w:cs="宋体"/>
                      <w:kern w:val="0"/>
                      <w:sz w:val="24"/>
                      <w:szCs w:val="24"/>
                    </w:rPr>
                  </w:pPr>
                  <w:r>
                    <w:rPr>
                      <w:rFonts w:hint="eastAsia" w:ascii="仿宋_GB2312" w:hAnsi="宋体" w:eastAsia="仿宋_GB2312" w:cs="宋体"/>
                      <w:kern w:val="0"/>
                      <w:sz w:val="20"/>
                      <w:szCs w:val="20"/>
                    </w:rPr>
                    <w:t>5</w:t>
                  </w:r>
                </w:p>
              </w:tc>
              <w:tc>
                <w:tcPr>
                  <w:tcW w:w="106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对机动车环保检验机构的监督检查</w:t>
                  </w:r>
                </w:p>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 </w:t>
                  </w:r>
                </w:p>
              </w:tc>
              <w:tc>
                <w:tcPr>
                  <w:tcW w:w="122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受市环保局委托开展机动车环保定期检验的环检机构。</w:t>
                  </w:r>
                </w:p>
              </w:tc>
              <w:tc>
                <w:tcPr>
                  <w:tcW w:w="274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（一）机动车环保检验所使用的相关计量器具应当符合计量法律、法规和计量技术规范要求。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（二）按照国家和省规定的排气污染检验方法、技术规范和排放标准进行检验，并出具真实、准确的检验报告。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（三）执行价格行政主管部门核定的收费标准。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（四）不得从事机动车排气污染维修治理业务。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（五）依法应当遵守的其他规定事项。</w:t>
                  </w:r>
                </w:p>
              </w:tc>
              <w:tc>
                <w:tcPr>
                  <w:tcW w:w="816"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不定期检查。</w:t>
                  </w:r>
                </w:p>
              </w:tc>
              <w:tc>
                <w:tcPr>
                  <w:tcW w:w="529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（一）做好检查前的准备工作（收集相关材料和信息，制定检查方案，备好检查工具和监测工具）。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（二）实施现场检查等。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（三）根据检查情况，视情进行处理。 </w:t>
                  </w:r>
                  <w:r>
                    <w:rPr>
                      <w:rFonts w:hint="eastAsia" w:ascii="仿宋_GB2312" w:hAnsi="宋体" w:eastAsia="仿宋_GB2312" w:cs="宋体"/>
                      <w:kern w:val="0"/>
                      <w:sz w:val="20"/>
                      <w:szCs w:val="20"/>
                    </w:rPr>
                    <w:br w:type="textWrapping"/>
                  </w:r>
                  <w:r>
                    <w:rPr>
                      <w:rFonts w:hint="eastAsia" w:ascii="仿宋_GB2312" w:hAnsi="宋体" w:eastAsia="仿宋_GB2312" w:cs="宋体"/>
                      <w:kern w:val="0"/>
                      <w:sz w:val="20"/>
                      <w:szCs w:val="20"/>
                    </w:rPr>
                    <w:t>（四）对需要实施行政处罚的，制作违法行为调查案卷移交局法规宣教科审查；不需要移交的，相关材料总结归档。</w:t>
                  </w:r>
                </w:p>
              </w:tc>
              <w:tc>
                <w:tcPr>
                  <w:tcW w:w="2468"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pPr>
                    <w:widowControl/>
                    <w:wordWrap w:val="0"/>
                    <w:spacing w:line="300" w:lineRule="atLeast"/>
                    <w:jc w:val="left"/>
                    <w:rPr>
                      <w:rFonts w:ascii="宋体" w:hAnsi="宋体" w:eastAsia="宋体" w:cs="宋体"/>
                      <w:kern w:val="0"/>
                      <w:sz w:val="24"/>
                      <w:szCs w:val="24"/>
                    </w:rPr>
                  </w:pPr>
                  <w:r>
                    <w:rPr>
                      <w:rFonts w:hint="eastAsia" w:ascii="仿宋_GB2312" w:hAnsi="宋体" w:eastAsia="仿宋_GB2312" w:cs="宋体"/>
                      <w:kern w:val="0"/>
                      <w:sz w:val="20"/>
                      <w:szCs w:val="20"/>
                    </w:rPr>
                    <w:t>通过现场检查、环检设备比对测试等措施，发现机动车环保检验机构不按照规定进行检验、出具虚假检验报告或者从事机动车排气污染维修治理业务等违法行为的以及对信访、举报现场调查取证属实的，依照《山东省机动车排气污染防治条例》等相关法律法规进行处理。</w:t>
                  </w:r>
                </w:p>
              </w:tc>
            </w:tr>
          </w:tbl>
          <w:p>
            <w:pPr>
              <w:widowControl/>
              <w:spacing w:line="514" w:lineRule="atLeast"/>
              <w:jc w:val="left"/>
              <w:rPr>
                <w:rFonts w:ascii="宋体" w:hAnsi="宋体" w:eastAsia="宋体" w:cs="宋体"/>
                <w:kern w:val="0"/>
                <w:sz w:val="24"/>
                <w:szCs w:val="24"/>
              </w:rPr>
            </w:pPr>
            <w:r>
              <w:rPr>
                <w:rFonts w:ascii="Calibri" w:hAnsi="Calibri" w:eastAsia="宋体" w:cs="Calibri"/>
                <w:kern w:val="0"/>
                <w:sz w:val="24"/>
                <w:szCs w:val="24"/>
              </w:rPr>
              <w:t> </w:t>
            </w:r>
          </w:p>
        </w:tc>
      </w:tr>
      <w:tr>
        <w:tblPrEx>
          <w:shd w:val="clear" w:color="auto" w:fill="FFFFFF"/>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FFFFFF"/>
            <w:tcMar>
              <w:top w:w="0" w:type="dxa"/>
              <w:left w:w="0" w:type="dxa"/>
              <w:bottom w:w="206" w:type="dxa"/>
              <w:right w:w="0" w:type="dxa"/>
            </w:tcMar>
            <w:vAlign w:val="center"/>
          </w:tcPr>
          <w:p>
            <w:pPr>
              <w:widowControl/>
              <w:jc w:val="center"/>
              <w:rPr>
                <w:rFonts w:ascii="微软雅黑" w:hAnsi="微软雅黑" w:eastAsia="微软雅黑" w:cs="宋体"/>
                <w:b/>
                <w:bCs/>
                <w:color w:val="C02020"/>
                <w:kern w:val="0"/>
                <w:sz w:val="32"/>
                <w:szCs w:val="32"/>
              </w:rPr>
            </w:pPr>
            <w:r>
              <w:rPr>
                <w:rFonts w:hint="eastAsia" w:ascii="微软雅黑" w:hAnsi="微软雅黑" w:eastAsia="微软雅黑" w:cs="宋体"/>
                <w:b/>
                <w:bCs/>
                <w:color w:val="C02020"/>
                <w:kern w:val="0"/>
                <w:sz w:val="32"/>
                <w:szCs w:val="32"/>
                <w:lang w:val="en-US" w:eastAsia="zh-CN"/>
              </w:rPr>
              <w:t>威海市生态环境局荣成分局</w:t>
            </w:r>
            <w:bookmarkStart w:id="0" w:name="_GoBack"/>
            <w:bookmarkEnd w:id="0"/>
            <w:r>
              <w:rPr>
                <w:rFonts w:hint="eastAsia" w:ascii="微软雅黑" w:hAnsi="微软雅黑" w:eastAsia="微软雅黑" w:cs="宋体"/>
                <w:b/>
                <w:bCs/>
                <w:color w:val="C02020"/>
                <w:kern w:val="0"/>
                <w:sz w:val="32"/>
                <w:szCs w:val="32"/>
              </w:rPr>
              <w:t>“双随机、一公开”工作方案</w:t>
            </w:r>
          </w:p>
        </w:tc>
      </w:tr>
    </w:tbl>
    <w:p>
      <w:pPr>
        <w:widowControl/>
        <w:jc w:val="left"/>
        <w:rPr>
          <w:rFonts w:ascii="宋体" w:hAnsi="宋体" w:eastAsia="宋体" w:cs="宋体"/>
          <w:vanish/>
          <w:kern w:val="0"/>
          <w:sz w:val="24"/>
          <w:szCs w:val="24"/>
        </w:rPr>
      </w:pPr>
    </w:p>
    <w:tbl>
      <w:tblPr>
        <w:tblStyle w:val="4"/>
        <w:tblW w:w="5000" w:type="pct"/>
        <w:tblInd w:w="0" w:type="dxa"/>
        <w:tblBorders>
          <w:top w:val="single" w:color="C4C4C4" w:sz="8" w:space="0"/>
          <w:left w:val="none" w:color="auto" w:sz="0" w:space="0"/>
          <w:bottom w:val="none" w:color="auto" w:sz="0" w:space="0"/>
          <w:right w:val="none" w:color="auto" w:sz="0" w:space="0"/>
          <w:insideH w:val="none" w:color="auto" w:sz="0" w:space="0"/>
          <w:insideV w:val="none" w:color="auto" w:sz="0" w:space="0"/>
        </w:tblBorders>
        <w:shd w:val="clear" w:color="auto" w:fill="F3F3F3"/>
        <w:tblLayout w:type="autofit"/>
        <w:tblCellMar>
          <w:top w:w="0" w:type="dxa"/>
          <w:left w:w="0" w:type="dxa"/>
          <w:bottom w:w="0" w:type="dxa"/>
          <w:right w:w="0" w:type="dxa"/>
        </w:tblCellMar>
      </w:tblPr>
      <w:tblGrid>
        <w:gridCol w:w="8306"/>
      </w:tblGrid>
      <w:tr>
        <w:tblPrEx>
          <w:tblBorders>
            <w:top w:val="single" w:color="C4C4C4" w:sz="8" w:space="0"/>
            <w:left w:val="none" w:color="auto" w:sz="0" w:space="0"/>
            <w:bottom w:val="none" w:color="auto" w:sz="0" w:space="0"/>
            <w:right w:val="none" w:color="auto" w:sz="0" w:space="0"/>
            <w:insideH w:val="none" w:color="auto" w:sz="0" w:space="0"/>
            <w:insideV w:val="none" w:color="auto" w:sz="0" w:space="0"/>
          </w:tblBorders>
          <w:shd w:val="clear" w:color="auto" w:fill="F3F3F3"/>
          <w:tblCellMar>
            <w:top w:w="0" w:type="dxa"/>
            <w:left w:w="0" w:type="dxa"/>
            <w:bottom w:w="0" w:type="dxa"/>
            <w:right w:w="0" w:type="dxa"/>
          </w:tblCellMar>
        </w:tblPrEx>
        <w:trPr>
          <w:trHeight w:val="60" w:hRule="atLeast"/>
        </w:trPr>
        <w:tc>
          <w:tcPr>
            <w:tcW w:w="0" w:type="auto"/>
            <w:tcBorders>
              <w:top w:val="nil"/>
              <w:left w:val="nil"/>
              <w:bottom w:val="nil"/>
              <w:right w:val="nil"/>
            </w:tcBorders>
            <w:shd w:val="clear" w:color="auto" w:fill="F3F3F3"/>
            <w:vAlign w:val="center"/>
          </w:tcPr>
          <w:p>
            <w:pPr>
              <w:widowControl/>
              <w:jc w:val="left"/>
              <w:rPr>
                <w:rFonts w:ascii="微软雅黑" w:hAnsi="微软雅黑" w:eastAsia="微软雅黑" w:cs="宋体"/>
                <w:kern w:val="0"/>
                <w:sz w:val="6"/>
                <w:szCs w:val="24"/>
              </w:rPr>
            </w:pPr>
          </w:p>
        </w:tc>
      </w:tr>
    </w:tbl>
    <w:p>
      <w:pPr>
        <w:widowControl/>
        <w:jc w:val="left"/>
        <w:rPr>
          <w:rFonts w:ascii="宋体" w:hAnsi="宋体" w:eastAsia="宋体" w:cs="宋体"/>
          <w:vanish/>
          <w:kern w:val="0"/>
          <w:sz w:val="24"/>
          <w:szCs w:val="24"/>
        </w:rPr>
      </w:pPr>
    </w:p>
    <w:tbl>
      <w:tblPr>
        <w:tblStyle w:val="4"/>
        <w:tblW w:w="5000" w:type="pct"/>
        <w:tblInd w:w="0" w:type="dxa"/>
        <w:shd w:val="clear" w:color="auto" w:fill="FFFFFF"/>
        <w:tblLayout w:type="autofit"/>
        <w:tblCellMar>
          <w:top w:w="0" w:type="dxa"/>
          <w:left w:w="0" w:type="dxa"/>
          <w:bottom w:w="0" w:type="dxa"/>
          <w:right w:w="0" w:type="dxa"/>
        </w:tblCellMar>
      </w:tblPr>
      <w:tblGrid>
        <w:gridCol w:w="9952"/>
      </w:tblGrid>
      <w:tr>
        <w:tblPrEx>
          <w:shd w:val="clear" w:color="auto" w:fill="FFFFFF"/>
          <w:tblCellMar>
            <w:top w:w="0" w:type="dxa"/>
            <w:left w:w="0" w:type="dxa"/>
            <w:bottom w:w="0" w:type="dxa"/>
            <w:right w:w="0" w:type="dxa"/>
          </w:tblCellMar>
        </w:tblPrEx>
        <w:trPr>
          <w:trHeight w:val="2115" w:hRule="atLeast"/>
        </w:trPr>
        <w:tc>
          <w:tcPr>
            <w:tcW w:w="0" w:type="auto"/>
            <w:tcBorders>
              <w:top w:val="nil"/>
              <w:left w:val="nil"/>
              <w:bottom w:val="nil"/>
              <w:right w:val="nil"/>
            </w:tcBorders>
            <w:shd w:val="clear" w:color="auto" w:fill="FFFFFF"/>
            <w:tcMar>
              <w:top w:w="206" w:type="dxa"/>
              <w:left w:w="823" w:type="dxa"/>
              <w:bottom w:w="411" w:type="dxa"/>
              <w:right w:w="823" w:type="dxa"/>
            </w:tcMar>
          </w:tcPr>
          <w:p>
            <w:pPr>
              <w:widowControl/>
              <w:spacing w:line="514" w:lineRule="atLeast"/>
              <w:jc w:val="left"/>
              <w:rPr>
                <w:rFonts w:hint="eastAsia" w:ascii="微软雅黑" w:hAnsi="微软雅黑" w:eastAsia="微软雅黑" w:cs="宋体"/>
                <w:kern w:val="0"/>
                <w:sz w:val="29"/>
                <w:szCs w:val="29"/>
              </w:rPr>
            </w:pPr>
            <w:r>
              <w:rPr>
                <w:rFonts w:hint="eastAsia" w:ascii="微软雅黑" w:hAnsi="微软雅黑" w:eastAsia="微软雅黑" w:cs="宋体"/>
                <w:kern w:val="0"/>
                <w:sz w:val="29"/>
                <w:szCs w:val="29"/>
              </w:rPr>
              <w:t>　　</w:t>
            </w:r>
          </w:p>
          <w:p>
            <w:pPr>
              <w:widowControl/>
              <w:shd w:val="clear" w:color="auto" w:fill="FFFFFF"/>
              <w:spacing w:line="560" w:lineRule="atLeast"/>
              <w:ind w:firstLine="640"/>
              <w:jc w:val="left"/>
              <w:rPr>
                <w:rFonts w:hint="eastAsia"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为贯彻落实《荣成市人民政府办公室关于印发荣成市全面推行“双随机、一公开”监管改革实施方案的通知》（荣政办发〔2016〕71</w:t>
            </w:r>
            <w:r>
              <w:rPr>
                <w:rFonts w:hint="eastAsia" w:ascii="仿宋_GB2312" w:hAnsi="宋体" w:eastAsia="仿宋_GB2312" w:cs="宋体"/>
                <w:color w:val="000000"/>
                <w:kern w:val="0"/>
                <w:sz w:val="32"/>
              </w:rPr>
              <w:t> </w:t>
            </w:r>
            <w:r>
              <w:rPr>
                <w:rFonts w:hint="eastAsia" w:ascii="仿宋_GB2312" w:hAnsi="宋体" w:eastAsia="仿宋_GB2312" w:cs="宋体"/>
                <w:color w:val="000000"/>
                <w:kern w:val="0"/>
                <w:sz w:val="32"/>
                <w:szCs w:val="32"/>
                <w:shd w:val="clear" w:color="auto" w:fill="FFFFFF"/>
              </w:rPr>
              <w:t>号）要求，推进环保局“双随机、一公开”工作，增强执法效能，制定本实施方案。</w:t>
            </w:r>
          </w:p>
          <w:p>
            <w:pPr>
              <w:widowControl/>
              <w:shd w:val="clear" w:color="auto" w:fill="FFFFFF"/>
              <w:spacing w:line="560" w:lineRule="atLeast"/>
              <w:ind w:left="640"/>
              <w:jc w:val="left"/>
              <w:rPr>
                <w:rFonts w:ascii="宋体" w:hAnsi="宋体" w:eastAsia="宋体" w:cs="宋体"/>
                <w:kern w:val="0"/>
                <w:sz w:val="24"/>
                <w:szCs w:val="24"/>
              </w:rPr>
            </w:pPr>
            <w:r>
              <w:rPr>
                <w:rFonts w:hint="eastAsia" w:ascii="黑体" w:hAnsi="黑体" w:eastAsia="黑体" w:cs="宋体"/>
                <w:color w:val="000000"/>
                <w:kern w:val="0"/>
                <w:sz w:val="32"/>
                <w:szCs w:val="32"/>
                <w:shd w:val="clear" w:color="auto" w:fill="FFFFFF"/>
              </w:rPr>
              <w:t>一、指导思想</w:t>
            </w:r>
          </w:p>
          <w:p>
            <w:pPr>
              <w:widowControl/>
              <w:shd w:val="clear" w:color="auto" w:fill="FFFFFF"/>
              <w:spacing w:line="560"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全面贯彻党的十八大和十八届三中、四中全会精神，按照《国务院办公厅关于推广随机抽查规范事中事后监管的通知》（国办发〔2015〕58号）、《国务院关于“先照后证”改革后加强事中事后监管的意见》（国发〔2015〕62号）、《威海市人民政府办公室关于印发威海市全面推行“双随机、一公开”监管改革实施方案的通知》（威政办发〔2016〕8号）、《荣成市人民政府办公室关于印发荣成市全面推行“双随机、一公开”监管改革实施方案的通知》（荣政办发〔2016〕71</w:t>
            </w:r>
            <w:r>
              <w:rPr>
                <w:rFonts w:hint="eastAsia" w:ascii="仿宋_GB2312" w:hAnsi="宋体" w:eastAsia="仿宋_GB2312" w:cs="宋体"/>
                <w:color w:val="000000"/>
                <w:kern w:val="0"/>
                <w:sz w:val="32"/>
              </w:rPr>
              <w:t> </w:t>
            </w:r>
            <w:r>
              <w:rPr>
                <w:rFonts w:hint="eastAsia" w:ascii="仿宋_GB2312" w:hAnsi="宋体" w:eastAsia="仿宋_GB2312" w:cs="宋体"/>
                <w:color w:val="000000"/>
                <w:kern w:val="0"/>
                <w:sz w:val="32"/>
                <w:szCs w:val="32"/>
                <w:shd w:val="clear" w:color="auto" w:fill="FFFFFF"/>
              </w:rPr>
              <w:t>号）、《关</w:t>
            </w:r>
            <w:r>
              <w:rPr>
                <w:rFonts w:hint="eastAsia" w:ascii="仿宋_GB2312" w:hAnsi="宋体" w:eastAsia="仿宋_GB2312" w:cs="宋体"/>
                <w:kern w:val="0"/>
                <w:sz w:val="32"/>
                <w:szCs w:val="32"/>
              </w:rPr>
              <w:t>于印发〈山东省污染源日常环境监管随机抽查制度落实方案〉的通知》（鲁环办〔2015〕47号）</w:t>
            </w:r>
            <w:r>
              <w:rPr>
                <w:rFonts w:hint="eastAsia" w:ascii="仿宋_GB2312" w:hAnsi="宋体" w:eastAsia="仿宋_GB2312" w:cs="宋体"/>
                <w:color w:val="000000"/>
                <w:kern w:val="0"/>
                <w:sz w:val="32"/>
                <w:szCs w:val="32"/>
                <w:shd w:val="clear" w:color="auto" w:fill="FFFFFF"/>
              </w:rPr>
              <w:t>文件精神要求，进一步创新管理方式，规范执法行为，提升监管效能，严格履行法定监管职责，全面推行“双随机、一公开”制度，依法查处违法违规行为，主动接受社会监督。</w:t>
            </w:r>
          </w:p>
          <w:p>
            <w:pPr>
              <w:widowControl/>
              <w:shd w:val="clear" w:color="auto" w:fill="FFFFFF"/>
              <w:spacing w:line="560" w:lineRule="atLeast"/>
              <w:jc w:val="left"/>
              <w:rPr>
                <w:rFonts w:ascii="宋体" w:hAnsi="宋体" w:eastAsia="宋体" w:cs="宋体"/>
                <w:kern w:val="0"/>
                <w:sz w:val="24"/>
                <w:szCs w:val="24"/>
              </w:rPr>
            </w:pPr>
            <w:r>
              <w:rPr>
                <w:rFonts w:hint="eastAsia" w:ascii="宋体" w:hAnsi="宋体" w:eastAsia="宋体" w:cs="宋体"/>
                <w:color w:val="000000"/>
                <w:kern w:val="0"/>
                <w:sz w:val="32"/>
                <w:szCs w:val="32"/>
                <w:shd w:val="clear" w:color="auto" w:fill="FFFFFF"/>
              </w:rPr>
              <w:t>   </w:t>
            </w:r>
            <w:r>
              <w:rPr>
                <w:rFonts w:hint="eastAsia" w:ascii="宋体" w:hAnsi="宋体" w:eastAsia="宋体" w:cs="宋体"/>
                <w:color w:val="000000"/>
                <w:kern w:val="0"/>
                <w:sz w:val="32"/>
              </w:rPr>
              <w:t> </w:t>
            </w:r>
            <w:r>
              <w:rPr>
                <w:rFonts w:hint="eastAsia" w:ascii="黑体" w:hAnsi="黑体" w:eastAsia="黑体" w:cs="宋体"/>
                <w:color w:val="000000"/>
                <w:kern w:val="0"/>
                <w:sz w:val="32"/>
                <w:szCs w:val="32"/>
                <w:shd w:val="clear" w:color="auto" w:fill="FFFFFF"/>
              </w:rPr>
              <w:t>二、方法步骤</w:t>
            </w:r>
          </w:p>
          <w:p>
            <w:pPr>
              <w:widowControl/>
              <w:shd w:val="clear" w:color="auto" w:fill="FFFFFF"/>
              <w:spacing w:line="560" w:lineRule="atLeast"/>
              <w:jc w:val="left"/>
              <w:rPr>
                <w:rFonts w:ascii="宋体" w:hAnsi="宋体" w:eastAsia="宋体" w:cs="宋体"/>
                <w:kern w:val="0"/>
                <w:sz w:val="24"/>
                <w:szCs w:val="24"/>
              </w:rPr>
            </w:pPr>
            <w:r>
              <w:rPr>
                <w:rFonts w:hint="eastAsia" w:ascii="楷体" w:hAnsi="楷体" w:eastAsia="楷体" w:cs="宋体"/>
                <w:color w:val="000000"/>
                <w:kern w:val="0"/>
                <w:sz w:val="32"/>
                <w:szCs w:val="32"/>
                <w:shd w:val="clear" w:color="auto" w:fill="FFFFFF"/>
              </w:rPr>
              <w:t>（一）建立健全“一单两库”</w:t>
            </w:r>
          </w:p>
          <w:p>
            <w:pPr>
              <w:widowControl/>
              <w:spacing w:line="514" w:lineRule="atLeast"/>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　⒈建立“双随机”抽查事项清单。依据法律法规规章确定荣成市环保系统随机抽查事项清单，明确抽查内容、抽查依据、抽查方式等。随机抽查事项清单根据法律法规规章制修订情况和工作实际进行动态调整，及时向社会公布。凡是法律法规规章没有规定的，一律不得擅自开展检查。</w:t>
            </w:r>
          </w:p>
          <w:p>
            <w:pPr>
              <w:widowControl/>
              <w:spacing w:line="514" w:lineRule="atLeast"/>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   </w:t>
            </w:r>
            <w:r>
              <w:rPr>
                <w:rFonts w:hint="eastAsia" w:ascii="仿宋_GB2312" w:hAnsi="宋体" w:eastAsia="仿宋_GB2312" w:cs="宋体"/>
                <w:color w:val="000000"/>
                <w:kern w:val="0"/>
                <w:sz w:val="32"/>
              </w:rPr>
              <w:t> </w:t>
            </w:r>
            <w:r>
              <w:rPr>
                <w:rFonts w:hint="eastAsia" w:ascii="仿宋_GB2312" w:hAnsi="宋体" w:eastAsia="仿宋_GB2312" w:cs="宋体"/>
                <w:color w:val="000000"/>
                <w:kern w:val="0"/>
                <w:sz w:val="32"/>
                <w:szCs w:val="32"/>
                <w:shd w:val="clear" w:color="auto" w:fill="FFFFFF"/>
              </w:rPr>
              <w:t>市环保局有监督检查职责的科室、下属事业单位负责制定职责范围内随机抽查事项清单，报分管局领导审定后发布。</w:t>
            </w:r>
          </w:p>
          <w:p>
            <w:pPr>
              <w:widowControl/>
              <w:spacing w:line="514" w:lineRule="atLeast"/>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   </w:t>
            </w:r>
            <w:r>
              <w:rPr>
                <w:rFonts w:hint="eastAsia" w:ascii="仿宋_GB2312" w:hAnsi="宋体" w:eastAsia="仿宋_GB2312" w:cs="宋体"/>
                <w:color w:val="000000"/>
                <w:kern w:val="0"/>
                <w:sz w:val="32"/>
              </w:rPr>
              <w:t> </w:t>
            </w:r>
            <w:r>
              <w:rPr>
                <w:rFonts w:hint="eastAsia" w:ascii="仿宋_GB2312" w:hAnsi="宋体" w:eastAsia="仿宋_GB2312" w:cs="宋体"/>
                <w:color w:val="000000"/>
                <w:kern w:val="0"/>
                <w:sz w:val="32"/>
                <w:szCs w:val="32"/>
                <w:shd w:val="clear" w:color="auto" w:fill="FFFFFF"/>
              </w:rPr>
              <w:t>责任主体：市局有监督检查职责的科室、下属事业单位</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⒉建立日常监管动态信息库。市环保局有监督检查职责的科室、下属事业单位负责建立本科室、单位的日常监管动态信息库。动态信息库建库及日常更新要做到专人负责，信息库中的信息要做到应填必填。</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责任主体：市局有监督检查职责的科室、下属事业单位</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⒊建立检查人员名录库。市局有监督检查职责的科室、下属事业单位建立本科室、单位执法检查人员名录库，实施动态管理。执法人员名录库所纳入人员应具备行政执法资格，涵盖部门所有执法检查人员，如有必要可根据相关规定抽调相关业务科室、部门人员纳入。</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责任主体：市局有监督检查职责的科室、下属事业单位</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⒋实行动态管理。对“双随机”抽查事项清单、污染源日常监管动态信息库、检查人员名录库实行动态管理，及时录入、更新相关信息，确保监管对象齐全、监管人员合格、监管事项合法。</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责任主体：市局有监督检查职责的科室、下属事业单位</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　　(二)规范执法检查流程</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⒈合理确定抽查比例。各科室、下属事业单位根据相关规定确定抽查比例，没有抽查比例确定依据的，自行合理制定抽查计划并报分管局领导审定后实施。对存在环境违法问题和环境管理问题的监管对象，应适度提高抽查比例。</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⒉开展“双随机”抽查。采用摇号等方式从日常监管动态信息库和检查人员名录库随机抽取检查对象和执法检查人员，做到全程留痕。</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⒊依法处罚。对随机抽查发现的环境违法行为，发现一起，查处一起，依法处理处罚。　　</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⒋及时公开抽查及处理结果。将随机抽查查处结果及时向社会公开，接受社会监督。</w:t>
            </w:r>
          </w:p>
          <w:p>
            <w:pPr>
              <w:widowControl/>
              <w:shd w:val="clear" w:color="auto" w:fill="FFFFFF"/>
              <w:spacing w:line="560" w:lineRule="atLeast"/>
              <w:ind w:firstLine="640" w:firstLineChars="200"/>
              <w:jc w:val="left"/>
              <w:rPr>
                <w:rFonts w:hint="eastAsia" w:ascii="黑体" w:hAnsi="黑体" w:eastAsia="黑体" w:cs="宋体"/>
                <w:color w:val="000000"/>
                <w:kern w:val="0"/>
                <w:sz w:val="32"/>
                <w:szCs w:val="32"/>
                <w:shd w:val="clear" w:color="auto" w:fill="FFFFFF"/>
              </w:rPr>
            </w:pPr>
            <w:r>
              <w:rPr>
                <w:rFonts w:hint="eastAsia" w:ascii="黑体" w:hAnsi="黑体" w:eastAsia="黑体" w:cs="宋体"/>
                <w:color w:val="000000"/>
                <w:kern w:val="0"/>
                <w:sz w:val="32"/>
                <w:szCs w:val="32"/>
                <w:shd w:val="clear" w:color="auto" w:fill="FFFFFF"/>
              </w:rPr>
              <w:t>三、工作要求</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(一)全程留痕制度</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开展随机抽查工作时，应严格遵照相关工作制度、工作程序，对列入随机抽查名单中的监管对象进行现场抽查,按照《山东省污染源现场检查工作指南》(鲁环办[2014]45号)</w:t>
            </w:r>
            <w:r>
              <w:rPr>
                <w:rFonts w:hint="eastAsia" w:ascii="仿宋" w:hAnsi="仿宋" w:eastAsia="仿宋" w:cs="宋体"/>
                <w:kern w:val="0"/>
                <w:sz w:val="32"/>
                <w:szCs w:val="32"/>
              </w:rPr>
              <w:t>要求制作《污染源现场监察记录表》。</w:t>
            </w:r>
          </w:p>
          <w:p>
            <w:pPr>
              <w:widowControl/>
              <w:spacing w:line="600" w:lineRule="atLeast"/>
              <w:ind w:firstLine="643"/>
              <w:jc w:val="left"/>
              <w:rPr>
                <w:rFonts w:ascii="宋体" w:hAnsi="宋体" w:eastAsia="宋体" w:cs="宋体"/>
                <w:kern w:val="0"/>
                <w:sz w:val="24"/>
                <w:szCs w:val="24"/>
              </w:rPr>
            </w:pPr>
            <w:r>
              <w:rPr>
                <w:rFonts w:hint="eastAsia" w:ascii="楷体" w:hAnsi="楷体" w:eastAsia="楷体" w:cs="宋体"/>
                <w:kern w:val="0"/>
                <w:sz w:val="32"/>
                <w:szCs w:val="32"/>
              </w:rPr>
              <w:t>(二)依法查处制度</w:t>
            </w:r>
          </w:p>
          <w:p>
            <w:pPr>
              <w:widowControl/>
              <w:spacing w:line="600" w:lineRule="atLeast"/>
              <w:ind w:firstLine="640"/>
              <w:jc w:val="left"/>
              <w:rPr>
                <w:rFonts w:ascii="宋体" w:hAnsi="宋体" w:eastAsia="宋体" w:cs="宋体"/>
                <w:kern w:val="0"/>
                <w:sz w:val="24"/>
                <w:szCs w:val="24"/>
              </w:rPr>
            </w:pPr>
            <w:r>
              <w:rPr>
                <w:rFonts w:hint="eastAsia" w:ascii="仿宋" w:hAnsi="仿宋" w:eastAsia="仿宋" w:cs="宋体"/>
                <w:kern w:val="0"/>
                <w:sz w:val="32"/>
                <w:szCs w:val="32"/>
              </w:rPr>
              <w:t>对市级随机抽查工作中发现的环境违法行为，下发督办单,由市环保部门依法处理处罚,符合移交条件的,要及时移交公安机关依法处理。市环保局将对处理处罚情况进行动态跟踪,对处理处罚不及时、不到位的环境违法行为,将按有关规定进行处理。</w:t>
            </w:r>
          </w:p>
          <w:p>
            <w:pPr>
              <w:widowControl/>
              <w:spacing w:line="600" w:lineRule="atLeast"/>
              <w:ind w:firstLine="643"/>
              <w:jc w:val="left"/>
              <w:rPr>
                <w:rFonts w:ascii="宋体" w:hAnsi="宋体" w:eastAsia="宋体" w:cs="宋体"/>
                <w:kern w:val="0"/>
                <w:sz w:val="24"/>
                <w:szCs w:val="24"/>
              </w:rPr>
            </w:pPr>
            <w:r>
              <w:rPr>
                <w:rFonts w:hint="eastAsia" w:ascii="楷体" w:hAnsi="楷体" w:eastAsia="楷体" w:cs="宋体"/>
                <w:kern w:val="0"/>
                <w:sz w:val="32"/>
                <w:szCs w:val="32"/>
              </w:rPr>
              <w:t>(三)廉政保密制度</w:t>
            </w:r>
          </w:p>
          <w:p>
            <w:pPr>
              <w:widowControl/>
              <w:spacing w:line="600" w:lineRule="atLeast"/>
              <w:ind w:firstLine="640"/>
              <w:jc w:val="left"/>
              <w:rPr>
                <w:rFonts w:ascii="宋体" w:hAnsi="宋体" w:eastAsia="宋体" w:cs="宋体"/>
                <w:kern w:val="0"/>
                <w:sz w:val="24"/>
                <w:szCs w:val="24"/>
              </w:rPr>
            </w:pPr>
            <w:r>
              <w:rPr>
                <w:rFonts w:hint="eastAsia" w:ascii="仿宋" w:hAnsi="仿宋" w:eastAsia="仿宋" w:cs="宋体"/>
                <w:kern w:val="0"/>
                <w:sz w:val="32"/>
                <w:szCs w:val="32"/>
              </w:rPr>
              <w:t>环境执法人员开展随机抽查工作,要按照《环境执法人员行为规范》做好廉政和保密工作,随机抽查名单一经确定,不得随意变更;不得接受被抽查企业的财物和宴请;不得向被抽查企业通风报信，对查处的问题不掩盖、不袒护、不虚报,坚决杜绝失密泄密、滥用职权、玩忽职守、徇私舞弊等违法违纪行为发生。</w:t>
            </w:r>
          </w:p>
          <w:p>
            <w:pPr>
              <w:widowControl/>
              <w:spacing w:line="600" w:lineRule="atLeast"/>
              <w:ind w:firstLine="643"/>
              <w:jc w:val="left"/>
              <w:rPr>
                <w:rFonts w:ascii="宋体" w:hAnsi="宋体" w:eastAsia="宋体" w:cs="宋体"/>
                <w:kern w:val="0"/>
                <w:sz w:val="24"/>
                <w:szCs w:val="24"/>
              </w:rPr>
            </w:pPr>
            <w:r>
              <w:rPr>
                <w:rFonts w:hint="eastAsia" w:ascii="楷体" w:hAnsi="楷体" w:eastAsia="楷体" w:cs="宋体"/>
                <w:kern w:val="0"/>
                <w:sz w:val="32"/>
                <w:szCs w:val="32"/>
              </w:rPr>
              <w:t>(四)执法联动制度</w:t>
            </w:r>
          </w:p>
          <w:p>
            <w:pPr>
              <w:widowControl/>
              <w:spacing w:line="600" w:lineRule="atLeast"/>
              <w:ind w:firstLine="640"/>
              <w:jc w:val="left"/>
              <w:rPr>
                <w:rFonts w:ascii="宋体" w:hAnsi="宋体" w:eastAsia="宋体" w:cs="宋体"/>
                <w:kern w:val="0"/>
                <w:sz w:val="24"/>
                <w:szCs w:val="24"/>
              </w:rPr>
            </w:pPr>
            <w:r>
              <w:rPr>
                <w:rFonts w:hint="eastAsia" w:ascii="仿宋" w:hAnsi="仿宋" w:eastAsia="仿宋" w:cs="宋体"/>
                <w:kern w:val="0"/>
                <w:sz w:val="32"/>
                <w:szCs w:val="32"/>
              </w:rPr>
              <w:t>开展抽查工作时,可以实施部门联动，重点加强与公安部门配合，严厉打击涉嫌环境犯罪行为；加强内部科室联动，石岛分局、好运角分局、总量、管理、监察、监测、生态、法宣等科室可以采取联动执法的方式开展随机抽查；加强与新闻媒体等单位的密切合作，对先进典型予以宣传报道，对严重环境违法违规行为予以曝光。</w:t>
            </w:r>
          </w:p>
          <w:p>
            <w:pPr>
              <w:widowControl/>
              <w:spacing w:line="600" w:lineRule="atLeast"/>
              <w:ind w:firstLine="643"/>
              <w:jc w:val="left"/>
              <w:rPr>
                <w:rFonts w:ascii="宋体" w:hAnsi="宋体" w:eastAsia="宋体" w:cs="宋体"/>
                <w:kern w:val="0"/>
                <w:sz w:val="24"/>
                <w:szCs w:val="24"/>
              </w:rPr>
            </w:pPr>
            <w:r>
              <w:rPr>
                <w:rFonts w:hint="eastAsia" w:ascii="楷体" w:hAnsi="楷体" w:eastAsia="楷体" w:cs="宋体"/>
                <w:kern w:val="0"/>
                <w:sz w:val="32"/>
                <w:szCs w:val="32"/>
              </w:rPr>
              <w:t>(五)定期报告制度</w:t>
            </w:r>
          </w:p>
          <w:p>
            <w:pPr>
              <w:widowControl/>
              <w:shd w:val="clear" w:color="auto" w:fill="FFFFFF"/>
              <w:spacing w:line="560" w:lineRule="atLeast"/>
              <w:ind w:firstLine="640"/>
              <w:rPr>
                <w:rFonts w:ascii="微软雅黑" w:hAnsi="微软雅黑" w:eastAsia="微软雅黑" w:cs="宋体"/>
                <w:kern w:val="0"/>
                <w:sz w:val="29"/>
                <w:szCs w:val="29"/>
              </w:rPr>
            </w:pPr>
            <w:r>
              <w:rPr>
                <w:rFonts w:hint="eastAsia" w:ascii="仿宋" w:hAnsi="仿宋" w:eastAsia="仿宋" w:cs="宋体"/>
                <w:kern w:val="0"/>
                <w:sz w:val="32"/>
                <w:szCs w:val="32"/>
              </w:rPr>
              <w:t>要按相关要求对随机抽查工作进行总结,按时上报相关材料。</w:t>
            </w:r>
          </w:p>
          <w:p>
            <w:pPr>
              <w:widowControl/>
              <w:shd w:val="clear" w:color="auto" w:fill="FFFFFF"/>
              <w:spacing w:line="560" w:lineRule="atLeast"/>
              <w:ind w:firstLine="640"/>
              <w:rPr>
                <w:rFonts w:hint="eastAsia" w:ascii="微软雅黑" w:hAnsi="微软雅黑" w:eastAsia="微软雅黑" w:cs="宋体"/>
                <w:kern w:val="0"/>
                <w:sz w:val="29"/>
                <w:szCs w:val="29"/>
              </w:rPr>
            </w:pPr>
            <w:r>
              <w:rPr>
                <w:rFonts w:hint="eastAsia" w:ascii="黑体" w:hAnsi="黑体" w:eastAsia="黑体" w:cs="宋体"/>
                <w:kern w:val="0"/>
                <w:sz w:val="32"/>
                <w:szCs w:val="32"/>
              </w:rPr>
              <w:t>四、保障措施</w:t>
            </w:r>
          </w:p>
          <w:p>
            <w:pPr>
              <w:widowControl/>
              <w:spacing w:line="600" w:lineRule="atLeast"/>
              <w:ind w:firstLine="643"/>
              <w:jc w:val="left"/>
              <w:rPr>
                <w:rFonts w:hint="eastAsia" w:ascii="宋体" w:hAnsi="宋体" w:eastAsia="宋体" w:cs="宋体"/>
                <w:kern w:val="0"/>
                <w:sz w:val="24"/>
                <w:szCs w:val="24"/>
              </w:rPr>
            </w:pPr>
            <w:r>
              <w:rPr>
                <w:rFonts w:hint="eastAsia" w:ascii="楷体" w:hAnsi="楷体" w:eastAsia="楷体" w:cs="宋体"/>
                <w:kern w:val="0"/>
                <w:sz w:val="32"/>
                <w:szCs w:val="32"/>
              </w:rPr>
              <w:t>(一)加强组织领导,严格落实责任</w:t>
            </w:r>
          </w:p>
          <w:p>
            <w:pPr>
              <w:widowControl/>
              <w:spacing w:line="600" w:lineRule="atLeast"/>
              <w:ind w:firstLine="640"/>
              <w:jc w:val="left"/>
              <w:rPr>
                <w:rFonts w:ascii="宋体" w:hAnsi="宋体" w:eastAsia="宋体" w:cs="宋体"/>
                <w:kern w:val="0"/>
                <w:sz w:val="24"/>
                <w:szCs w:val="24"/>
              </w:rPr>
            </w:pPr>
            <w:r>
              <w:rPr>
                <w:rFonts w:hint="eastAsia" w:ascii="仿宋" w:hAnsi="仿宋" w:eastAsia="仿宋" w:cs="宋体"/>
                <w:kern w:val="0"/>
                <w:sz w:val="32"/>
                <w:szCs w:val="32"/>
              </w:rPr>
              <w:t>市局各部门要充分认识随机抽查工作的重要性和紧迫性,统一思想认识,加强组织领导,服从统一调度，明确抽查工作任务和责任。各相关科室要密切配合，加强协作，确保随机抽查制度落实到位。</w:t>
            </w:r>
          </w:p>
          <w:p>
            <w:pPr>
              <w:widowControl/>
              <w:spacing w:line="600" w:lineRule="atLeast"/>
              <w:ind w:firstLine="643"/>
              <w:jc w:val="left"/>
              <w:rPr>
                <w:rFonts w:ascii="宋体" w:hAnsi="宋体" w:eastAsia="宋体" w:cs="宋体"/>
                <w:kern w:val="0"/>
                <w:sz w:val="24"/>
                <w:szCs w:val="24"/>
              </w:rPr>
            </w:pPr>
            <w:r>
              <w:rPr>
                <w:rFonts w:hint="eastAsia" w:ascii="楷体" w:hAnsi="楷体" w:eastAsia="楷体" w:cs="宋体"/>
                <w:kern w:val="0"/>
                <w:sz w:val="32"/>
                <w:szCs w:val="32"/>
              </w:rPr>
              <w:t>(二)加强宣传教育,营造良好氛围</w:t>
            </w:r>
          </w:p>
          <w:p>
            <w:pPr>
              <w:widowControl/>
              <w:spacing w:line="600" w:lineRule="atLeast"/>
              <w:ind w:firstLine="640"/>
              <w:jc w:val="left"/>
              <w:rPr>
                <w:rFonts w:ascii="宋体" w:hAnsi="宋体" w:eastAsia="宋体" w:cs="宋体"/>
                <w:kern w:val="0"/>
                <w:sz w:val="24"/>
                <w:szCs w:val="24"/>
              </w:rPr>
            </w:pPr>
            <w:r>
              <w:rPr>
                <w:rFonts w:hint="eastAsia" w:ascii="仿宋" w:hAnsi="仿宋" w:eastAsia="仿宋" w:cs="宋体"/>
                <w:kern w:val="0"/>
                <w:sz w:val="32"/>
                <w:szCs w:val="32"/>
              </w:rPr>
              <w:t>市局法宣科及相关职能科室要充分利用报刊、广播、电视、网络、政务微博、微信等媒体,广泛宣传污染源日常环境监管随机抽查制度和法律法规政策，进一步提高公众对环境监管重要性的认识。同时对随机抽查发现的典型环境污染案件,主动在媒体上进行宣传报道和曝光，在全社会营造打击环境违法行为的强大声势。</w:t>
            </w:r>
          </w:p>
          <w:p>
            <w:pPr>
              <w:widowControl/>
              <w:spacing w:line="600" w:lineRule="atLeast"/>
              <w:ind w:firstLine="643"/>
              <w:jc w:val="left"/>
              <w:rPr>
                <w:rFonts w:ascii="宋体" w:hAnsi="宋体" w:eastAsia="宋体" w:cs="宋体"/>
                <w:kern w:val="0"/>
                <w:sz w:val="24"/>
                <w:szCs w:val="24"/>
              </w:rPr>
            </w:pPr>
            <w:r>
              <w:rPr>
                <w:rFonts w:hint="eastAsia" w:ascii="楷体" w:hAnsi="楷体" w:eastAsia="楷体" w:cs="宋体"/>
                <w:kern w:val="0"/>
                <w:sz w:val="32"/>
                <w:szCs w:val="32"/>
              </w:rPr>
              <w:t>(三)加强工作督导,开展监督稽查</w:t>
            </w:r>
          </w:p>
          <w:p>
            <w:pPr>
              <w:widowControl/>
              <w:shd w:val="clear" w:color="auto" w:fill="FFFFFF"/>
              <w:spacing w:line="560" w:lineRule="atLeast"/>
              <w:ind w:firstLine="630"/>
              <w:jc w:val="left"/>
              <w:rPr>
                <w:rFonts w:ascii="宋体" w:hAnsi="宋体" w:eastAsia="宋体" w:cs="宋体"/>
                <w:kern w:val="0"/>
                <w:sz w:val="24"/>
                <w:szCs w:val="24"/>
              </w:rPr>
            </w:pPr>
            <w:r>
              <w:rPr>
                <w:rFonts w:hint="eastAsia" w:ascii="仿宋" w:hAnsi="仿宋" w:eastAsia="仿宋" w:cs="宋体"/>
                <w:kern w:val="0"/>
                <w:sz w:val="32"/>
                <w:szCs w:val="32"/>
              </w:rPr>
              <w:t>荣成市环保局负责对各分局环保部门环境监管随机抽查工作进行督导，定期开展监督稽查工作,对未能认真履行职责或随机抽查工作开展不力的部门,实行公开通报或行政约谈;对抽查工作中失职渎职、徇私舞弊的人员,依法追究相关责任;对抽查工作落实过程中存在的问题,及时予以协调解决,确保随机抽查工作的各项制度落到实处。</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roma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2B4A5B"/>
    <w:rsid w:val="002B4A5B"/>
    <w:rsid w:val="00CE2CD7"/>
    <w:rsid w:val="1E6B49A5"/>
    <w:rsid w:val="2EBF6E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nhideWhenUsed="0"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4"/>
    <w:basedOn w:val="1"/>
    <w:next w:val="1"/>
    <w:link w:val="6"/>
    <w:qFormat/>
    <w:uiPriority w:val="9"/>
    <w:pPr>
      <w:widowControl/>
      <w:spacing w:before="100" w:beforeAutospacing="1" w:after="100" w:afterAutospacing="1"/>
      <w:jc w:val="left"/>
      <w:outlineLvl w:val="3"/>
    </w:pPr>
    <w:rPr>
      <w:rFonts w:ascii="宋体" w:hAnsi="宋体" w:eastAsia="宋体" w:cs="宋体"/>
      <w:b/>
      <w:bCs/>
      <w:kern w:val="0"/>
      <w:sz w:val="24"/>
      <w:szCs w:val="24"/>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3">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6">
    <w:name w:val="标题 4 Char"/>
    <w:basedOn w:val="5"/>
    <w:link w:val="2"/>
    <w:uiPriority w:val="9"/>
    <w:rPr>
      <w:rFonts w:ascii="宋体" w:hAnsi="宋体" w:eastAsia="宋体" w:cs="宋体"/>
      <w:b/>
      <w:bCs/>
      <w:kern w:val="0"/>
      <w:sz w:val="24"/>
      <w:szCs w:val="24"/>
    </w:rPr>
  </w:style>
  <w:style w:type="character" w:customStyle="1" w:styleId="7">
    <w:name w:val="apple-converted-space"/>
    <w:basedOn w:val="5"/>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686</Words>
  <Characters>3916</Characters>
  <Lines>32</Lines>
  <Paragraphs>9</Paragraphs>
  <TotalTime>24</TotalTime>
  <ScaleCrop>false</ScaleCrop>
  <LinksUpToDate>false</LinksUpToDate>
  <CharactersWithSpaces>4593</CharactersWithSpaces>
  <Application>WPS Office_11.8.6.11825_F1E327BC-269C-435d-A152-05C5408002CA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2018-06-28T08:52:00Z</dcterms:created>
  <dc:creator>DELL</dc:creator>
  <cp:lastModifiedBy>蔡杰</cp:lastModifiedBy>
  <dcterms:modified xsi:type="dcterms:W3CDTF">2024-06-04T08:06:42Z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2052-11.8.6.11825</vt:lpwstr>
  </property>
  <property fmtid="{D5CDD505-2E9C-101B-9397-08002B2CF9AE}" pid="3" name="ICV">
    <vt:lpwstr>6C86B2BB83E14A5888994032C5ACCA47</vt:lpwstr>
  </property>
</Properties>
</file>