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single" w:color="C4C4C4" w:sz="8"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8"/>
      </w:tblGrid>
      <w:tr>
        <w:tblPrEx>
          <w:tblBorders>
            <w:top w:val="none" w:color="auto" w:sz="0" w:space="0"/>
            <w:left w:val="none" w:color="auto" w:sz="0" w:space="0"/>
            <w:bottom w:val="single" w:color="C4C4C4" w:sz="8"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206" w:type="dxa"/>
              <w:left w:w="206" w:type="dxa"/>
              <w:bottom w:w="206" w:type="dxa"/>
              <w:right w:w="206" w:type="dxa"/>
            </w:tcMar>
            <w:vAlign w:val="center"/>
          </w:tcPr>
          <w:p>
            <w:pPr>
              <w:widowControl/>
              <w:jc w:val="center"/>
              <w:rPr>
                <w:rFonts w:hint="eastAsia" w:ascii="微软雅黑" w:hAnsi="微软雅黑" w:eastAsia="微软雅黑" w:cs="宋体"/>
                <w:b/>
                <w:bCs/>
                <w:color w:val="C02020"/>
                <w:kern w:val="0"/>
                <w:sz w:val="41"/>
                <w:szCs w:val="41"/>
                <w:lang w:val="en-US" w:eastAsia="zh-CN"/>
              </w:rPr>
            </w:pPr>
            <w:r>
              <w:rPr>
                <w:rFonts w:hint="eastAsia" w:ascii="微软雅黑" w:hAnsi="微软雅黑" w:eastAsia="微软雅黑" w:cs="宋体"/>
                <w:b/>
                <w:bCs/>
                <w:color w:val="C02020"/>
                <w:kern w:val="0"/>
                <w:sz w:val="41"/>
                <w:szCs w:val="41"/>
                <w:lang w:val="en-US" w:eastAsia="zh-CN"/>
              </w:rPr>
              <w:t>威海市生态环境局荣成分局</w:t>
            </w:r>
          </w:p>
          <w:p>
            <w:pPr>
              <w:widowControl/>
              <w:jc w:val="center"/>
              <w:rPr>
                <w:rFonts w:ascii="微软雅黑" w:hAnsi="微软雅黑" w:eastAsia="微软雅黑" w:cs="宋体"/>
                <w:b/>
                <w:bCs/>
                <w:color w:val="C02020"/>
                <w:kern w:val="0"/>
                <w:sz w:val="41"/>
                <w:szCs w:val="41"/>
              </w:rPr>
            </w:pPr>
            <w:r>
              <w:rPr>
                <w:rFonts w:hint="eastAsia" w:ascii="微软雅黑" w:hAnsi="微软雅黑" w:eastAsia="微软雅黑" w:cs="宋体"/>
                <w:b/>
                <w:bCs/>
                <w:color w:val="C02020"/>
                <w:kern w:val="0"/>
                <w:sz w:val="41"/>
                <w:szCs w:val="41"/>
                <w:lang w:val="en-US" w:eastAsia="zh-CN"/>
              </w:rPr>
              <w:t>“双随机、一公开”</w:t>
            </w:r>
            <w:r>
              <w:rPr>
                <w:rFonts w:hint="eastAsia" w:ascii="微软雅黑" w:hAnsi="微软雅黑" w:eastAsia="微软雅黑" w:cs="宋体"/>
                <w:b/>
                <w:bCs/>
                <w:color w:val="C02020"/>
                <w:kern w:val="0"/>
                <w:sz w:val="41"/>
                <w:szCs w:val="41"/>
              </w:rPr>
              <w:t>抽查事项清单</w:t>
            </w:r>
          </w:p>
        </w:tc>
      </w:tr>
    </w:tbl>
    <w:p>
      <w:pPr>
        <w:widowControl/>
        <w:jc w:val="left"/>
        <w:rPr>
          <w:rFonts w:ascii="宋体" w:hAnsi="宋体" w:eastAsia="宋体" w:cs="宋体"/>
          <w:vanish/>
          <w:kern w:val="0"/>
          <w:sz w:val="24"/>
          <w:szCs w:val="24"/>
        </w:rPr>
      </w:pPr>
    </w:p>
    <w:tbl>
      <w:tblPr>
        <w:tblStyle w:val="4"/>
        <w:tblW w:w="5000" w:type="pct"/>
        <w:tblInd w:w="0" w:type="dxa"/>
        <w:shd w:val="clear" w:color="auto" w:fill="FFFFFF"/>
        <w:tblLayout w:type="autofit"/>
        <w:tblCellMar>
          <w:top w:w="0" w:type="dxa"/>
          <w:left w:w="0" w:type="dxa"/>
          <w:bottom w:w="0" w:type="dxa"/>
          <w:right w:w="0" w:type="dxa"/>
        </w:tblCellMar>
      </w:tblPr>
      <w:tblGrid>
        <w:gridCol w:w="9540"/>
      </w:tblGrid>
      <w:tr>
        <w:tblPrEx>
          <w:shd w:val="clear" w:color="auto" w:fill="FFFFFF"/>
          <w:tblCellMar>
            <w:top w:w="0" w:type="dxa"/>
            <w:left w:w="0" w:type="dxa"/>
            <w:bottom w:w="0" w:type="dxa"/>
            <w:right w:w="0" w:type="dxa"/>
          </w:tblCellMar>
        </w:tblPrEx>
        <w:trPr>
          <w:trHeight w:val="2700" w:hRule="atLeast"/>
        </w:trPr>
        <w:tc>
          <w:tcPr>
            <w:tcW w:w="0" w:type="auto"/>
            <w:tcBorders>
              <w:top w:val="nil"/>
              <w:left w:val="nil"/>
              <w:bottom w:val="nil"/>
              <w:right w:val="nil"/>
            </w:tcBorders>
            <w:shd w:val="clear" w:color="auto" w:fill="FFFFFF"/>
            <w:tcMar>
              <w:top w:w="411" w:type="dxa"/>
              <w:left w:w="617" w:type="dxa"/>
              <w:bottom w:w="0" w:type="dxa"/>
              <w:right w:w="617" w:type="dxa"/>
            </w:tcMar>
          </w:tcPr>
          <w:p>
            <w:pPr>
              <w:widowControl/>
              <w:spacing w:line="514" w:lineRule="atLeast"/>
              <w:jc w:val="left"/>
              <w:rPr>
                <w:rFonts w:hint="eastAsia" w:ascii="微软雅黑" w:hAnsi="微软雅黑" w:eastAsia="微软雅黑" w:cs="宋体"/>
                <w:kern w:val="0"/>
                <w:sz w:val="29"/>
                <w:szCs w:val="29"/>
              </w:rPr>
            </w:pPr>
            <w:r>
              <w:rPr>
                <w:rFonts w:hint="eastAsia" w:ascii="微软雅黑" w:hAnsi="微软雅黑" w:eastAsia="微软雅黑" w:cs="宋体"/>
                <w:kern w:val="0"/>
                <w:sz w:val="29"/>
                <w:szCs w:val="29"/>
              </w:rPr>
              <w:t> </w:t>
            </w:r>
          </w:p>
          <w:p>
            <w:pPr>
              <w:widowControl/>
              <w:spacing w:line="514" w:lineRule="atLeast"/>
              <w:jc w:val="center"/>
              <w:rPr>
                <w:rFonts w:hint="eastAsia" w:ascii="宋体" w:hAnsi="宋体" w:eastAsia="宋体" w:cs="宋体"/>
                <w:kern w:val="0"/>
                <w:sz w:val="24"/>
                <w:szCs w:val="24"/>
              </w:rPr>
            </w:pPr>
            <w:r>
              <w:rPr>
                <w:rFonts w:ascii="宋体" w:hAnsi="宋体" w:eastAsia="宋体" w:cs="宋体"/>
                <w:kern w:val="0"/>
                <w:sz w:val="24"/>
                <w:szCs w:val="24"/>
              </w:rPr>
              <w:t> </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kern w:val="0"/>
                <w:sz w:val="24"/>
                <w:szCs w:val="24"/>
              </w:rPr>
              <w:t> </w:t>
            </w:r>
          </w:p>
          <w:tbl>
            <w:tblPr>
              <w:tblStyle w:val="4"/>
              <w:tblW w:w="0" w:type="auto"/>
              <w:jc w:val="center"/>
              <w:tblLayout w:type="autofit"/>
              <w:tblCellMar>
                <w:top w:w="0" w:type="dxa"/>
                <w:left w:w="0" w:type="dxa"/>
                <w:bottom w:w="0" w:type="dxa"/>
                <w:right w:w="0" w:type="dxa"/>
              </w:tblCellMar>
            </w:tblPr>
            <w:tblGrid>
              <w:gridCol w:w="259"/>
              <w:gridCol w:w="792"/>
              <w:gridCol w:w="855"/>
              <w:gridCol w:w="1566"/>
              <w:gridCol w:w="694"/>
              <w:gridCol w:w="2681"/>
              <w:gridCol w:w="1459"/>
            </w:tblGrid>
            <w:tr>
              <w:tblPrEx>
                <w:tblCellMar>
                  <w:top w:w="0" w:type="dxa"/>
                  <w:left w:w="0" w:type="dxa"/>
                  <w:bottom w:w="0" w:type="dxa"/>
                  <w:right w:w="0" w:type="dxa"/>
                </w:tblCellMar>
              </w:tblPrEx>
              <w:trPr>
                <w:trHeight w:val="856" w:hRule="atLeast"/>
                <w:jc w:val="center"/>
              </w:trPr>
              <w:tc>
                <w:tcPr>
                  <w:tcW w:w="32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kern w:val="0"/>
                      <w:sz w:val="20"/>
                      <w:szCs w:val="20"/>
                    </w:rPr>
                    <w:t>序号</w:t>
                  </w:r>
                </w:p>
              </w:tc>
              <w:tc>
                <w:tcPr>
                  <w:tcW w:w="106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spacing w:val="-20"/>
                      <w:kern w:val="0"/>
                      <w:sz w:val="20"/>
                      <w:szCs w:val="20"/>
                    </w:rPr>
                    <w:t>事项名称</w:t>
                  </w:r>
                </w:p>
              </w:tc>
              <w:tc>
                <w:tcPr>
                  <w:tcW w:w="122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kern w:val="0"/>
                      <w:sz w:val="20"/>
                      <w:szCs w:val="20"/>
                    </w:rPr>
                    <w:t>抽查对象</w:t>
                  </w:r>
                </w:p>
              </w:tc>
              <w:tc>
                <w:tcPr>
                  <w:tcW w:w="274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kern w:val="0"/>
                      <w:sz w:val="20"/>
                      <w:szCs w:val="20"/>
                    </w:rPr>
                    <w:t>抽查内容</w:t>
                  </w:r>
                </w:p>
              </w:tc>
              <w:tc>
                <w:tcPr>
                  <w:tcW w:w="81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kern w:val="0"/>
                      <w:sz w:val="20"/>
                      <w:szCs w:val="20"/>
                    </w:rPr>
                    <w:t>抽查方式</w:t>
                  </w:r>
                </w:p>
              </w:tc>
              <w:tc>
                <w:tcPr>
                  <w:tcW w:w="52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kern w:val="0"/>
                      <w:sz w:val="20"/>
                      <w:szCs w:val="20"/>
                    </w:rPr>
                    <w:t>检查程序</w:t>
                  </w:r>
                </w:p>
              </w:tc>
              <w:tc>
                <w:tcPr>
                  <w:tcW w:w="246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pacing w:line="300" w:lineRule="atLeast"/>
                    <w:jc w:val="center"/>
                    <w:rPr>
                      <w:rFonts w:ascii="宋体" w:hAnsi="宋体" w:eastAsia="宋体" w:cs="宋体"/>
                      <w:kern w:val="0"/>
                      <w:sz w:val="24"/>
                      <w:szCs w:val="24"/>
                    </w:rPr>
                  </w:pPr>
                  <w:r>
                    <w:rPr>
                      <w:rFonts w:hint="eastAsia" w:ascii="仿宋_GB2312" w:hAnsi="宋体" w:eastAsia="仿宋_GB2312" w:cs="宋体"/>
                      <w:b/>
                      <w:bCs/>
                      <w:kern w:val="0"/>
                      <w:sz w:val="20"/>
                      <w:szCs w:val="20"/>
                    </w:rPr>
                    <w:t>检查处理</w:t>
                  </w:r>
                </w:p>
              </w:tc>
            </w:tr>
            <w:tr>
              <w:tblPrEx>
                <w:tblCellMar>
                  <w:top w:w="0" w:type="dxa"/>
                  <w:left w:w="0" w:type="dxa"/>
                  <w:bottom w:w="0" w:type="dxa"/>
                  <w:right w:w="0" w:type="dxa"/>
                </w:tblCellMar>
              </w:tblPrEx>
              <w:trPr>
                <w:trHeight w:val="3925" w:hRule="atLeast"/>
                <w:jc w:val="center"/>
              </w:trPr>
              <w:tc>
                <w:tcPr>
                  <w:tcW w:w="320" w:type="dxa"/>
                  <w:tcBorders>
                    <w:top w:val="nil"/>
                    <w:left w:val="single" w:color="auto" w:sz="8" w:space="0"/>
                    <w:bottom w:val="single" w:color="auto" w:sz="8" w:space="0"/>
                    <w:right w:val="single" w:color="auto" w:sz="8" w:space="0"/>
                  </w:tcBorders>
                  <w:shd w:val="clear" w:color="auto" w:fill="auto"/>
                  <w:vAlign w:val="center"/>
                </w:tcPr>
                <w:p>
                  <w:pPr>
                    <w:widowControl/>
                    <w:wordWrap w:val="0"/>
                    <w:spacing w:line="300" w:lineRule="atLeast"/>
                    <w:jc w:val="center"/>
                    <w:rPr>
                      <w:rFonts w:ascii="宋体" w:hAnsi="宋体" w:eastAsia="宋体" w:cs="宋体"/>
                      <w:kern w:val="0"/>
                      <w:sz w:val="24"/>
                      <w:szCs w:val="24"/>
                    </w:rPr>
                  </w:pPr>
                  <w:r>
                    <w:rPr>
                      <w:rFonts w:hint="eastAsia" w:ascii="仿宋_GB2312" w:hAnsi="宋体" w:eastAsia="仿宋_GB2312" w:cs="宋体"/>
                      <w:kern w:val="0"/>
                      <w:sz w:val="20"/>
                      <w:szCs w:val="20"/>
                    </w:rPr>
                    <w:t>1</w:t>
                  </w:r>
                </w:p>
              </w:tc>
              <w:tc>
                <w:tcPr>
                  <w:tcW w:w="10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对重点污染源的监督检查</w:t>
                  </w:r>
                </w:p>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 </w:t>
                  </w:r>
                </w:p>
              </w:tc>
              <w:tc>
                <w:tcPr>
                  <w:tcW w:w="12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国控、省控、市控重点污染源。</w:t>
                  </w:r>
                </w:p>
              </w:tc>
              <w:tc>
                <w:tcPr>
                  <w:tcW w:w="274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（一）环评和“三同时”制度执行情况。 </w:t>
                  </w:r>
                </w:p>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（二）污染防治设施运行情况。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（三）污染物排放情况。</w:t>
                  </w:r>
                </w:p>
              </w:tc>
              <w:tc>
                <w:tcPr>
                  <w:tcW w:w="8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每季度随机抽查。</w:t>
                  </w:r>
                </w:p>
              </w:tc>
              <w:tc>
                <w:tcPr>
                  <w:tcW w:w="52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（一）制定检查方案。根据检查内容，制定详细检查方案计划，做好检查前的准备工作。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（二）开展检查。持有效执法证检查，人数不得少于2人；实施现场检查，突出精细化监察要求；视情处理各类情况，对监督检查的情况和处理意见出具检查记录表，并由被检查企业负责人签字确认。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向检查对象反馈检查结果。检查结束后，对重点污染源单位进行反馈，指出发现的问题，提出整改意见，并要求被检查单位在规定期限内将整改情况报市环保局。对需要实施行政处罚的，制作调查案卷由局法宣科审查。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（四）督促整改落实。市环保局对监督检查和整改落实情况适时组织开展复查工作，以督促整改落实。</w:t>
                  </w:r>
                </w:p>
              </w:tc>
              <w:tc>
                <w:tcPr>
                  <w:tcW w:w="24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通过监督检查，发现重点污染源单位存在问题的，严格按照《环境保护法》等有关法律法规的规定，对违法企业作出责令改正、责令停产停业、查封扣押相关设施设备、罚款等处理决定。</w:t>
                  </w:r>
                </w:p>
              </w:tc>
            </w:tr>
            <w:tr>
              <w:tblPrEx>
                <w:tblCellMar>
                  <w:top w:w="0" w:type="dxa"/>
                  <w:left w:w="0" w:type="dxa"/>
                  <w:bottom w:w="0" w:type="dxa"/>
                  <w:right w:w="0" w:type="dxa"/>
                </w:tblCellMar>
              </w:tblPrEx>
              <w:trPr>
                <w:trHeight w:val="1369" w:hRule="atLeast"/>
                <w:jc w:val="center"/>
              </w:trPr>
              <w:tc>
                <w:tcPr>
                  <w:tcW w:w="320" w:type="dxa"/>
                  <w:tcBorders>
                    <w:top w:val="nil"/>
                    <w:left w:val="single" w:color="auto" w:sz="8" w:space="0"/>
                    <w:bottom w:val="single" w:color="auto" w:sz="8" w:space="0"/>
                    <w:right w:val="single" w:color="auto" w:sz="8" w:space="0"/>
                  </w:tcBorders>
                  <w:shd w:val="clear" w:color="auto" w:fill="auto"/>
                  <w:vAlign w:val="center"/>
                </w:tcPr>
                <w:p>
                  <w:pPr>
                    <w:widowControl/>
                    <w:wordWrap w:val="0"/>
                    <w:spacing w:line="300" w:lineRule="atLeast"/>
                    <w:jc w:val="center"/>
                    <w:rPr>
                      <w:rFonts w:ascii="宋体" w:hAnsi="宋体" w:eastAsia="宋体" w:cs="宋体"/>
                      <w:kern w:val="0"/>
                      <w:sz w:val="24"/>
                      <w:szCs w:val="24"/>
                    </w:rPr>
                  </w:pPr>
                  <w:r>
                    <w:rPr>
                      <w:rFonts w:hint="eastAsia" w:ascii="仿宋_GB2312" w:hAnsi="宋体" w:eastAsia="仿宋_GB2312" w:cs="宋体"/>
                      <w:kern w:val="0"/>
                      <w:sz w:val="20"/>
                      <w:szCs w:val="20"/>
                    </w:rPr>
                    <w:t>2</w:t>
                  </w:r>
                </w:p>
              </w:tc>
              <w:tc>
                <w:tcPr>
                  <w:tcW w:w="10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污染源自动监控设施现场监督检查</w:t>
                  </w:r>
                </w:p>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 </w:t>
                  </w:r>
                </w:p>
              </w:tc>
              <w:tc>
                <w:tcPr>
                  <w:tcW w:w="12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shd w:val="clear" w:color="auto" w:fill="FFFFFF"/>
                    <w:outlineLvl w:val="3"/>
                    <w:rPr>
                      <w:rFonts w:ascii="宋体" w:hAnsi="宋体" w:eastAsia="宋体" w:cs="宋体"/>
                      <w:b/>
                      <w:bCs/>
                      <w:kern w:val="0"/>
                      <w:sz w:val="33"/>
                      <w:szCs w:val="33"/>
                    </w:rPr>
                  </w:pPr>
                  <w:r>
                    <w:rPr>
                      <w:rFonts w:hint="eastAsia" w:ascii="仿宋_GB2312" w:hAnsi="宋体" w:eastAsia="仿宋_GB2312" w:cs="宋体"/>
                      <w:kern w:val="0"/>
                      <w:sz w:val="20"/>
                      <w:szCs w:val="20"/>
                    </w:rPr>
                    <w:t>排污单位、污染源自动监控设施运营单位及监控设施生产者、销售者。</w:t>
                  </w:r>
                </w:p>
              </w:tc>
              <w:tc>
                <w:tcPr>
                  <w:tcW w:w="274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（一）排放口规范化情况。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（二）污染源自动监控设施现场端建设规范化情况。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（三）污染源自动监控设施变更情况。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（四）污染源自动监控设施运行状况。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（五）污染源自动监控设施运行、维护、检修、校准校验记录。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（六）相关资质、证书、标志的有效性。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（七）企业生产工况、污染治理设施运行与自动监控数据的相关性。</w:t>
                  </w:r>
                </w:p>
              </w:tc>
              <w:tc>
                <w:tcPr>
                  <w:tcW w:w="8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不定期检查。</w:t>
                  </w:r>
                </w:p>
              </w:tc>
              <w:tc>
                <w:tcPr>
                  <w:tcW w:w="52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（一）检查前准备工作，包括污染源自动监控设施登记备案情况、污染物排放及污染防治的有关情况，现场检查装备配备等。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（二）进行现场监督检查。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（三）认定运行正常的，结束现场监督检查。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（四）对涉嫌不正常运行、使用或者有弄虚作假等违法行为的，进行重点检查。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（五）经重点检查，认定有违法行为的，依法予以处罚。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污染源自动监控设施现场监督检查结果，及时反馈被检查单位。</w:t>
                  </w:r>
                </w:p>
              </w:tc>
              <w:tc>
                <w:tcPr>
                  <w:tcW w:w="24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对发现的问题，按照《环境保护法》、《水污染防治法》和《大气污染防治法》等法律法规作出处理。</w:t>
                  </w:r>
                </w:p>
              </w:tc>
            </w:tr>
            <w:tr>
              <w:tblPrEx>
                <w:tblCellMar>
                  <w:top w:w="0" w:type="dxa"/>
                  <w:left w:w="0" w:type="dxa"/>
                  <w:bottom w:w="0" w:type="dxa"/>
                  <w:right w:w="0" w:type="dxa"/>
                </w:tblCellMar>
              </w:tblPrEx>
              <w:trPr>
                <w:trHeight w:val="1706" w:hRule="atLeast"/>
                <w:jc w:val="center"/>
              </w:trPr>
              <w:tc>
                <w:tcPr>
                  <w:tcW w:w="320" w:type="dxa"/>
                  <w:tcBorders>
                    <w:top w:val="nil"/>
                    <w:left w:val="single" w:color="auto" w:sz="8" w:space="0"/>
                    <w:bottom w:val="single" w:color="auto" w:sz="8" w:space="0"/>
                    <w:right w:val="single" w:color="auto" w:sz="8" w:space="0"/>
                  </w:tcBorders>
                  <w:shd w:val="clear" w:color="auto" w:fill="auto"/>
                  <w:vAlign w:val="center"/>
                </w:tcPr>
                <w:p>
                  <w:pPr>
                    <w:widowControl/>
                    <w:wordWrap w:val="0"/>
                    <w:spacing w:line="300" w:lineRule="atLeast"/>
                    <w:jc w:val="center"/>
                    <w:rPr>
                      <w:rFonts w:ascii="宋体" w:hAnsi="宋体" w:eastAsia="宋体" w:cs="宋体"/>
                      <w:kern w:val="0"/>
                      <w:sz w:val="24"/>
                      <w:szCs w:val="24"/>
                    </w:rPr>
                  </w:pPr>
                  <w:r>
                    <w:rPr>
                      <w:rFonts w:hint="eastAsia" w:ascii="仿宋_GB2312" w:hAnsi="宋体" w:eastAsia="仿宋_GB2312" w:cs="宋体"/>
                      <w:kern w:val="0"/>
                      <w:sz w:val="20"/>
                      <w:szCs w:val="20"/>
                    </w:rPr>
                    <w:t>3</w:t>
                  </w:r>
                </w:p>
              </w:tc>
              <w:tc>
                <w:tcPr>
                  <w:tcW w:w="10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环境影响评价文件审批制度及“三同时”验收制度的监督检查</w:t>
                  </w:r>
                </w:p>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 </w:t>
                  </w:r>
                </w:p>
              </w:tc>
              <w:tc>
                <w:tcPr>
                  <w:tcW w:w="12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新建、改建、扩建或已建成对环境有影响的建设项目的单位。</w:t>
                  </w:r>
                </w:p>
              </w:tc>
              <w:tc>
                <w:tcPr>
                  <w:tcW w:w="274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（一）建设单位是否办理环境影响评价手续。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（二）建设项目性质、规模、地点、生产工艺自环境影响评价文件批准之日起是否发生重大变化。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（三）建设项目自环境影响评价文件批准之日起是否已经超过5年方开工建设。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（四）建设项目是否执行“三同时”制度。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（五）建设项目正式投产，需配套的环保设施是否通过验收合格。</w:t>
                  </w:r>
                </w:p>
              </w:tc>
              <w:tc>
                <w:tcPr>
                  <w:tcW w:w="8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每季度随机抽查。</w:t>
                  </w:r>
                </w:p>
              </w:tc>
              <w:tc>
                <w:tcPr>
                  <w:tcW w:w="52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（一）做好检查前的准备工作（收集相关材料和信息，制定检查方案，备好检查工具和监测采样工具）。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（二）实施现场检查。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（三）视情处理各类情况，对监督检查的情况和处理意见出具检查记录表，并由被检查单位负责人签字确认后归档。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（四）对需要实施行政处罚的，制作调查案卷移交局法宣科审查。</w:t>
                  </w:r>
                </w:p>
              </w:tc>
              <w:tc>
                <w:tcPr>
                  <w:tcW w:w="24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通过现场核查，发现建设单位未落实环评审批制度及“三同时”制度的，按照《环境保护法》、《环境影响评价法》和《建设项目环境保护管理条例》等法律法规依法予以处理。</w:t>
                  </w:r>
                </w:p>
              </w:tc>
            </w:tr>
            <w:tr>
              <w:tblPrEx>
                <w:tblCellMar>
                  <w:top w:w="0" w:type="dxa"/>
                  <w:left w:w="0" w:type="dxa"/>
                  <w:bottom w:w="0" w:type="dxa"/>
                  <w:right w:w="0" w:type="dxa"/>
                </w:tblCellMar>
              </w:tblPrEx>
              <w:trPr>
                <w:trHeight w:val="807" w:hRule="atLeast"/>
                <w:jc w:val="center"/>
              </w:trPr>
              <w:tc>
                <w:tcPr>
                  <w:tcW w:w="320" w:type="dxa"/>
                  <w:tcBorders>
                    <w:top w:val="nil"/>
                    <w:left w:val="single" w:color="auto" w:sz="8" w:space="0"/>
                    <w:bottom w:val="single" w:color="auto" w:sz="8" w:space="0"/>
                    <w:right w:val="single" w:color="auto" w:sz="8" w:space="0"/>
                  </w:tcBorders>
                  <w:shd w:val="clear" w:color="auto" w:fill="auto"/>
                  <w:vAlign w:val="center"/>
                </w:tcPr>
                <w:p>
                  <w:pPr>
                    <w:widowControl/>
                    <w:wordWrap w:val="0"/>
                    <w:spacing w:line="300" w:lineRule="atLeast"/>
                    <w:jc w:val="center"/>
                    <w:rPr>
                      <w:rFonts w:ascii="宋体" w:hAnsi="宋体" w:eastAsia="宋体" w:cs="宋体"/>
                      <w:kern w:val="0"/>
                      <w:sz w:val="24"/>
                      <w:szCs w:val="24"/>
                    </w:rPr>
                  </w:pPr>
                  <w:r>
                    <w:rPr>
                      <w:rFonts w:hint="eastAsia" w:ascii="仿宋_GB2312" w:hAnsi="宋体" w:eastAsia="仿宋_GB2312" w:cs="宋体"/>
                      <w:kern w:val="0"/>
                      <w:sz w:val="20"/>
                      <w:szCs w:val="20"/>
                    </w:rPr>
                    <w:t>4</w:t>
                  </w:r>
                </w:p>
              </w:tc>
              <w:tc>
                <w:tcPr>
                  <w:tcW w:w="10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辐射项目的事中事后监管</w:t>
                  </w:r>
                </w:p>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 </w:t>
                  </w:r>
                </w:p>
              </w:tc>
              <w:tc>
                <w:tcPr>
                  <w:tcW w:w="12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辐射项目、单位辐射工作人员的相关活动。</w:t>
                  </w:r>
                </w:p>
              </w:tc>
              <w:tc>
                <w:tcPr>
                  <w:tcW w:w="274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辐射项目单位以及辐射工作人员相关活动是否符合《放射性污染防治法》、《放射性同位素与射线装置安全和防护条例》、《山东省辐射污染防治条例》及相关法律法规、规范性文件的有关规定。</w:t>
                  </w:r>
                </w:p>
              </w:tc>
              <w:tc>
                <w:tcPr>
                  <w:tcW w:w="8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不定期检查。</w:t>
                  </w:r>
                </w:p>
              </w:tc>
              <w:tc>
                <w:tcPr>
                  <w:tcW w:w="52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（一）做好检查前的准备工作（收集相关材料和信息，制定检查方案，备好检查工具和监测采样工具）。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（二）实施现场检查。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（三）视情处理各类情况，对监督检查的情况和处理意见出具检查记录表，并由被检查单位负责人签字确认后归档。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（四）对需要实施行政处罚的，制作调查案卷移交局法宣科审查。</w:t>
                  </w:r>
                </w:p>
              </w:tc>
              <w:tc>
                <w:tcPr>
                  <w:tcW w:w="24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对发现的问题，按照《环境保护法》、《环境影响评价法》、《放射性污染防治法》、《建设项目环境保护管理条例》和《放射性同位素与射线装置安全和防护条例》等法律法规有关规定进行处理。</w:t>
                  </w:r>
                </w:p>
              </w:tc>
            </w:tr>
            <w:tr>
              <w:tblPrEx>
                <w:tblCellMar>
                  <w:top w:w="0" w:type="dxa"/>
                  <w:left w:w="0" w:type="dxa"/>
                  <w:bottom w:w="0" w:type="dxa"/>
                  <w:right w:w="0" w:type="dxa"/>
                </w:tblCellMar>
              </w:tblPrEx>
              <w:trPr>
                <w:trHeight w:val="807" w:hRule="atLeast"/>
                <w:jc w:val="center"/>
              </w:trPr>
              <w:tc>
                <w:tcPr>
                  <w:tcW w:w="320" w:type="dxa"/>
                  <w:tcBorders>
                    <w:top w:val="nil"/>
                    <w:left w:val="single" w:color="auto" w:sz="8" w:space="0"/>
                    <w:bottom w:val="single" w:color="auto" w:sz="8" w:space="0"/>
                    <w:right w:val="single" w:color="auto" w:sz="8" w:space="0"/>
                  </w:tcBorders>
                  <w:shd w:val="clear" w:color="auto" w:fill="auto"/>
                  <w:vAlign w:val="center"/>
                </w:tcPr>
                <w:p>
                  <w:pPr>
                    <w:widowControl/>
                    <w:wordWrap w:val="0"/>
                    <w:spacing w:line="300" w:lineRule="atLeast"/>
                    <w:jc w:val="center"/>
                    <w:rPr>
                      <w:rFonts w:ascii="宋体" w:hAnsi="宋体" w:eastAsia="宋体" w:cs="宋体"/>
                      <w:kern w:val="0"/>
                      <w:sz w:val="24"/>
                      <w:szCs w:val="24"/>
                    </w:rPr>
                  </w:pPr>
                  <w:r>
                    <w:rPr>
                      <w:rFonts w:hint="eastAsia" w:ascii="仿宋_GB2312" w:hAnsi="宋体" w:eastAsia="仿宋_GB2312" w:cs="宋体"/>
                      <w:kern w:val="0"/>
                      <w:sz w:val="20"/>
                      <w:szCs w:val="20"/>
                    </w:rPr>
                    <w:t>5</w:t>
                  </w:r>
                </w:p>
              </w:tc>
              <w:tc>
                <w:tcPr>
                  <w:tcW w:w="10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对机动车环保检验机构的监督检查</w:t>
                  </w:r>
                </w:p>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 </w:t>
                  </w:r>
                </w:p>
              </w:tc>
              <w:tc>
                <w:tcPr>
                  <w:tcW w:w="122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受市环保局委托开展机动车环保定期检验的环检机构。</w:t>
                  </w:r>
                </w:p>
              </w:tc>
              <w:tc>
                <w:tcPr>
                  <w:tcW w:w="274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（一）机动车环保检验所使用的相关计量器具应当符合计量法律、法规和计量技术规范要求。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（二）按照国家和省规定的排气污染检验方法、技术规范和排放标准进行检验，并出具真实、准确的检验报告。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（三）执行价格行政主管部门核定的收费标准。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（四）不得从事机动车排气污染维修治理业务。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（五）依法应当遵守的其他规定事项。</w:t>
                  </w:r>
                </w:p>
              </w:tc>
              <w:tc>
                <w:tcPr>
                  <w:tcW w:w="81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不定期检查。</w:t>
                  </w:r>
                </w:p>
              </w:tc>
              <w:tc>
                <w:tcPr>
                  <w:tcW w:w="52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（一）做好检查前的准备工作（收集相关材料和信息，制定检查方案，备好检查工具和监测工具）。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（二）实施现场检查等。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（三）根据检查情况，视情进行处理。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（四）对需要实施行政处罚的，制作违法行为调查案卷移交局法规宣教科审查；不需要移交的，相关材料总结归档。</w:t>
                  </w:r>
                </w:p>
              </w:tc>
              <w:tc>
                <w:tcPr>
                  <w:tcW w:w="24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widowControl/>
                    <w:wordWrap w:val="0"/>
                    <w:spacing w:line="300" w:lineRule="atLeast"/>
                    <w:jc w:val="left"/>
                    <w:rPr>
                      <w:rFonts w:ascii="宋体" w:hAnsi="宋体" w:eastAsia="宋体" w:cs="宋体"/>
                      <w:kern w:val="0"/>
                      <w:sz w:val="24"/>
                      <w:szCs w:val="24"/>
                    </w:rPr>
                  </w:pPr>
                  <w:r>
                    <w:rPr>
                      <w:rFonts w:hint="eastAsia" w:ascii="仿宋_GB2312" w:hAnsi="宋体" w:eastAsia="仿宋_GB2312" w:cs="宋体"/>
                      <w:kern w:val="0"/>
                      <w:sz w:val="20"/>
                      <w:szCs w:val="20"/>
                    </w:rPr>
                    <w:t>通过现场检查、环检设备比对测试等措施，发现机动车环保检验机构不按照规定进行检验、出具虚假检验报告或者从事机动车排气污染维修治理业务等违法行为的以及对信访、举报现场调查取证属实的，依照《山东省机动车排气污染防治条例》等相关法律法规进行处理。</w:t>
                  </w:r>
                </w:p>
              </w:tc>
            </w:tr>
          </w:tbl>
          <w:p>
            <w:pPr>
              <w:widowControl/>
              <w:spacing w:line="514" w:lineRule="atLeast"/>
              <w:jc w:val="left"/>
              <w:rPr>
                <w:rFonts w:ascii="宋体" w:hAnsi="宋体" w:eastAsia="宋体" w:cs="宋体"/>
                <w:kern w:val="0"/>
                <w:sz w:val="24"/>
                <w:szCs w:val="24"/>
              </w:rPr>
            </w:pPr>
            <w:r>
              <w:rPr>
                <w:rFonts w:ascii="Calibri" w:hAnsi="Calibri" w:eastAsia="宋体" w:cs="Calibri"/>
                <w:kern w:val="0"/>
                <w:sz w:val="24"/>
                <w:szCs w:val="24"/>
              </w:rPr>
              <w:t> </w:t>
            </w:r>
          </w:p>
        </w:tc>
      </w:tr>
      <w:tr>
        <w:tblPrEx>
          <w:shd w:val="clear" w:color="auto" w:fill="FFFFFF"/>
          <w:tblCellMar>
            <w:top w:w="0" w:type="dxa"/>
            <w:left w:w="0" w:type="dxa"/>
            <w:bottom w:w="0" w:type="dxa"/>
            <w:right w:w="0" w:type="dxa"/>
          </w:tblCellMar>
        </w:tblPrEx>
        <w:trPr>
          <w:trHeight w:val="600" w:hRule="atLeast"/>
        </w:trPr>
        <w:tc>
          <w:tcPr>
            <w:tcW w:w="0" w:type="auto"/>
            <w:tcBorders>
              <w:top w:val="nil"/>
              <w:left w:val="nil"/>
              <w:bottom w:val="nil"/>
              <w:right w:val="nil"/>
            </w:tcBorders>
            <w:shd w:val="clear" w:color="auto" w:fill="FFFFFF"/>
            <w:tcMar>
              <w:top w:w="0" w:type="dxa"/>
              <w:left w:w="0" w:type="dxa"/>
              <w:bottom w:w="206" w:type="dxa"/>
              <w:right w:w="0" w:type="dxa"/>
            </w:tcMar>
            <w:vAlign w:val="center"/>
          </w:tcPr>
          <w:p>
            <w:pPr>
              <w:widowControl/>
              <w:jc w:val="center"/>
              <w:rPr>
                <w:rFonts w:ascii="微软雅黑" w:hAnsi="微软雅黑" w:eastAsia="微软雅黑" w:cs="宋体"/>
                <w:b/>
                <w:bCs/>
                <w:color w:val="C02020"/>
                <w:kern w:val="0"/>
                <w:sz w:val="32"/>
                <w:szCs w:val="32"/>
              </w:rPr>
            </w:pPr>
            <w:r>
              <w:rPr>
                <w:rFonts w:hint="eastAsia" w:ascii="微软雅黑" w:hAnsi="微软雅黑" w:eastAsia="微软雅黑" w:cs="宋体"/>
                <w:b/>
                <w:bCs/>
                <w:color w:val="C02020"/>
                <w:kern w:val="0"/>
                <w:sz w:val="32"/>
                <w:szCs w:val="32"/>
                <w:lang w:val="en-US" w:eastAsia="zh-CN"/>
              </w:rPr>
              <w:t>威海市生态环境局荣成分局</w:t>
            </w:r>
            <w:bookmarkStart w:id="0" w:name="_GoBack"/>
            <w:bookmarkEnd w:id="0"/>
            <w:r>
              <w:rPr>
                <w:rFonts w:hint="eastAsia" w:ascii="微软雅黑" w:hAnsi="微软雅黑" w:eastAsia="微软雅黑" w:cs="宋体"/>
                <w:b/>
                <w:bCs/>
                <w:color w:val="C02020"/>
                <w:kern w:val="0"/>
                <w:sz w:val="32"/>
                <w:szCs w:val="32"/>
              </w:rPr>
              <w:t>“双随机、一公开”工作方案</w:t>
            </w:r>
          </w:p>
        </w:tc>
      </w:tr>
    </w:tbl>
    <w:p>
      <w:pPr>
        <w:widowControl/>
        <w:jc w:val="left"/>
        <w:rPr>
          <w:rFonts w:ascii="宋体" w:hAnsi="宋体" w:eastAsia="宋体" w:cs="宋体"/>
          <w:vanish/>
          <w:kern w:val="0"/>
          <w:sz w:val="24"/>
          <w:szCs w:val="24"/>
        </w:rPr>
      </w:pPr>
    </w:p>
    <w:tbl>
      <w:tblPr>
        <w:tblStyle w:val="4"/>
        <w:tblW w:w="5000" w:type="pct"/>
        <w:tblInd w:w="0" w:type="dxa"/>
        <w:tblBorders>
          <w:top w:val="single" w:color="C4C4C4" w:sz="8" w:space="0"/>
          <w:left w:val="none" w:color="auto" w:sz="0" w:space="0"/>
          <w:bottom w:val="none" w:color="auto" w:sz="0" w:space="0"/>
          <w:right w:val="none" w:color="auto" w:sz="0" w:space="0"/>
          <w:insideH w:val="none" w:color="auto" w:sz="0" w:space="0"/>
          <w:insideV w:val="none" w:color="auto" w:sz="0" w:space="0"/>
        </w:tblBorders>
        <w:shd w:val="clear" w:color="auto" w:fill="F3F3F3"/>
        <w:tblLayout w:type="autofit"/>
        <w:tblCellMar>
          <w:top w:w="0" w:type="dxa"/>
          <w:left w:w="0" w:type="dxa"/>
          <w:bottom w:w="0" w:type="dxa"/>
          <w:right w:w="0" w:type="dxa"/>
        </w:tblCellMar>
      </w:tblPr>
      <w:tblGrid>
        <w:gridCol w:w="8306"/>
      </w:tblGrid>
      <w:tr>
        <w:tblPrEx>
          <w:tblBorders>
            <w:top w:val="single" w:color="C4C4C4" w:sz="8" w:space="0"/>
            <w:left w:val="none" w:color="auto" w:sz="0" w:space="0"/>
            <w:bottom w:val="none" w:color="auto" w:sz="0" w:space="0"/>
            <w:right w:val="none" w:color="auto" w:sz="0" w:space="0"/>
            <w:insideH w:val="none" w:color="auto" w:sz="0" w:space="0"/>
            <w:insideV w:val="none" w:color="auto" w:sz="0" w:space="0"/>
          </w:tblBorders>
          <w:shd w:val="clear" w:color="auto" w:fill="F3F3F3"/>
          <w:tblCellMar>
            <w:top w:w="0" w:type="dxa"/>
            <w:left w:w="0" w:type="dxa"/>
            <w:bottom w:w="0" w:type="dxa"/>
            <w:right w:w="0" w:type="dxa"/>
          </w:tblCellMar>
        </w:tblPrEx>
        <w:trPr>
          <w:trHeight w:val="60" w:hRule="atLeast"/>
        </w:trPr>
        <w:tc>
          <w:tcPr>
            <w:tcW w:w="0" w:type="auto"/>
            <w:tcBorders>
              <w:top w:val="nil"/>
              <w:left w:val="nil"/>
              <w:bottom w:val="nil"/>
              <w:right w:val="nil"/>
            </w:tcBorders>
            <w:shd w:val="clear" w:color="auto" w:fill="F3F3F3"/>
            <w:vAlign w:val="center"/>
          </w:tcPr>
          <w:p>
            <w:pPr>
              <w:widowControl/>
              <w:jc w:val="left"/>
              <w:rPr>
                <w:rFonts w:ascii="微软雅黑" w:hAnsi="微软雅黑" w:eastAsia="微软雅黑" w:cs="宋体"/>
                <w:kern w:val="0"/>
                <w:sz w:val="6"/>
                <w:szCs w:val="24"/>
              </w:rPr>
            </w:pPr>
          </w:p>
        </w:tc>
      </w:tr>
    </w:tbl>
    <w:p>
      <w:pPr>
        <w:widowControl/>
        <w:jc w:val="left"/>
        <w:rPr>
          <w:rFonts w:ascii="宋体" w:hAnsi="宋体" w:eastAsia="宋体" w:cs="宋体"/>
          <w:vanish/>
          <w:kern w:val="0"/>
          <w:sz w:val="24"/>
          <w:szCs w:val="24"/>
        </w:rPr>
      </w:pPr>
    </w:p>
    <w:tbl>
      <w:tblPr>
        <w:tblStyle w:val="4"/>
        <w:tblW w:w="5000" w:type="pct"/>
        <w:tblInd w:w="0" w:type="dxa"/>
        <w:shd w:val="clear" w:color="auto" w:fill="FFFFFF"/>
        <w:tblLayout w:type="autofit"/>
        <w:tblCellMar>
          <w:top w:w="0" w:type="dxa"/>
          <w:left w:w="0" w:type="dxa"/>
          <w:bottom w:w="0" w:type="dxa"/>
          <w:right w:w="0" w:type="dxa"/>
        </w:tblCellMar>
      </w:tblPr>
      <w:tblGrid>
        <w:gridCol w:w="9952"/>
      </w:tblGrid>
      <w:tr>
        <w:tblPrEx>
          <w:shd w:val="clear" w:color="auto" w:fill="FFFFFF"/>
          <w:tblCellMar>
            <w:top w:w="0" w:type="dxa"/>
            <w:left w:w="0" w:type="dxa"/>
            <w:bottom w:w="0" w:type="dxa"/>
            <w:right w:w="0" w:type="dxa"/>
          </w:tblCellMar>
        </w:tblPrEx>
        <w:trPr>
          <w:trHeight w:val="2115" w:hRule="atLeast"/>
        </w:trPr>
        <w:tc>
          <w:tcPr>
            <w:tcW w:w="0" w:type="auto"/>
            <w:tcBorders>
              <w:top w:val="nil"/>
              <w:left w:val="nil"/>
              <w:bottom w:val="nil"/>
              <w:right w:val="nil"/>
            </w:tcBorders>
            <w:shd w:val="clear" w:color="auto" w:fill="FFFFFF"/>
            <w:tcMar>
              <w:top w:w="206" w:type="dxa"/>
              <w:left w:w="823" w:type="dxa"/>
              <w:bottom w:w="411" w:type="dxa"/>
              <w:right w:w="823" w:type="dxa"/>
            </w:tcMar>
          </w:tcPr>
          <w:p>
            <w:pPr>
              <w:widowControl/>
              <w:spacing w:line="514" w:lineRule="atLeast"/>
              <w:jc w:val="left"/>
              <w:rPr>
                <w:rFonts w:hint="eastAsia" w:ascii="微软雅黑" w:hAnsi="微软雅黑" w:eastAsia="微软雅黑" w:cs="宋体"/>
                <w:kern w:val="0"/>
                <w:sz w:val="29"/>
                <w:szCs w:val="29"/>
              </w:rPr>
            </w:pPr>
            <w:r>
              <w:rPr>
                <w:rFonts w:hint="eastAsia" w:ascii="微软雅黑" w:hAnsi="微软雅黑" w:eastAsia="微软雅黑" w:cs="宋体"/>
                <w:kern w:val="0"/>
                <w:sz w:val="29"/>
                <w:szCs w:val="29"/>
              </w:rPr>
              <w:t>　　</w:t>
            </w:r>
          </w:p>
          <w:p>
            <w:pPr>
              <w:widowControl/>
              <w:shd w:val="clear" w:color="auto" w:fill="FFFFFF"/>
              <w:spacing w:line="560" w:lineRule="atLeast"/>
              <w:ind w:firstLine="640"/>
              <w:jc w:val="left"/>
              <w:rPr>
                <w:rFonts w:hint="eastAsia"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为贯彻落实《荣成市人民政府办公室关于印发荣成市全面推行“双随机、一公开”监管改革实施方案的通知》（荣政办发〔2016〕71</w:t>
            </w:r>
            <w:r>
              <w:rPr>
                <w:rFonts w:hint="eastAsia" w:ascii="仿宋_GB2312" w:hAnsi="宋体" w:eastAsia="仿宋_GB2312" w:cs="宋体"/>
                <w:color w:val="000000"/>
                <w:kern w:val="0"/>
                <w:sz w:val="32"/>
              </w:rPr>
              <w:t> </w:t>
            </w:r>
            <w:r>
              <w:rPr>
                <w:rFonts w:hint="eastAsia" w:ascii="仿宋_GB2312" w:hAnsi="宋体" w:eastAsia="仿宋_GB2312" w:cs="宋体"/>
                <w:color w:val="000000"/>
                <w:kern w:val="0"/>
                <w:sz w:val="32"/>
                <w:szCs w:val="32"/>
                <w:shd w:val="clear" w:color="auto" w:fill="FFFFFF"/>
              </w:rPr>
              <w:t>号）要求，推进环保局“双随机、一公开”工作，增强执法效能，制定本实施方案。</w:t>
            </w:r>
          </w:p>
          <w:p>
            <w:pPr>
              <w:widowControl/>
              <w:shd w:val="clear" w:color="auto" w:fill="FFFFFF"/>
              <w:spacing w:line="560" w:lineRule="atLeast"/>
              <w:ind w:left="640"/>
              <w:jc w:val="left"/>
              <w:rPr>
                <w:rFonts w:ascii="宋体" w:hAnsi="宋体" w:eastAsia="宋体" w:cs="宋体"/>
                <w:kern w:val="0"/>
                <w:sz w:val="24"/>
                <w:szCs w:val="24"/>
              </w:rPr>
            </w:pPr>
            <w:r>
              <w:rPr>
                <w:rFonts w:hint="eastAsia" w:ascii="黑体" w:hAnsi="黑体" w:eastAsia="黑体" w:cs="宋体"/>
                <w:color w:val="000000"/>
                <w:kern w:val="0"/>
                <w:sz w:val="32"/>
                <w:szCs w:val="32"/>
                <w:shd w:val="clear" w:color="auto" w:fill="FFFFFF"/>
              </w:rPr>
              <w:t>一、指导思想</w:t>
            </w:r>
          </w:p>
          <w:p>
            <w:pPr>
              <w:widowControl/>
              <w:shd w:val="clear" w:color="auto" w:fill="FFFFFF"/>
              <w:spacing w:line="56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全面贯彻党的十八大和十八届三中、四中全会精神，按照《国务院办公厅关于推广随机抽查规范事中事后监管的通知》（国办发〔2015〕58号）、《国务院关于“先照后证”改革后加强事中事后监管的意见》（国发〔2015〕62号）、《威海市人民政府办公室关于印发威海市全面推行“双随机、一公开”监管改革实施方案的通知》（威政办发〔2016〕8号）、《荣成市人民政府办公室关于印发荣成市全面推行“双随机、一公开”监管改革实施方案的通知》（荣政办发〔2016〕71</w:t>
            </w:r>
            <w:r>
              <w:rPr>
                <w:rFonts w:hint="eastAsia" w:ascii="仿宋_GB2312" w:hAnsi="宋体" w:eastAsia="仿宋_GB2312" w:cs="宋体"/>
                <w:color w:val="000000"/>
                <w:kern w:val="0"/>
                <w:sz w:val="32"/>
              </w:rPr>
              <w:t> </w:t>
            </w:r>
            <w:r>
              <w:rPr>
                <w:rFonts w:hint="eastAsia" w:ascii="仿宋_GB2312" w:hAnsi="宋体" w:eastAsia="仿宋_GB2312" w:cs="宋体"/>
                <w:color w:val="000000"/>
                <w:kern w:val="0"/>
                <w:sz w:val="32"/>
                <w:szCs w:val="32"/>
                <w:shd w:val="clear" w:color="auto" w:fill="FFFFFF"/>
              </w:rPr>
              <w:t>号）、《关</w:t>
            </w:r>
            <w:r>
              <w:rPr>
                <w:rFonts w:hint="eastAsia" w:ascii="仿宋_GB2312" w:hAnsi="宋体" w:eastAsia="仿宋_GB2312" w:cs="宋体"/>
                <w:kern w:val="0"/>
                <w:sz w:val="32"/>
                <w:szCs w:val="32"/>
              </w:rPr>
              <w:t>于印发〈山东省污染源日常环境监管随机抽查制度落实方案〉的通知》（鲁环办〔2015〕47号）</w:t>
            </w:r>
            <w:r>
              <w:rPr>
                <w:rFonts w:hint="eastAsia" w:ascii="仿宋_GB2312" w:hAnsi="宋体" w:eastAsia="仿宋_GB2312" w:cs="宋体"/>
                <w:color w:val="000000"/>
                <w:kern w:val="0"/>
                <w:sz w:val="32"/>
                <w:szCs w:val="32"/>
                <w:shd w:val="clear" w:color="auto" w:fill="FFFFFF"/>
              </w:rPr>
              <w:t>文件精神要求，进一步创新管理方式，规范执法行为，提升监管效能，严格履行法定监管职责，全面推行“双随机、一公开”制度，依法查处违法违规行为，主动接受社会监督。</w:t>
            </w:r>
          </w:p>
          <w:p>
            <w:pPr>
              <w:widowControl/>
              <w:shd w:val="clear" w:color="auto" w:fill="FFFFFF"/>
              <w:spacing w:line="560" w:lineRule="atLeast"/>
              <w:jc w:val="left"/>
              <w:rPr>
                <w:rFonts w:ascii="宋体" w:hAnsi="宋体" w:eastAsia="宋体" w:cs="宋体"/>
                <w:kern w:val="0"/>
                <w:sz w:val="24"/>
                <w:szCs w:val="24"/>
              </w:rPr>
            </w:pPr>
            <w:r>
              <w:rPr>
                <w:rFonts w:hint="eastAsia" w:ascii="宋体" w:hAnsi="宋体" w:eastAsia="宋体" w:cs="宋体"/>
                <w:color w:val="000000"/>
                <w:kern w:val="0"/>
                <w:sz w:val="32"/>
                <w:szCs w:val="32"/>
                <w:shd w:val="clear" w:color="auto" w:fill="FFFFFF"/>
              </w:rPr>
              <w:t>   </w:t>
            </w:r>
            <w:r>
              <w:rPr>
                <w:rFonts w:hint="eastAsia" w:ascii="宋体" w:hAnsi="宋体" w:eastAsia="宋体" w:cs="宋体"/>
                <w:color w:val="000000"/>
                <w:kern w:val="0"/>
                <w:sz w:val="32"/>
              </w:rPr>
              <w:t> </w:t>
            </w:r>
            <w:r>
              <w:rPr>
                <w:rFonts w:hint="eastAsia" w:ascii="黑体" w:hAnsi="黑体" w:eastAsia="黑体" w:cs="宋体"/>
                <w:color w:val="000000"/>
                <w:kern w:val="0"/>
                <w:sz w:val="32"/>
                <w:szCs w:val="32"/>
                <w:shd w:val="clear" w:color="auto" w:fill="FFFFFF"/>
              </w:rPr>
              <w:t>二、方法步骤</w:t>
            </w:r>
          </w:p>
          <w:p>
            <w:pPr>
              <w:widowControl/>
              <w:shd w:val="clear" w:color="auto" w:fill="FFFFFF"/>
              <w:spacing w:line="560" w:lineRule="atLeast"/>
              <w:jc w:val="left"/>
              <w:rPr>
                <w:rFonts w:ascii="宋体" w:hAnsi="宋体" w:eastAsia="宋体" w:cs="宋体"/>
                <w:kern w:val="0"/>
                <w:sz w:val="24"/>
                <w:szCs w:val="24"/>
              </w:rPr>
            </w:pPr>
            <w:r>
              <w:rPr>
                <w:rFonts w:hint="eastAsia" w:ascii="楷体" w:hAnsi="楷体" w:eastAsia="楷体" w:cs="宋体"/>
                <w:color w:val="000000"/>
                <w:kern w:val="0"/>
                <w:sz w:val="32"/>
                <w:szCs w:val="32"/>
                <w:shd w:val="clear" w:color="auto" w:fill="FFFFFF"/>
              </w:rPr>
              <w:t>（一）建立健全“一单两库”</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⒈建立“双随机”抽查事项清单。依据法律法规规章确定荣成市环保系统随机抽查事项清单，明确抽查内容、抽查依据、抽查方式等。随机抽查事项清单根据法律法规规章制修订情况和工作实际进行动态调整，及时向社会公布。凡是法律法规规章没有规定的，一律不得擅自开展检查。</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w:t>
            </w:r>
            <w:r>
              <w:rPr>
                <w:rFonts w:hint="eastAsia" w:ascii="仿宋_GB2312" w:hAnsi="宋体" w:eastAsia="仿宋_GB2312" w:cs="宋体"/>
                <w:color w:val="000000"/>
                <w:kern w:val="0"/>
                <w:sz w:val="32"/>
              </w:rPr>
              <w:t> </w:t>
            </w:r>
            <w:r>
              <w:rPr>
                <w:rFonts w:hint="eastAsia" w:ascii="仿宋_GB2312" w:hAnsi="宋体" w:eastAsia="仿宋_GB2312" w:cs="宋体"/>
                <w:color w:val="000000"/>
                <w:kern w:val="0"/>
                <w:sz w:val="32"/>
                <w:szCs w:val="32"/>
                <w:shd w:val="clear" w:color="auto" w:fill="FFFFFF"/>
              </w:rPr>
              <w:t>市环保局有监督检查职责的科室、下属事业单位负责制定职责范围内随机抽查事项清单，报分管局领导审定后发布。</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w:t>
            </w:r>
            <w:r>
              <w:rPr>
                <w:rFonts w:hint="eastAsia" w:ascii="仿宋_GB2312" w:hAnsi="宋体" w:eastAsia="仿宋_GB2312" w:cs="宋体"/>
                <w:color w:val="000000"/>
                <w:kern w:val="0"/>
                <w:sz w:val="32"/>
              </w:rPr>
              <w:t> </w:t>
            </w:r>
            <w:r>
              <w:rPr>
                <w:rFonts w:hint="eastAsia" w:ascii="仿宋_GB2312" w:hAnsi="宋体" w:eastAsia="仿宋_GB2312" w:cs="宋体"/>
                <w:color w:val="000000"/>
                <w:kern w:val="0"/>
                <w:sz w:val="32"/>
                <w:szCs w:val="32"/>
                <w:shd w:val="clear" w:color="auto" w:fill="FFFFFF"/>
              </w:rPr>
              <w:t>责任主体：市局有监督检查职责的科室、下属事业单位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⒉建立日常监管动态信息库。市环保局有监督检查职责的科室、下属事业单位负责建立本科室、单位的日常监管动态信息库。动态信息库建库及日常更新要做到专人负责，信息库中的信息要做到应填必填。</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责任主体：市局有监督检查职责的科室、下属事业单位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⒊建立检查人员名录库。市局有监督检查职责的科室、下属事业单位建立本科室、单位执法检查人员名录库，实施动态管理。执法人员名录库所纳入人员应具备行政执法资格，涵盖部门所有执法检查人员，如有必要可根据相关规定抽调相关业务科室、部门人员纳入。</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责任主体：市局有监督检查职责的科室、下属事业单位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⒋实行动态管理。对“双随机”抽查事项清单、污染源日常监管动态信息库、检查人员名录库实行动态管理，及时录入、更新相关信息，确保监管对象齐全、监管人员合格、监管事项合法。</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责任主体：市局有监督检查职责的科室、下属事业单位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(二)规范执法检查流程</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⒈合理确定抽查比例。各科室、下属事业单位根据相关规定确定抽查比例，没有抽查比例确定依据的，自行合理制定抽查计划并报分管局领导审定后实施。对存在环境违法问题和环境管理问题的监管对象，应适度提高抽查比例。</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⒉开展“双随机”抽查。采用摇号等方式从日常监管动态信息库和检查人员名录库随机抽取检查对象和执法检查人员，做到全程留痕。</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⒊依法处罚。对随机抽查发现的环境违法行为，发现一起，查处一起，依法处理处罚。　　</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⒋及时公开抽查及处理结果。将随机抽查查处结果及时向社会公开，接受社会监督。</w:t>
            </w:r>
          </w:p>
          <w:p>
            <w:pPr>
              <w:widowControl/>
              <w:shd w:val="clear" w:color="auto" w:fill="FFFFFF"/>
              <w:spacing w:line="560" w:lineRule="atLeast"/>
              <w:ind w:firstLine="640" w:firstLineChars="200"/>
              <w:jc w:val="left"/>
              <w:rPr>
                <w:rFonts w:hint="eastAsia"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三、工作要求</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(一)全程留痕制度</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开展随机抽查工作时，应严格遵照相关工作制度、工作程序，对列入随机抽查名单中的监管对象进行现场抽查,按照《山东省污染源现场检查工作指南》(鲁环办[2014]45号)</w:t>
            </w:r>
            <w:r>
              <w:rPr>
                <w:rFonts w:hint="eastAsia" w:ascii="仿宋" w:hAnsi="仿宋" w:eastAsia="仿宋" w:cs="宋体"/>
                <w:kern w:val="0"/>
                <w:sz w:val="32"/>
                <w:szCs w:val="32"/>
              </w:rPr>
              <w:t>要求制作《污染源现场监察记录表》。</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(二)依法查处制度</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对市级随机抽查工作中发现的环境违法行为，下发督办单,由市环保部门依法处理处罚,符合移交条件的,要及时移交公安机关依法处理。市环保局将对处理处罚情况进行动态跟踪,对处理处罚不及时、不到位的环境违法行为,将按有关规定进行处理。</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(三)廉政保密制度</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环境执法人员开展随机抽查工作,要按照《环境执法人员行为规范》做好廉政和保密工作,随机抽查名单一经确定,不得随意变更;不得接受被抽查企业的财物和宴请;不得向被抽查企业通风报信，对查处的问题不掩盖、不袒护、不虚报,坚决杜绝失密泄密、滥用职权、玩忽职守、徇私舞弊等违法违纪行为发生。</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(四)执法联动制度</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开展抽查工作时,可以实施部门联动，重点加强与公安部门配合，严厉打击涉嫌环境犯罪行为；加强内部科室联动，石岛分局、好运角分局、总量、管理、监察、监测、生态、法宣等科室可以采取联动执法的方式开展随机抽查；加强与新闻媒体等单位的密切合作，对先进典型予以宣传报道，对严重环境违法违规行为予以曝光。</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(五)定期报告制度</w:t>
            </w:r>
          </w:p>
          <w:p>
            <w:pPr>
              <w:widowControl/>
              <w:shd w:val="clear" w:color="auto" w:fill="FFFFFF"/>
              <w:spacing w:line="560" w:lineRule="atLeast"/>
              <w:ind w:firstLine="640"/>
              <w:rPr>
                <w:rFonts w:ascii="微软雅黑" w:hAnsi="微软雅黑" w:eastAsia="微软雅黑" w:cs="宋体"/>
                <w:kern w:val="0"/>
                <w:sz w:val="29"/>
                <w:szCs w:val="29"/>
              </w:rPr>
            </w:pPr>
            <w:r>
              <w:rPr>
                <w:rFonts w:hint="eastAsia" w:ascii="仿宋" w:hAnsi="仿宋" w:eastAsia="仿宋" w:cs="宋体"/>
                <w:kern w:val="0"/>
                <w:sz w:val="32"/>
                <w:szCs w:val="32"/>
              </w:rPr>
              <w:t>要按相关要求对随机抽查工作进行总结,按时上报相关材料。</w:t>
            </w:r>
          </w:p>
          <w:p>
            <w:pPr>
              <w:widowControl/>
              <w:shd w:val="clear" w:color="auto" w:fill="FFFFFF"/>
              <w:spacing w:line="560" w:lineRule="atLeast"/>
              <w:ind w:firstLine="640"/>
              <w:rPr>
                <w:rFonts w:hint="eastAsia" w:ascii="微软雅黑" w:hAnsi="微软雅黑" w:eastAsia="微软雅黑" w:cs="宋体"/>
                <w:kern w:val="0"/>
                <w:sz w:val="29"/>
                <w:szCs w:val="29"/>
              </w:rPr>
            </w:pPr>
            <w:r>
              <w:rPr>
                <w:rFonts w:hint="eastAsia" w:ascii="黑体" w:hAnsi="黑体" w:eastAsia="黑体" w:cs="宋体"/>
                <w:kern w:val="0"/>
                <w:sz w:val="32"/>
                <w:szCs w:val="32"/>
              </w:rPr>
              <w:t>四、保障措施</w:t>
            </w:r>
          </w:p>
          <w:p>
            <w:pPr>
              <w:widowControl/>
              <w:spacing w:line="600" w:lineRule="atLeast"/>
              <w:ind w:firstLine="643"/>
              <w:jc w:val="left"/>
              <w:rPr>
                <w:rFonts w:hint="eastAsia" w:ascii="宋体" w:hAnsi="宋体" w:eastAsia="宋体" w:cs="宋体"/>
                <w:kern w:val="0"/>
                <w:sz w:val="24"/>
                <w:szCs w:val="24"/>
              </w:rPr>
            </w:pPr>
            <w:r>
              <w:rPr>
                <w:rFonts w:hint="eastAsia" w:ascii="楷体" w:hAnsi="楷体" w:eastAsia="楷体" w:cs="宋体"/>
                <w:kern w:val="0"/>
                <w:sz w:val="32"/>
                <w:szCs w:val="32"/>
              </w:rPr>
              <w:t>(一)加强组织领导,严格落实责任</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市局各部门要充分认识随机抽查工作的重要性和紧迫性,统一思想认识,加强组织领导,服从统一调度，明确抽查工作任务和责任。各相关科室要密切配合，加强协作，确保随机抽查制度落实到位。</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(二)加强宣传教育,营造良好氛围</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市局法宣科及相关职能科室要充分利用报刊、广播、电视、网络、政务微博、微信等媒体,广泛宣传污染源日常环境监管随机抽查制度和法律法规政策，进一步提高公众对环境监管重要性的认识。同时对随机抽查发现的典型环境污染案件,主动在媒体上进行宣传报道和曝光，在全社会营造打击环境违法行为的强大声势。</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(三)加强工作督导,开展监督稽查</w:t>
            </w:r>
          </w:p>
          <w:p>
            <w:pPr>
              <w:widowControl/>
              <w:shd w:val="clear" w:color="auto" w:fill="FFFFFF"/>
              <w:spacing w:line="560" w:lineRule="atLeast"/>
              <w:ind w:firstLine="630"/>
              <w:jc w:val="left"/>
              <w:rPr>
                <w:rFonts w:ascii="宋体" w:hAnsi="宋体" w:eastAsia="宋体" w:cs="宋体"/>
                <w:kern w:val="0"/>
                <w:sz w:val="24"/>
                <w:szCs w:val="24"/>
              </w:rPr>
            </w:pPr>
            <w:r>
              <w:rPr>
                <w:rFonts w:hint="eastAsia" w:ascii="仿宋" w:hAnsi="仿宋" w:eastAsia="仿宋" w:cs="宋体"/>
                <w:kern w:val="0"/>
                <w:sz w:val="32"/>
                <w:szCs w:val="32"/>
              </w:rPr>
              <w:t>荣成市环保局负责对各分局环保部门环境监管随机抽查工作进行督导，定期开展监督稽查工作,对未能认真履行职责或随机抽查工作开展不力的部门,实行公开通报或行政约谈;对抽查工作中失职渎职、徇私舞弊的人员,依法追究相关责任;对抽查工作落实过程中存在的问题,及时予以协调解决,确保随机抽查工作的各项制度落到实处。</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4A5B"/>
    <w:rsid w:val="002B4A5B"/>
    <w:rsid w:val="00CE2CD7"/>
    <w:rsid w:val="1E6B49A5"/>
    <w:rsid w:val="2EBF6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4 Char"/>
    <w:basedOn w:val="5"/>
    <w:link w:val="2"/>
    <w:uiPriority w:val="9"/>
    <w:rPr>
      <w:rFonts w:ascii="宋体" w:hAnsi="宋体" w:eastAsia="宋体" w:cs="宋体"/>
      <w:b/>
      <w:bCs/>
      <w:kern w:val="0"/>
      <w:sz w:val="24"/>
      <w:szCs w:val="24"/>
    </w:rPr>
  </w:style>
  <w:style w:type="character" w:customStyle="1" w:styleId="7">
    <w:name w:val="apple-converted-space"/>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686</Words>
  <Characters>3916</Characters>
  <Lines>32</Lines>
  <Paragraphs>9</Paragraphs>
  <TotalTime>24</TotalTime>
  <ScaleCrop>false</ScaleCrop>
  <LinksUpToDate>false</LinksUpToDate>
  <CharactersWithSpaces>4593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2018-06-28T08:52:00Z</dcterms:created>
  <dc:creator>DELL</dc:creator>
  <cp:lastModifiedBy>蔡杰</cp:lastModifiedBy>
  <dcterms:modified xsi:type="dcterms:W3CDTF">2024-06-04T08:06:42Z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6C86B2BB83E14A5888994032C5ACCA47</vt:lpwstr>
  </property>
</Properties>
</file>