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313" w:beforeLines="100" w:line="405" w:lineRule="exact"/>
        <w:jc w:val="center"/>
        <w:textAlignment w:val="auto"/>
        <w:rPr>
          <w:rFonts w:ascii="方正小标宋简体" w:hAnsi="Microsoft JhengHei" w:eastAsia="方正小标宋简体" w:cs="Microsoft JhengHei"/>
          <w:sz w:val="44"/>
          <w:szCs w:val="44"/>
        </w:rPr>
      </w:pPr>
      <w:r>
        <w:rPr>
          <w:rFonts w:hint="eastAsia" w:ascii="方正小标宋简体" w:hAnsi="Microsoft JhengHei" w:eastAsia="方正小标宋简体" w:cs="Microsoft JhengHei"/>
          <w:sz w:val="44"/>
          <w:szCs w:val="44"/>
        </w:rPr>
        <w:t>荣成市教育和体育局</w:t>
      </w:r>
      <w:r>
        <w:rPr>
          <w:rFonts w:hint="eastAsia" w:ascii="方正小标宋简体" w:hAnsi="Microsoft JhengHei" w:eastAsia="方正小标宋简体" w:cs="Microsoft JhengHei"/>
          <w:sz w:val="44"/>
          <w:szCs w:val="44"/>
          <w:lang w:eastAsia="zh-CN"/>
        </w:rPr>
        <w:t>2024</w:t>
      </w:r>
      <w:r>
        <w:rPr>
          <w:rFonts w:hint="eastAsia" w:ascii="方正小标宋简体" w:hAnsi="Microsoft JhengHei" w:eastAsia="方正小标宋简体" w:cs="Microsoft JhengHei"/>
          <w:sz w:val="44"/>
          <w:szCs w:val="44"/>
        </w:rPr>
        <w:t>年度行政执法检查计划表</w:t>
      </w:r>
    </w:p>
    <w:tbl>
      <w:tblPr>
        <w:tblStyle w:val="5"/>
        <w:tblpPr w:leftFromText="180" w:rightFromText="180" w:vertAnchor="text" w:horzAnchor="page" w:tblpX="1530" w:tblpY="717"/>
        <w:tblOverlap w:val="never"/>
        <w:tblW w:w="13744" w:type="dxa"/>
        <w:tblInd w:w="0" w:type="dxa"/>
        <w:tblLayout w:type="fixed"/>
        <w:tblCellMar>
          <w:top w:w="0" w:type="dxa"/>
          <w:left w:w="0" w:type="dxa"/>
          <w:bottom w:w="0" w:type="dxa"/>
          <w:right w:w="0" w:type="dxa"/>
        </w:tblCellMar>
      </w:tblPr>
      <w:tblGrid>
        <w:gridCol w:w="612"/>
        <w:gridCol w:w="1589"/>
        <w:gridCol w:w="1346"/>
        <w:gridCol w:w="1497"/>
        <w:gridCol w:w="1762"/>
        <w:gridCol w:w="1632"/>
        <w:gridCol w:w="5306"/>
      </w:tblGrid>
      <w:tr>
        <w:tblPrEx>
          <w:tblCellMar>
            <w:top w:w="0" w:type="dxa"/>
            <w:left w:w="0" w:type="dxa"/>
            <w:bottom w:w="0" w:type="dxa"/>
            <w:right w:w="0" w:type="dxa"/>
          </w:tblCellMar>
        </w:tblPrEx>
        <w:trPr>
          <w:trHeight w:val="737" w:hRule="exac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ind w:left="102"/>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589" w:type="dxa"/>
            <w:tcBorders>
              <w:top w:val="single" w:color="000000" w:sz="8" w:space="0"/>
              <w:left w:val="single" w:color="000000" w:sz="8" w:space="0"/>
              <w:bottom w:val="single" w:color="000000" w:sz="8" w:space="0"/>
              <w:right w:val="single" w:color="000000" w:sz="8" w:space="0"/>
            </w:tcBorders>
            <w:vAlign w:val="center"/>
          </w:tcPr>
          <w:p>
            <w:pPr>
              <w:pStyle w:val="4"/>
              <w:tabs>
                <w:tab w:val="left" w:pos="893"/>
              </w:tabs>
              <w:ind w:left="-2"/>
              <w:jc w:val="center"/>
              <w:rPr>
                <w:rFonts w:hint="eastAsia" w:ascii="宋体" w:hAnsi="宋体" w:eastAsia="宋体" w:cs="宋体"/>
                <w:b/>
                <w:bCs/>
                <w:sz w:val="24"/>
                <w:szCs w:val="24"/>
              </w:rPr>
            </w:pPr>
            <w:r>
              <w:rPr>
                <w:rFonts w:hint="eastAsia" w:ascii="宋体" w:hAnsi="宋体" w:eastAsia="宋体" w:cs="宋体"/>
                <w:b/>
                <w:bCs/>
                <w:sz w:val="24"/>
                <w:szCs w:val="24"/>
              </w:rPr>
              <w:t>名称</w:t>
            </w:r>
          </w:p>
        </w:tc>
        <w:tc>
          <w:tcPr>
            <w:tcW w:w="1346" w:type="dxa"/>
            <w:tcBorders>
              <w:top w:val="single" w:color="000000" w:sz="8" w:space="0"/>
              <w:left w:val="single" w:color="000000" w:sz="8" w:space="0"/>
              <w:bottom w:val="single" w:color="000000" w:sz="8" w:space="0"/>
              <w:right w:val="single" w:color="000000" w:sz="8" w:space="0"/>
            </w:tcBorders>
            <w:vAlign w:val="center"/>
          </w:tcPr>
          <w:p>
            <w:pPr>
              <w:pStyle w:val="4"/>
              <w:spacing w:line="172" w:lineRule="auto"/>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检查</w:t>
            </w:r>
            <w:r>
              <w:rPr>
                <w:rFonts w:hint="eastAsia" w:ascii="宋体" w:hAnsi="宋体" w:eastAsia="宋体" w:cs="宋体"/>
                <w:b/>
                <w:bCs/>
                <w:sz w:val="24"/>
                <w:szCs w:val="24"/>
              </w:rPr>
              <w:t>时间</w:t>
            </w:r>
          </w:p>
          <w:p>
            <w:pPr>
              <w:pStyle w:val="4"/>
              <w:spacing w:line="172"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频次</w:t>
            </w:r>
          </w:p>
        </w:tc>
        <w:tc>
          <w:tcPr>
            <w:tcW w:w="1497" w:type="dxa"/>
            <w:tcBorders>
              <w:top w:val="single" w:color="000000" w:sz="8" w:space="0"/>
              <w:left w:val="single" w:color="000000" w:sz="8" w:space="0"/>
              <w:bottom w:val="single" w:color="000000" w:sz="8" w:space="0"/>
              <w:right w:val="single" w:color="000000" w:sz="8" w:space="0"/>
            </w:tcBorders>
            <w:vAlign w:val="center"/>
          </w:tcPr>
          <w:p>
            <w:pPr>
              <w:pStyle w:val="4"/>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负责</w:t>
            </w:r>
            <w:r>
              <w:rPr>
                <w:rFonts w:hint="eastAsia" w:ascii="宋体" w:hAnsi="宋体" w:eastAsia="宋体" w:cs="宋体"/>
                <w:b/>
                <w:bCs/>
                <w:sz w:val="24"/>
                <w:szCs w:val="24"/>
              </w:rPr>
              <w:t>科室</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b/>
                <w:bCs/>
                <w:i w:val="0"/>
                <w:color w:val="000000"/>
                <w:kern w:val="2"/>
                <w:sz w:val="24"/>
                <w:szCs w:val="24"/>
                <w:u w:val="none"/>
                <w:lang w:val="en-US" w:eastAsia="zh-CN" w:bidi="ar-SA"/>
              </w:rPr>
            </w:pPr>
            <w:r>
              <w:rPr>
                <w:rFonts w:hint="eastAsia" w:ascii="宋体" w:hAnsi="宋体" w:eastAsia="宋体" w:cs="宋体"/>
                <w:b/>
                <w:bCs/>
                <w:i w:val="0"/>
                <w:color w:val="000000"/>
                <w:kern w:val="0"/>
                <w:sz w:val="24"/>
                <w:szCs w:val="24"/>
                <w:u w:val="none"/>
                <w:lang w:val="en-US" w:eastAsia="zh-CN" w:bidi="ar"/>
              </w:rPr>
              <w:t>检查方式</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b/>
                <w:bCs/>
                <w:i w:val="0"/>
                <w:color w:val="000000"/>
                <w:kern w:val="2"/>
                <w:sz w:val="24"/>
                <w:szCs w:val="24"/>
                <w:u w:val="none"/>
                <w:lang w:val="en-US" w:eastAsia="zh-CN" w:bidi="ar-SA"/>
              </w:rPr>
            </w:pPr>
            <w:r>
              <w:rPr>
                <w:rFonts w:hint="eastAsia" w:ascii="宋体" w:hAnsi="宋体" w:eastAsia="宋体" w:cs="宋体"/>
                <w:b/>
                <w:bCs/>
                <w:i w:val="0"/>
                <w:color w:val="000000"/>
                <w:kern w:val="0"/>
                <w:sz w:val="24"/>
                <w:szCs w:val="24"/>
                <w:u w:val="none"/>
                <w:lang w:val="en-US" w:eastAsia="zh-CN" w:bidi="ar"/>
              </w:rPr>
              <w:t>检查对象</w:t>
            </w:r>
          </w:p>
        </w:tc>
        <w:tc>
          <w:tcPr>
            <w:tcW w:w="5306" w:type="dxa"/>
            <w:tcBorders>
              <w:top w:val="single" w:color="000000" w:sz="8" w:space="0"/>
              <w:left w:val="single" w:color="000000" w:sz="8" w:space="0"/>
              <w:bottom w:val="single" w:color="000000" w:sz="8" w:space="0"/>
              <w:right w:val="single" w:color="000000" w:sz="8" w:space="0"/>
            </w:tcBorders>
            <w:vAlign w:val="center"/>
          </w:tcPr>
          <w:p>
            <w:pPr>
              <w:pStyle w:val="4"/>
              <w:ind w:left="1754" w:right="1739"/>
              <w:jc w:val="center"/>
              <w:rPr>
                <w:rFonts w:hint="eastAsia" w:ascii="宋体" w:hAnsi="宋体" w:eastAsia="宋体" w:cs="宋体"/>
                <w:b/>
                <w:bCs/>
                <w:sz w:val="24"/>
                <w:szCs w:val="24"/>
              </w:rPr>
            </w:pPr>
            <w:r>
              <w:rPr>
                <w:rFonts w:hint="eastAsia" w:ascii="宋体" w:hAnsi="宋体" w:eastAsia="宋体" w:cs="宋体"/>
                <w:b/>
                <w:bCs/>
                <w:sz w:val="24"/>
                <w:szCs w:val="24"/>
              </w:rPr>
              <w:t>开展依据</w:t>
            </w:r>
          </w:p>
        </w:tc>
      </w:tr>
      <w:tr>
        <w:tblPrEx>
          <w:tblCellMar>
            <w:top w:w="0" w:type="dxa"/>
            <w:left w:w="0" w:type="dxa"/>
            <w:bottom w:w="0" w:type="dxa"/>
            <w:right w:w="0" w:type="dxa"/>
          </w:tblCellMar>
        </w:tblPrEx>
        <w:trPr>
          <w:trHeight w:val="1701"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3" w:line="300" w:lineRule="exact"/>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学校教育教学用语用字的管理和监督</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下半年1次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教研中心</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各级各类学校</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中上报的备查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《中华人民共和国国家通用语言文字法》（2000年10月公布）第二十二条</w:t>
            </w:r>
          </w:p>
        </w:tc>
      </w:tr>
      <w:tr>
        <w:tblPrEx>
          <w:tblCellMar>
            <w:top w:w="0" w:type="dxa"/>
            <w:left w:w="0" w:type="dxa"/>
            <w:bottom w:w="0" w:type="dxa"/>
            <w:right w:w="0" w:type="dxa"/>
          </w:tblCellMar>
        </w:tblPrEx>
        <w:trPr>
          <w:trHeight w:val="1701"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3" w:line="300" w:lineRule="exact"/>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1"/>
                <w:szCs w:val="21"/>
                <w:lang w:val="en-US" w:eastAsia="zh-CN" w:bidi="ar-SA"/>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学校安全管理工作的监督检查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1"/>
                <w:szCs w:val="21"/>
                <w:lang w:val="en-US" w:eastAsia="zh-CN" w:bidi="ar-SA"/>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上半年、下半年各1次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安保科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随机抽查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实地检查</w:t>
            </w:r>
          </w:p>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台账查验</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各级各类学校</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各级各类幼儿园</w:t>
            </w:r>
          </w:p>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校外培训机构</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1.《山东省学校安全条例》（2018年11月通过）第六条</w:t>
            </w:r>
          </w:p>
          <w:p>
            <w:pPr>
              <w:keepNext w:val="0"/>
              <w:keepLines w:val="0"/>
              <w:widowControl/>
              <w:suppressLineNumbers w:val="0"/>
              <w:jc w:val="both"/>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kern w:val="0"/>
                <w:sz w:val="21"/>
                <w:szCs w:val="21"/>
                <w:lang w:val="en-US" w:eastAsia="zh-CN" w:bidi="ar-SA"/>
              </w:rPr>
              <w:t>2.教育部办公厅应急管理部办公厅关于印发《校外培训机构消</w:t>
            </w:r>
            <w:bookmarkStart w:id="0" w:name="_GoBack"/>
            <w:bookmarkEnd w:id="0"/>
            <w:r>
              <w:rPr>
                <w:rFonts w:hint="eastAsia" w:ascii="宋体" w:hAnsi="宋体" w:eastAsia="宋体" w:cs="宋体"/>
                <w:kern w:val="0"/>
                <w:sz w:val="21"/>
                <w:szCs w:val="21"/>
                <w:lang w:val="en-US" w:eastAsia="zh-CN" w:bidi="ar-SA"/>
              </w:rPr>
              <w:t>防安全管理九项规定》的通知（教监管厅函〔2022〕9号）</w:t>
            </w:r>
          </w:p>
        </w:tc>
      </w:tr>
      <w:tr>
        <w:tblPrEx>
          <w:tblCellMar>
            <w:top w:w="0" w:type="dxa"/>
            <w:left w:w="0" w:type="dxa"/>
            <w:bottom w:w="0" w:type="dxa"/>
            <w:right w:w="0" w:type="dxa"/>
          </w:tblCellMar>
        </w:tblPrEx>
        <w:trPr>
          <w:trHeight w:val="2565"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3" w:line="300" w:lineRule="exact"/>
              <w:jc w:val="center"/>
              <w:textAlignment w:val="auto"/>
              <w:rPr>
                <w:rFonts w:hint="eastAsia" w:ascii="宋体" w:hAnsi="宋体" w:eastAsia="宋体" w:cs="宋体"/>
                <w:kern w:val="0"/>
                <w:sz w:val="21"/>
                <w:szCs w:val="21"/>
                <w:lang w:val="en-US" w:eastAsia="zh-CN" w:bidi="ar-SA"/>
              </w:rPr>
            </w:pPr>
            <w:r>
              <w:rPr>
                <w:rFonts w:hint="eastAsia" w:ascii="宋体" w:hAnsi="宋体" w:eastAsia="宋体" w:cs="宋体"/>
                <w:sz w:val="21"/>
                <w:szCs w:val="21"/>
                <w:lang w:val="en-US" w:eastAsia="zh-CN"/>
              </w:rPr>
              <w:t>3</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kern w:val="0"/>
                <w:sz w:val="21"/>
                <w:szCs w:val="21"/>
                <w:lang w:val="en-US" w:eastAsia="zh-CN" w:bidi="ar-SA"/>
              </w:rPr>
            </w:pPr>
            <w:r>
              <w:rPr>
                <w:rFonts w:hint="eastAsia" w:ascii="宋体" w:hAnsi="宋体" w:eastAsia="宋体" w:cs="宋体"/>
                <w:i w:val="0"/>
                <w:color w:val="000000"/>
                <w:kern w:val="0"/>
                <w:sz w:val="21"/>
                <w:szCs w:val="21"/>
                <w:u w:val="none"/>
                <w:lang w:val="en-US" w:eastAsia="zh-CN" w:bidi="ar"/>
              </w:rPr>
              <w:t>对职业院校学生实习实训工作开展检查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kern w:val="0"/>
                <w:sz w:val="21"/>
                <w:szCs w:val="21"/>
                <w:lang w:val="en-US" w:eastAsia="zh-CN" w:bidi="ar-SA"/>
              </w:rPr>
            </w:pPr>
            <w:r>
              <w:rPr>
                <w:rFonts w:hint="eastAsia" w:ascii="宋体" w:hAnsi="宋体" w:eastAsia="宋体" w:cs="宋体"/>
                <w:i w:val="0"/>
                <w:color w:val="000000"/>
                <w:kern w:val="0"/>
                <w:sz w:val="21"/>
                <w:szCs w:val="21"/>
                <w:u w:val="none"/>
                <w:lang w:val="en-US" w:eastAsia="zh-CN" w:bidi="ar"/>
              </w:rPr>
              <w:t>上半年、下半年各1次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kern w:val="0"/>
                <w:sz w:val="21"/>
                <w:szCs w:val="21"/>
                <w:lang w:val="en-US" w:eastAsia="zh-CN" w:bidi="ar-SA"/>
              </w:rPr>
            </w:pPr>
            <w:r>
              <w:rPr>
                <w:rFonts w:hint="eastAsia" w:ascii="宋体" w:hAnsi="宋体" w:eastAsia="宋体" w:cs="宋体"/>
                <w:i w:val="0"/>
                <w:color w:val="000000"/>
                <w:kern w:val="0"/>
                <w:sz w:val="21"/>
                <w:szCs w:val="21"/>
                <w:u w:val="none"/>
                <w:lang w:val="en-US" w:eastAsia="zh-CN" w:bidi="ar"/>
              </w:rPr>
              <w:t>职教科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现场检查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书面检查</w:t>
            </w:r>
          </w:p>
          <w:p>
            <w:pPr>
              <w:keepNext w:val="0"/>
              <w:keepLines w:val="0"/>
              <w:widowControl/>
              <w:suppressLineNumbers w:val="0"/>
              <w:jc w:val="center"/>
              <w:textAlignment w:val="center"/>
              <w:rPr>
                <w:rFonts w:hint="eastAsia" w:ascii="宋体" w:hAnsi="宋体" w:eastAsia="宋体" w:cs="宋体"/>
                <w:kern w:val="0"/>
                <w:sz w:val="21"/>
                <w:szCs w:val="21"/>
                <w:lang w:val="en-US" w:eastAsia="zh-CN" w:bidi="ar-SA"/>
              </w:rPr>
            </w:pPr>
            <w:r>
              <w:rPr>
                <w:rFonts w:hint="eastAsia" w:ascii="宋体" w:hAnsi="宋体" w:eastAsia="宋体" w:cs="宋体"/>
                <w:i w:val="0"/>
                <w:color w:val="000000"/>
                <w:kern w:val="0"/>
                <w:sz w:val="21"/>
                <w:szCs w:val="21"/>
                <w:u w:val="none"/>
                <w:lang w:val="en-US" w:eastAsia="zh-CN" w:bidi="ar"/>
              </w:rPr>
              <w:t>网络查验</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各级各类职业</w:t>
            </w:r>
          </w:p>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院校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1.《职业教育法》（1996年5月15日第八届全国人民代表大会常务委员会第十九次会议通过2022年4月20日第十三届全国人民代表大会常务委员会第三十四次会议</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修订）</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2.《教育部等八部门关于印发&lt;职业学校学生实习管理规定&gt;的通知》(教职成〔2021〕4号)</w:t>
            </w:r>
          </w:p>
        </w:tc>
      </w:tr>
      <w:tr>
        <w:tblPrEx>
          <w:tblCellMar>
            <w:top w:w="0" w:type="dxa"/>
            <w:left w:w="0" w:type="dxa"/>
            <w:bottom w:w="0" w:type="dxa"/>
            <w:right w:w="0" w:type="dxa"/>
          </w:tblCellMar>
        </w:tblPrEx>
        <w:trPr>
          <w:trHeight w:val="3208" w:hRule="exac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3" w:line="300" w:lineRule="exact"/>
              <w:jc w:val="center"/>
              <w:textAlignment w:val="auto"/>
              <w:rPr>
                <w:rFonts w:hint="eastAsia" w:ascii="宋体" w:hAnsi="宋体" w:eastAsia="宋体" w:cs="宋体"/>
                <w:kern w:val="0"/>
                <w:sz w:val="21"/>
                <w:szCs w:val="21"/>
                <w:lang w:val="en-US" w:eastAsia="zh-CN" w:bidi="ar-SA"/>
              </w:rPr>
            </w:pPr>
            <w:r>
              <w:rPr>
                <w:rFonts w:hint="eastAsia" w:ascii="宋体" w:hAnsi="宋体" w:eastAsia="宋体" w:cs="宋体"/>
                <w:sz w:val="21"/>
                <w:szCs w:val="21"/>
                <w:lang w:val="en-US" w:eastAsia="zh-CN"/>
              </w:rPr>
              <w:t>4</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1"/>
                <w:szCs w:val="21"/>
                <w:lang w:val="en-US" w:eastAsia="zh-CN" w:bidi="ar-SA"/>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校外培训机构办学情况检查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kern w:val="0"/>
                <w:sz w:val="21"/>
                <w:szCs w:val="21"/>
                <w:lang w:val="en-US" w:eastAsia="zh-CN" w:bidi="ar-SA"/>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上半年、下半年各1次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职教科</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体育发展中心</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书面检查</w:t>
            </w:r>
          </w:p>
          <w:p>
            <w:pPr>
              <w:keepNext w:val="0"/>
              <w:keepLines w:val="0"/>
              <w:widowControl/>
              <w:suppressLineNumbers w:val="0"/>
              <w:jc w:val="center"/>
              <w:textAlignment w:val="center"/>
              <w:rPr>
                <w:rFonts w:hint="eastAsia" w:ascii="宋体" w:hAnsi="宋体" w:eastAsia="宋体" w:cs="宋体"/>
                <w:kern w:val="0"/>
                <w:sz w:val="21"/>
                <w:szCs w:val="21"/>
                <w:lang w:val="en-US" w:eastAsia="zh-CN" w:bidi="ar-SA"/>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校外培训机构</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1.《中共中央办公厅国务院办公厅印发&lt;关于进一步减轻义务教育阶段学生作业负担和校外培训负担的意见&gt;的通知》（中办发〔2021〕40号）第四条</w:t>
            </w:r>
          </w:p>
          <w:p>
            <w:pPr>
              <w:keepNext w:val="0"/>
              <w:keepLines w:val="0"/>
              <w:widowControl/>
              <w:suppressLineNumbers w:val="0"/>
              <w:jc w:val="both"/>
              <w:textAlignment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2.《中华人民共和国民办教育促进法》（2018年12月29日修订）第六十二条</w:t>
            </w:r>
          </w:p>
          <w:p>
            <w:pPr>
              <w:keepNext w:val="0"/>
              <w:keepLines w:val="0"/>
              <w:widowControl/>
              <w:suppressLineNumbers w:val="0"/>
              <w:jc w:val="both"/>
              <w:textAlignment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3.《校外培训行政处罚暂行办法》第六条</w:t>
            </w:r>
          </w:p>
        </w:tc>
      </w:tr>
      <w:tr>
        <w:tblPrEx>
          <w:tblCellMar>
            <w:top w:w="0" w:type="dxa"/>
            <w:left w:w="0" w:type="dxa"/>
            <w:bottom w:w="0" w:type="dxa"/>
            <w:right w:w="0" w:type="dxa"/>
          </w:tblCellMar>
        </w:tblPrEx>
        <w:trPr>
          <w:trHeight w:val="2494"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5</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中小学规范办学行为检查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上半年、下半年各1次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基教科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网络检查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中小学校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1.《山东省义务教育条例》（2009年11月通过）第五十二条</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2.《山东省对违规从事普通中小学办学行为责任追究办法》（省政府令第255号）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3.《山东省教育厅关于印发〈山东省普通中小学办学基本规范〉的通知》第四条</w:t>
            </w:r>
          </w:p>
        </w:tc>
      </w:tr>
      <w:tr>
        <w:tblPrEx>
          <w:tblCellMar>
            <w:top w:w="0" w:type="dxa"/>
            <w:left w:w="0" w:type="dxa"/>
            <w:bottom w:w="0" w:type="dxa"/>
            <w:right w:w="0" w:type="dxa"/>
          </w:tblCellMar>
        </w:tblPrEx>
        <w:trPr>
          <w:trHeight w:val="2494"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对幼儿园规范办园、保育教育工作的监督、检查、评估</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上半年、下半年各1次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学前科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网络查验</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各级各类幼儿园</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sz w:val="21"/>
                <w:szCs w:val="21"/>
                <w:lang w:val="en-US" w:eastAsia="zh-CN"/>
              </w:rPr>
            </w:pPr>
            <w:r>
              <w:rPr>
                <w:rFonts w:hint="eastAsia" w:ascii="宋体" w:hAnsi="宋体" w:eastAsia="宋体" w:cs="宋体"/>
                <w:i w:val="0"/>
                <w:color w:val="000000"/>
                <w:kern w:val="0"/>
                <w:sz w:val="21"/>
                <w:szCs w:val="21"/>
                <w:u w:val="none"/>
                <w:lang w:val="en-US" w:eastAsia="zh-CN" w:bidi="ar"/>
              </w:rPr>
              <w:t>1.《山东省学前教育条例》第七十四条</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2.《山东省幼儿园办园行为督导评估实施方案》</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3.《保育教育质量评估指南》</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4.《山东省幼儿园办园基本规范》</w:t>
            </w:r>
          </w:p>
        </w:tc>
      </w:tr>
      <w:tr>
        <w:tblPrEx>
          <w:tblCellMar>
            <w:top w:w="0" w:type="dxa"/>
            <w:left w:w="0" w:type="dxa"/>
            <w:bottom w:w="0" w:type="dxa"/>
            <w:right w:w="0" w:type="dxa"/>
          </w:tblCellMar>
        </w:tblPrEx>
        <w:trPr>
          <w:trHeight w:val="1871"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7</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对残疾儿童、少年实施义务教育工作的监督、指导、检查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下半年1次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基教科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网络查验</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中小学校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sz w:val="21"/>
                <w:szCs w:val="21"/>
                <w:lang w:val="en-US" w:eastAsia="zh-CN"/>
              </w:rPr>
            </w:pPr>
            <w:r>
              <w:rPr>
                <w:rFonts w:hint="eastAsia" w:ascii="宋体" w:hAnsi="宋体" w:eastAsia="宋体" w:cs="宋体"/>
                <w:i w:val="0"/>
                <w:color w:val="000000"/>
                <w:kern w:val="0"/>
                <w:sz w:val="21"/>
                <w:szCs w:val="21"/>
                <w:u w:val="none"/>
                <w:lang w:val="en-US" w:eastAsia="zh-CN" w:bidi="ar"/>
              </w:rPr>
              <w:t>1.《残疾人教育条例》第七条</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2.《山东省义务教育条例》第二十条</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3.《关于做好全国适龄残疾儿童少年入学情况监测系统应用和管理工作的通知》（鲁教司函〔2020〕13号）</w:t>
            </w:r>
          </w:p>
        </w:tc>
      </w:tr>
      <w:tr>
        <w:tblPrEx>
          <w:tblCellMar>
            <w:top w:w="0" w:type="dxa"/>
            <w:left w:w="0" w:type="dxa"/>
            <w:bottom w:w="0" w:type="dxa"/>
            <w:right w:w="0" w:type="dxa"/>
          </w:tblCellMar>
        </w:tblPrEx>
        <w:trPr>
          <w:trHeight w:val="2530"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1589" w:type="dxa"/>
            <w:tcBorders>
              <w:top w:val="single" w:color="000000" w:sz="8" w:space="0"/>
              <w:left w:val="single" w:color="000000" w:sz="8" w:space="0"/>
              <w:bottom w:val="single" w:color="000000" w:sz="8" w:space="0"/>
              <w:right w:val="single" w:color="000000" w:sz="8" w:space="0"/>
            </w:tcBorders>
            <w:vAlign w:val="center"/>
          </w:tcPr>
          <w:p>
            <w:pPr>
              <w:pStyle w:val="4"/>
              <w:spacing w:line="240" w:lineRule="exact"/>
              <w:jc w:val="center"/>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高危险性体育项目经营场所检查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pStyle w:val="4"/>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上半年、下半年各一次</w:t>
            </w:r>
          </w:p>
        </w:tc>
        <w:tc>
          <w:tcPr>
            <w:tcW w:w="1497" w:type="dxa"/>
            <w:tcBorders>
              <w:top w:val="single" w:color="000000" w:sz="8" w:space="0"/>
              <w:left w:val="single" w:color="000000" w:sz="8" w:space="0"/>
              <w:bottom w:val="single" w:color="000000" w:sz="8" w:space="0"/>
              <w:right w:val="single" w:color="000000" w:sz="8" w:space="0"/>
            </w:tcBorders>
            <w:vAlign w:val="center"/>
          </w:tcPr>
          <w:p>
            <w:pPr>
              <w:pStyle w:val="4"/>
              <w:spacing w:line="240" w:lineRule="exact"/>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体育</w:t>
            </w:r>
            <w:r>
              <w:rPr>
                <w:rFonts w:hint="eastAsia" w:ascii="宋体" w:hAnsi="宋体" w:eastAsia="宋体" w:cs="宋体"/>
                <w:color w:val="000000" w:themeColor="text1"/>
                <w:sz w:val="21"/>
                <w:szCs w:val="21"/>
                <w:lang w:val="en-US" w:eastAsia="zh-CN"/>
                <w14:textFill>
                  <w14:solidFill>
                    <w14:schemeClr w14:val="tx1"/>
                  </w14:solidFill>
                </w14:textFill>
              </w:rPr>
              <w:t>发展</w:t>
            </w:r>
            <w:r>
              <w:rPr>
                <w:rFonts w:hint="eastAsia" w:ascii="宋体" w:hAnsi="宋体" w:eastAsia="宋体" w:cs="宋体"/>
                <w:color w:val="000000" w:themeColor="text1"/>
                <w:sz w:val="21"/>
                <w:szCs w:val="21"/>
                <w:lang w:eastAsia="zh-CN"/>
                <w14:textFill>
                  <w14:solidFill>
                    <w14:schemeClr w14:val="tx1"/>
                  </w14:solidFill>
                </w14:textFill>
              </w:rPr>
              <w:t>中心</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pStyle w:val="4"/>
              <w:jc w:val="both"/>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全市高危险性体育项目经营场所</w:t>
            </w:r>
          </w:p>
        </w:tc>
        <w:tc>
          <w:tcPr>
            <w:tcW w:w="5306"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20" w:line="270" w:lineRule="exact"/>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1.《全民健身条例》（2009年8月国务院令第560号公布，2016年2月修订）第三十四条：“县级以上地方人民政府体育主管部门对高危险性体育项目经营活动，应当依法履行监督检查职责。”</w:t>
            </w:r>
          </w:p>
          <w:p>
            <w:pPr>
              <w:pStyle w:val="4"/>
              <w:keepNext w:val="0"/>
              <w:keepLines w:val="0"/>
              <w:pageBreakBefore w:val="0"/>
              <w:widowControl w:val="0"/>
              <w:kinsoku/>
              <w:wordWrap/>
              <w:overflowPunct/>
              <w:topLinePunct w:val="0"/>
              <w:autoSpaceDE/>
              <w:autoSpaceDN/>
              <w:bidi w:val="0"/>
              <w:adjustRightInd/>
              <w:snapToGrid/>
              <w:spacing w:before="120" w:line="270" w:lineRule="exact"/>
              <w:jc w:val="both"/>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2.《经营高危险性体育项目许可管理办法》（2013年2月国家体育总局令第17号发布，2016年4月修改）第十七条：“县级以上地方人民政府体育主管部门应当对经营者从事行政许可事项的活动实施有效监督。”</w:t>
            </w:r>
          </w:p>
        </w:tc>
      </w:tr>
      <w:tr>
        <w:tblPrEx>
          <w:tblCellMar>
            <w:top w:w="0" w:type="dxa"/>
            <w:left w:w="0" w:type="dxa"/>
            <w:bottom w:w="0" w:type="dxa"/>
            <w:right w:w="0" w:type="dxa"/>
          </w:tblCellMar>
        </w:tblPrEx>
        <w:trPr>
          <w:trHeight w:val="1871"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sz w:val="21"/>
                <w:szCs w:val="21"/>
                <w:highlight w:val="none"/>
                <w:lang w:eastAsia="zh-CN"/>
              </w:rPr>
            </w:pPr>
            <w:r>
              <w:rPr>
                <w:rFonts w:hint="eastAsia" w:ascii="宋体" w:hAnsi="宋体" w:eastAsia="宋体" w:cs="宋体"/>
                <w:i w:val="0"/>
                <w:color w:val="000000"/>
                <w:kern w:val="0"/>
                <w:sz w:val="21"/>
                <w:szCs w:val="21"/>
                <w:u w:val="none"/>
                <w:lang w:val="en-US" w:eastAsia="zh-CN" w:bidi="ar"/>
              </w:rPr>
              <w:t>对学生体质健康促进工作的监督检查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color w:val="000000"/>
                <w:kern w:val="0"/>
                <w:sz w:val="21"/>
                <w:szCs w:val="21"/>
                <w:u w:val="none"/>
                <w:lang w:val="en-US" w:eastAsia="zh-CN" w:bidi="ar"/>
              </w:rPr>
              <w:t>下半年1次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基教科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各级各类学校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《山东省学生体质健康促进条例》（2018年9月通过）第五条</w:t>
            </w:r>
          </w:p>
        </w:tc>
      </w:tr>
      <w:tr>
        <w:tblPrEx>
          <w:tblCellMar>
            <w:top w:w="0" w:type="dxa"/>
            <w:left w:w="0" w:type="dxa"/>
            <w:bottom w:w="0" w:type="dxa"/>
            <w:right w:w="0" w:type="dxa"/>
          </w:tblCellMar>
        </w:tblPrEx>
        <w:trPr>
          <w:trHeight w:val="1871"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学校采光照明检查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下半年1次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基建装备科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中小学校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1.教育部等八部门关于印发《综合防控儿童青少年近视实施方案》的通知（教体艺〔2018〕3号）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2.山东省教育厅等九部门关于印发《山东省儿童青少年近视综合防控推进计划》的通知（鲁教体发〔2019〕1号）</w:t>
            </w:r>
          </w:p>
        </w:tc>
      </w:tr>
      <w:tr>
        <w:tblPrEx>
          <w:tblCellMar>
            <w:top w:w="0" w:type="dxa"/>
            <w:left w:w="0" w:type="dxa"/>
            <w:bottom w:w="0" w:type="dxa"/>
            <w:right w:w="0" w:type="dxa"/>
          </w:tblCellMar>
        </w:tblPrEx>
        <w:trPr>
          <w:trHeight w:val="7474" w:hRule="atLeast"/>
        </w:trPr>
        <w:tc>
          <w:tcPr>
            <w:tcW w:w="612" w:type="dxa"/>
            <w:tcBorders>
              <w:top w:val="single" w:color="000000" w:sz="8" w:space="0"/>
              <w:left w:val="single" w:color="000000" w:sz="8" w:space="0"/>
              <w:bottom w:val="single" w:color="000000" w:sz="8" w:space="0"/>
              <w:right w:val="single" w:color="000000" w:sz="8" w:space="0"/>
            </w:tcBorders>
            <w:vAlign w:val="center"/>
          </w:tcPr>
          <w:p>
            <w:pPr>
              <w:pStyle w:val="4"/>
              <w:keepNext w:val="0"/>
              <w:keepLines w:val="0"/>
              <w:pageBreakBefore w:val="0"/>
              <w:widowControl w:val="0"/>
              <w:kinsoku/>
              <w:wordWrap/>
              <w:overflowPunct/>
              <w:topLinePunct w:val="0"/>
              <w:autoSpaceDE/>
              <w:autoSpaceDN/>
              <w:bidi w:val="0"/>
              <w:adjustRightInd/>
              <w:snapToGrid/>
              <w:spacing w:before="100" w:line="300" w:lineRule="exact"/>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1589"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中小学教育装备产品（含文体教育用品、教学仪器、校服等）、学校絮用纤维制品检查</w:t>
            </w:r>
          </w:p>
        </w:tc>
        <w:tc>
          <w:tcPr>
            <w:tcW w:w="134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下半年1次</w:t>
            </w:r>
          </w:p>
        </w:tc>
        <w:tc>
          <w:tcPr>
            <w:tcW w:w="1497"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基建装备科</w:t>
            </w:r>
          </w:p>
        </w:tc>
        <w:tc>
          <w:tcPr>
            <w:tcW w:w="176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现场检查</w:t>
            </w:r>
          </w:p>
        </w:tc>
        <w:tc>
          <w:tcPr>
            <w:tcW w:w="1632"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center"/>
              <w:textAlignment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中小学校</w:t>
            </w:r>
          </w:p>
        </w:tc>
        <w:tc>
          <w:tcPr>
            <w:tcW w:w="5306" w:type="dxa"/>
            <w:tcBorders>
              <w:top w:val="single" w:color="000000" w:sz="8" w:space="0"/>
              <w:left w:val="single" w:color="000000" w:sz="8" w:space="0"/>
              <w:bottom w:val="single" w:color="000000" w:sz="8" w:space="0"/>
              <w:right w:val="single" w:color="000000" w:sz="8" w:space="0"/>
            </w:tcBorders>
            <w:vAlign w:val="center"/>
          </w:tcPr>
          <w:p>
            <w:pPr>
              <w:keepNext w:val="0"/>
              <w:keepLines w:val="0"/>
              <w:widowControl/>
              <w:suppressLineNumbers w:val="0"/>
              <w:jc w:val="both"/>
              <w:textAlignment w:val="center"/>
              <w:rPr>
                <w:rFonts w:hint="eastAsia" w:ascii="宋体" w:hAnsi="宋体" w:eastAsia="宋体" w:cs="宋体"/>
                <w:sz w:val="21"/>
                <w:szCs w:val="21"/>
                <w:lang w:eastAsia="zh-CN"/>
              </w:rPr>
            </w:pPr>
            <w:r>
              <w:rPr>
                <w:rFonts w:hint="eastAsia" w:ascii="宋体" w:hAnsi="宋体" w:eastAsia="宋体" w:cs="宋体"/>
                <w:i w:val="0"/>
                <w:color w:val="000000"/>
                <w:kern w:val="0"/>
                <w:sz w:val="21"/>
                <w:szCs w:val="21"/>
                <w:u w:val="none"/>
                <w:lang w:val="en-US" w:eastAsia="zh-CN" w:bidi="ar"/>
              </w:rPr>
              <w:t>1.教育部关于发布《初中物理教学装备配置标准》等6个学科配置标准的通知（教基函〔2019〕5号）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2.《教育部关于加强和改进中小学实验教学的意见》（教基〔2019〕16号）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3.教育部关于印发《中小学图书馆（室）规程》的通知（教基〔2018〕5号）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4.《山东省普通中小学校办学条件标准》（鲁教基发〔2017〕1号）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5.《山东省教育厅关于进一步加强实验室安全管理工作的意见》（鲁教科字〔2019〕2号）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6.《纤维制品质量监督管理办法》（国家质量监督检验检疫总局令第178号）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7.《山东省人民政府办公厅关于推进新时代山东高等教育高质量发展的若干意见》（鲁政办字〔2019〕76号）</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8.山东省教育厅山东省市场监督管理局《关于进一步加强高校学生床上用品管理保障产品质量安全的通知》（鲁教办字〔2020〕10号）</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Microsoft JhengHei">
    <w:panose1 w:val="020B0604030504040204"/>
    <w:charset w:val="88"/>
    <w:family w:val="swiss"/>
    <w:pitch w:val="default"/>
    <w:sig w:usb0="000002A7" w:usb1="28CF4400" w:usb2="00000016" w:usb3="00000000" w:csb0="00100009"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AA3CA0"/>
    <w:rsid w:val="1FAA3CA0"/>
    <w:rsid w:val="41F813AB"/>
    <w:rsid w:val="5791458A"/>
    <w:rsid w:val="74C335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Table Paragraph"/>
    <w:basedOn w:val="1"/>
    <w:qFormat/>
    <w:uiPriority w:val="1"/>
    <w:pPr>
      <w:jc w:val="left"/>
    </w:pPr>
    <w:rPr>
      <w:kern w:val="0"/>
      <w:sz w:val="22"/>
      <w:lang w:eastAsia="en-US"/>
    </w:rPr>
  </w:style>
  <w:style w:type="table" w:customStyle="1" w:styleId="5">
    <w:name w:val="Table Normal"/>
    <w:semiHidden/>
    <w:unhideWhenUsed/>
    <w:qFormat/>
    <w:uiPriority w:val="2"/>
    <w:pPr>
      <w:widowControl w:val="0"/>
    </w:pPr>
    <w:rPr>
      <w:sz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Office_11.1.0.10009_F1E327BC-269C-435d-A152-05C5408002CA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2024-01-26T02:35:00Z</dcterms:created>
  <dc:creator>大白兔的小草莓</dc:creator>
  <cp:lastModifiedBy>大白兔的小草莓</cp:lastModifiedBy>
  <cp:lastPrinted>2024-01-26T07:23:22Z</cp:lastPrinted>
  <dcterms:modified xsi:type="dcterms:W3CDTF">2024-01-26T07:27:25Z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2052-11.1.0.10009</vt:lpwstr>
  </property>
  <property fmtid="{D5CDD505-2E9C-101B-9397-08002B2CF9AE}" pid="3" name="ICV">
    <vt:lpwstr>FC5F4A44219C405F8FD71AA18C56EB8A</vt:lpwstr>
  </property>
</Properties>
</file>