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053879">
      <w:pPr>
        <w:jc w:val="center"/>
        <w:rPr>
          <w:rFonts w:ascii="方正小标宋简体" w:hAnsi="黑体" w:eastAsia="方正小标宋简体" w:cs="宋体"/>
          <w:color w:val="000000"/>
          <w:kern w:val="0"/>
          <w:sz w:val="48"/>
          <w:szCs w:val="48"/>
        </w:rPr>
      </w:pPr>
      <w:r>
        <w:rPr>
          <w:rFonts w:hint="eastAsia" w:ascii="方正小标宋简体" w:hAnsi="黑体" w:eastAsia="方正小标宋简体" w:cs="宋体"/>
          <w:color w:val="000000"/>
          <w:kern w:val="0"/>
          <w:sz w:val="48"/>
          <w:szCs w:val="48"/>
          <w:lang w:val="en-US" w:eastAsia="zh-CN"/>
        </w:rPr>
        <w:t>荣成市</w:t>
      </w:r>
      <w:r>
        <w:rPr>
          <w:rFonts w:hint="eastAsia" w:ascii="方正小标宋简体" w:hAnsi="黑体" w:eastAsia="方正小标宋简体" w:cs="宋体"/>
          <w:color w:val="000000"/>
          <w:kern w:val="0"/>
          <w:sz w:val="48"/>
          <w:szCs w:val="48"/>
          <w:lang w:eastAsia="zh-CN"/>
        </w:rPr>
        <w:t>教育</w:t>
      </w:r>
      <w:r>
        <w:rPr>
          <w:rFonts w:hint="eastAsia" w:ascii="方正小标宋简体" w:hAnsi="黑体" w:eastAsia="方正小标宋简体" w:cs="宋体"/>
          <w:color w:val="000000"/>
          <w:kern w:val="0"/>
          <w:sz w:val="48"/>
          <w:szCs w:val="48"/>
          <w:lang w:val="en-US" w:eastAsia="zh-CN"/>
        </w:rPr>
        <w:t>和体育</w:t>
      </w:r>
      <w:r>
        <w:rPr>
          <w:rFonts w:hint="eastAsia" w:ascii="方正小标宋简体" w:hAnsi="黑体" w:eastAsia="方正小标宋简体" w:cs="宋体"/>
          <w:color w:val="000000"/>
          <w:kern w:val="0"/>
          <w:sz w:val="48"/>
          <w:szCs w:val="48"/>
          <w:lang w:eastAsia="zh-CN"/>
        </w:rPr>
        <w:t>局</w:t>
      </w:r>
      <w:r>
        <w:rPr>
          <w:rFonts w:hint="eastAsia" w:ascii="方正小标宋简体" w:hAnsi="黑体" w:eastAsia="方正小标宋简体" w:cs="宋体"/>
          <w:color w:val="000000"/>
          <w:kern w:val="0"/>
          <w:sz w:val="48"/>
          <w:szCs w:val="48"/>
        </w:rPr>
        <w:t>“双随机</w:t>
      </w:r>
      <w:r>
        <w:rPr>
          <w:rFonts w:hint="eastAsia" w:ascii="方正小标宋简体" w:hAnsi="黑体" w:eastAsia="方正小标宋简体" w:cs="宋体"/>
          <w:color w:val="000000"/>
          <w:kern w:val="0"/>
          <w:sz w:val="48"/>
          <w:szCs w:val="48"/>
          <w:lang w:eastAsia="zh-CN"/>
        </w:rPr>
        <w:t>、</w:t>
      </w:r>
      <w:r>
        <w:rPr>
          <w:rFonts w:hint="eastAsia" w:ascii="方正小标宋简体" w:hAnsi="黑体" w:eastAsia="方正小标宋简体" w:cs="宋体"/>
          <w:color w:val="000000"/>
          <w:kern w:val="0"/>
          <w:sz w:val="48"/>
          <w:szCs w:val="48"/>
        </w:rPr>
        <w:t>一公开” 监管随机抽查事项清单</w:t>
      </w:r>
    </w:p>
    <w:p w14:paraId="6479538F">
      <w:pPr>
        <w:ind w:left="98" w:leftChars="-328" w:hanging="787" w:hangingChars="328"/>
        <w:rPr>
          <w:rFonts w:ascii="汉仪书宋一简" w:hAnsi="等线" w:eastAsia="汉仪书宋一简"/>
          <w:color w:val="000000"/>
          <w:sz w:val="24"/>
        </w:rPr>
      </w:pPr>
      <w:r>
        <w:rPr>
          <w:rFonts w:hint="eastAsia" w:ascii="汉仪书宋一简" w:eastAsia="汉仪书宋一简"/>
          <w:color w:val="000000"/>
          <w:sz w:val="24"/>
        </w:rPr>
        <w:t xml:space="preserve">                                                                       </w:t>
      </w:r>
    </w:p>
    <w:tbl>
      <w:tblPr>
        <w:tblStyle w:val="5"/>
        <w:tblW w:w="15298" w:type="dxa"/>
        <w:tblInd w:w="-87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
        <w:gridCol w:w="1018"/>
        <w:gridCol w:w="954"/>
        <w:gridCol w:w="1572"/>
        <w:gridCol w:w="1134"/>
        <w:gridCol w:w="1418"/>
        <w:gridCol w:w="1559"/>
        <w:gridCol w:w="1559"/>
        <w:gridCol w:w="5670"/>
      </w:tblGrid>
      <w:tr w14:paraId="1798F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14" w:type="dxa"/>
            <w:tcBorders>
              <w:top w:val="single" w:color="auto" w:sz="4" w:space="0"/>
              <w:left w:val="single" w:color="auto" w:sz="4" w:space="0"/>
              <w:bottom w:val="single" w:color="auto" w:sz="4" w:space="0"/>
              <w:right w:val="single" w:color="auto" w:sz="4" w:space="0"/>
            </w:tcBorders>
            <w:vAlign w:val="center"/>
          </w:tcPr>
          <w:p w14:paraId="6AC1AA91">
            <w:pPr>
              <w:widowControl/>
              <w:spacing w:line="340" w:lineRule="exact"/>
              <w:jc w:val="center"/>
              <w:rPr>
                <w:rFonts w:ascii="黑体" w:hAnsi="黑体" w:eastAsia="黑体" w:cs="宋体"/>
                <w:color w:val="000000"/>
                <w:kern w:val="0"/>
                <w:sz w:val="24"/>
              </w:rPr>
            </w:pPr>
            <w:r>
              <w:rPr>
                <w:rFonts w:hint="eastAsia" w:ascii="黑体" w:hAnsi="黑体" w:eastAsia="黑体" w:cs="宋体"/>
                <w:color w:val="000000"/>
                <w:kern w:val="0"/>
                <w:sz w:val="24"/>
              </w:rPr>
              <w:t>序号</w:t>
            </w:r>
          </w:p>
        </w:tc>
        <w:tc>
          <w:tcPr>
            <w:tcW w:w="1018" w:type="dxa"/>
            <w:tcBorders>
              <w:top w:val="single" w:color="auto" w:sz="4" w:space="0"/>
              <w:left w:val="single" w:color="auto" w:sz="4" w:space="0"/>
              <w:bottom w:val="single" w:color="auto" w:sz="4" w:space="0"/>
              <w:right w:val="single" w:color="auto" w:sz="4" w:space="0"/>
            </w:tcBorders>
            <w:vAlign w:val="center"/>
          </w:tcPr>
          <w:p w14:paraId="2FCFC39D">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抽查事项</w:t>
            </w:r>
          </w:p>
        </w:tc>
        <w:tc>
          <w:tcPr>
            <w:tcW w:w="954" w:type="dxa"/>
            <w:tcBorders>
              <w:top w:val="single" w:color="auto" w:sz="4" w:space="0"/>
              <w:left w:val="single" w:color="auto" w:sz="4" w:space="0"/>
              <w:bottom w:val="single" w:color="auto" w:sz="4" w:space="0"/>
              <w:right w:val="single" w:color="auto" w:sz="4" w:space="0"/>
            </w:tcBorders>
            <w:vAlign w:val="center"/>
          </w:tcPr>
          <w:p w14:paraId="56136B1C">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tc>
        <w:tc>
          <w:tcPr>
            <w:tcW w:w="1572" w:type="dxa"/>
            <w:tcBorders>
              <w:top w:val="single" w:color="auto" w:sz="4" w:space="0"/>
              <w:left w:val="single" w:color="auto" w:sz="4" w:space="0"/>
              <w:bottom w:val="single" w:color="auto" w:sz="4" w:space="0"/>
              <w:right w:val="single" w:color="auto" w:sz="4" w:space="0"/>
            </w:tcBorders>
            <w:vAlign w:val="center"/>
          </w:tcPr>
          <w:p w14:paraId="045DDC3D">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抽查内容</w:t>
            </w:r>
          </w:p>
        </w:tc>
        <w:tc>
          <w:tcPr>
            <w:tcW w:w="1134" w:type="dxa"/>
            <w:tcBorders>
              <w:top w:val="single" w:color="auto" w:sz="4" w:space="0"/>
              <w:left w:val="single" w:color="auto" w:sz="4" w:space="0"/>
              <w:bottom w:val="single" w:color="auto" w:sz="4" w:space="0"/>
              <w:right w:val="single" w:color="auto" w:sz="4" w:space="0"/>
            </w:tcBorders>
            <w:vAlign w:val="center"/>
          </w:tcPr>
          <w:p w14:paraId="10C9EEE9">
            <w:pPr>
              <w:widowControl/>
              <w:spacing w:line="340" w:lineRule="exact"/>
              <w:rPr>
                <w:rFonts w:ascii="黑体" w:hAnsi="黑体" w:eastAsia="黑体" w:cs="宋体"/>
                <w:bCs/>
                <w:color w:val="000000"/>
                <w:kern w:val="0"/>
                <w:sz w:val="24"/>
              </w:rPr>
            </w:pPr>
            <w:r>
              <w:rPr>
                <w:rFonts w:hint="eastAsia" w:ascii="黑体" w:hAnsi="黑体" w:eastAsia="黑体" w:cs="宋体"/>
                <w:bCs/>
                <w:color w:val="000000"/>
                <w:kern w:val="0"/>
                <w:sz w:val="24"/>
              </w:rPr>
              <w:t>事项类别</w:t>
            </w:r>
          </w:p>
        </w:tc>
        <w:tc>
          <w:tcPr>
            <w:tcW w:w="1418" w:type="dxa"/>
            <w:tcBorders>
              <w:top w:val="single" w:color="auto" w:sz="4" w:space="0"/>
              <w:left w:val="single" w:color="auto" w:sz="4" w:space="0"/>
              <w:bottom w:val="single" w:color="auto" w:sz="4" w:space="0"/>
              <w:right w:val="single" w:color="auto" w:sz="4" w:space="0"/>
            </w:tcBorders>
            <w:vAlign w:val="center"/>
          </w:tcPr>
          <w:p w14:paraId="268798FE">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抽查方式</w:t>
            </w:r>
          </w:p>
        </w:tc>
        <w:tc>
          <w:tcPr>
            <w:tcW w:w="1559" w:type="dxa"/>
            <w:tcBorders>
              <w:top w:val="single" w:color="auto" w:sz="4" w:space="0"/>
              <w:left w:val="single" w:color="auto" w:sz="4" w:space="0"/>
              <w:bottom w:val="single" w:color="auto" w:sz="4" w:space="0"/>
              <w:right w:val="single" w:color="auto" w:sz="4" w:space="0"/>
            </w:tcBorders>
            <w:vAlign w:val="center"/>
          </w:tcPr>
          <w:p w14:paraId="6C5E9DA9">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抽查比例和频次</w:t>
            </w:r>
          </w:p>
        </w:tc>
        <w:tc>
          <w:tcPr>
            <w:tcW w:w="1559" w:type="dxa"/>
            <w:tcBorders>
              <w:top w:val="single" w:color="auto" w:sz="4" w:space="0"/>
              <w:left w:val="single" w:color="auto" w:sz="4" w:space="0"/>
              <w:bottom w:val="single" w:color="auto" w:sz="4" w:space="0"/>
              <w:right w:val="single" w:color="auto" w:sz="4" w:space="0"/>
            </w:tcBorders>
            <w:vAlign w:val="center"/>
          </w:tcPr>
          <w:p w14:paraId="40159419">
            <w:pPr>
              <w:widowControl/>
              <w:spacing w:line="340" w:lineRule="exact"/>
              <w:rPr>
                <w:rFonts w:ascii="黑体" w:hAnsi="黑体" w:eastAsia="黑体" w:cs="宋体"/>
                <w:bCs/>
                <w:color w:val="000000"/>
                <w:kern w:val="0"/>
                <w:sz w:val="24"/>
              </w:rPr>
            </w:pPr>
            <w:r>
              <w:rPr>
                <w:rFonts w:hint="eastAsia" w:ascii="黑体" w:hAnsi="黑体" w:eastAsia="黑体" w:cs="宋体"/>
                <w:bCs/>
                <w:color w:val="000000"/>
                <w:kern w:val="0"/>
                <w:sz w:val="24"/>
              </w:rPr>
              <w:t>检查部门级实施层级</w:t>
            </w:r>
          </w:p>
        </w:tc>
        <w:tc>
          <w:tcPr>
            <w:tcW w:w="5670" w:type="dxa"/>
            <w:tcBorders>
              <w:top w:val="single" w:color="auto" w:sz="4" w:space="0"/>
              <w:left w:val="single" w:color="auto" w:sz="4" w:space="0"/>
              <w:bottom w:val="single" w:color="auto" w:sz="4" w:space="0"/>
              <w:right w:val="single" w:color="auto" w:sz="4" w:space="0"/>
            </w:tcBorders>
            <w:vAlign w:val="center"/>
          </w:tcPr>
          <w:p w14:paraId="728D3048">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抽查依据</w:t>
            </w:r>
          </w:p>
        </w:tc>
      </w:tr>
      <w:tr w14:paraId="4A42F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4" w:hRule="atLeast"/>
        </w:trPr>
        <w:tc>
          <w:tcPr>
            <w:tcW w:w="414" w:type="dxa"/>
            <w:tcBorders>
              <w:top w:val="single" w:color="auto" w:sz="4" w:space="0"/>
              <w:left w:val="single" w:color="auto" w:sz="4" w:space="0"/>
              <w:bottom w:val="single" w:color="auto" w:sz="4" w:space="0"/>
              <w:right w:val="single" w:color="auto" w:sz="4" w:space="0"/>
            </w:tcBorders>
            <w:vAlign w:val="center"/>
          </w:tcPr>
          <w:p w14:paraId="3E8A1C9E">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1</w:t>
            </w:r>
          </w:p>
        </w:tc>
        <w:tc>
          <w:tcPr>
            <w:tcW w:w="1018" w:type="dxa"/>
            <w:tcBorders>
              <w:top w:val="single" w:color="auto" w:sz="4" w:space="0"/>
              <w:left w:val="single" w:color="auto" w:sz="4" w:space="0"/>
              <w:bottom w:val="single" w:color="auto" w:sz="4" w:space="0"/>
              <w:right w:val="single" w:color="auto" w:sz="4" w:space="0"/>
            </w:tcBorders>
            <w:vAlign w:val="center"/>
          </w:tcPr>
          <w:p w14:paraId="3C7A9EDB">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中小学教学和教辅用书检查</w:t>
            </w:r>
          </w:p>
        </w:tc>
        <w:tc>
          <w:tcPr>
            <w:tcW w:w="954" w:type="dxa"/>
            <w:tcBorders>
              <w:top w:val="single" w:color="auto" w:sz="4" w:space="0"/>
              <w:left w:val="single" w:color="auto" w:sz="4" w:space="0"/>
              <w:bottom w:val="single" w:color="auto" w:sz="4" w:space="0"/>
              <w:right w:val="single" w:color="auto" w:sz="4" w:space="0"/>
            </w:tcBorders>
            <w:vAlign w:val="center"/>
          </w:tcPr>
          <w:p w14:paraId="42A78C9F">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市、县教育行政部门和中小学校</w:t>
            </w:r>
          </w:p>
        </w:tc>
        <w:tc>
          <w:tcPr>
            <w:tcW w:w="1572" w:type="dxa"/>
            <w:tcBorders>
              <w:top w:val="single" w:color="auto" w:sz="4" w:space="0"/>
              <w:left w:val="single" w:color="auto" w:sz="4" w:space="0"/>
              <w:bottom w:val="single" w:color="auto" w:sz="4" w:space="0"/>
              <w:right w:val="single" w:color="auto" w:sz="4" w:space="0"/>
            </w:tcBorders>
            <w:vAlign w:val="center"/>
          </w:tcPr>
          <w:p w14:paraId="05DC36CA">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中小学教材和教辅材料选用、管理及使用是否符合要求</w:t>
            </w:r>
          </w:p>
        </w:tc>
        <w:tc>
          <w:tcPr>
            <w:tcW w:w="1134" w:type="dxa"/>
            <w:tcBorders>
              <w:top w:val="single" w:color="auto" w:sz="4" w:space="0"/>
              <w:left w:val="single" w:color="auto" w:sz="4" w:space="0"/>
              <w:bottom w:val="single" w:color="auto" w:sz="4" w:space="0"/>
              <w:right w:val="single" w:color="auto" w:sz="4" w:space="0"/>
            </w:tcBorders>
            <w:vAlign w:val="center"/>
          </w:tcPr>
          <w:p w14:paraId="3A94683E">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30F61508">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现场检查、网络检查</w:t>
            </w:r>
          </w:p>
        </w:tc>
        <w:tc>
          <w:tcPr>
            <w:tcW w:w="1559" w:type="dxa"/>
            <w:tcBorders>
              <w:top w:val="single" w:color="auto" w:sz="4" w:space="0"/>
              <w:left w:val="single" w:color="auto" w:sz="4" w:space="0"/>
              <w:bottom w:val="single" w:color="auto" w:sz="4" w:space="0"/>
              <w:right w:val="single" w:color="auto" w:sz="4" w:space="0"/>
            </w:tcBorders>
            <w:vAlign w:val="center"/>
          </w:tcPr>
          <w:p w14:paraId="61775455">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全年抽查比例不低于5%，抽查频次根据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color w:val="000000"/>
                <w:kern w:val="0"/>
                <w:sz w:val="24"/>
                <w:lang w:bidi="ar"/>
              </w:rPr>
              <w:t>监管需要确定</w:t>
            </w:r>
          </w:p>
        </w:tc>
        <w:tc>
          <w:tcPr>
            <w:tcW w:w="1559" w:type="dxa"/>
            <w:tcBorders>
              <w:top w:val="single" w:color="auto" w:sz="4" w:space="0"/>
              <w:left w:val="single" w:color="auto" w:sz="4" w:space="0"/>
              <w:bottom w:val="single" w:color="auto" w:sz="4" w:space="0"/>
              <w:right w:val="single" w:color="auto" w:sz="4" w:space="0"/>
            </w:tcBorders>
            <w:vAlign w:val="center"/>
          </w:tcPr>
          <w:p w14:paraId="6D95C357">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市、县教育行政部门、新闻出版部门、发改部门</w:t>
            </w:r>
          </w:p>
        </w:tc>
        <w:tc>
          <w:tcPr>
            <w:tcW w:w="5670" w:type="dxa"/>
            <w:tcBorders>
              <w:top w:val="single" w:color="auto" w:sz="4" w:space="0"/>
              <w:left w:val="single" w:color="auto" w:sz="4" w:space="0"/>
              <w:bottom w:val="single" w:color="auto" w:sz="4" w:space="0"/>
              <w:right w:val="single" w:color="auto" w:sz="4" w:space="0"/>
            </w:tcBorders>
            <w:vAlign w:val="center"/>
          </w:tcPr>
          <w:p w14:paraId="7664EF8B">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《山东省义务教育条例》（2009年11月通过）第五十五条：“实行教科书审定制度。地方课程使用的教科书必须经省人民</w:t>
            </w:r>
            <w:bookmarkStart w:id="0" w:name="_GoBack"/>
            <w:bookmarkEnd w:id="0"/>
            <w:r>
              <w:rPr>
                <w:rFonts w:hint="eastAsia" w:ascii="仿宋_GB2312" w:hAnsi="宋体" w:eastAsia="仿宋_GB2312" w:cs="宋体"/>
                <w:color w:val="000000"/>
                <w:kern w:val="0"/>
                <w:sz w:val="24"/>
                <w:lang w:bidi="ar"/>
              </w:rPr>
              <w:t>政府教育行政部门组织审定。未经依法审定的教科书不得出版、选用”。《国家新闻出版广电总局 教育部 国家发展改革委关于印发&lt;中小学教辅材料管理办法&gt;的通知》（新广出发〔2015〕45号）“各省、自治区、直辖市教育行政主管部门会同新闻出版行政主管部门、价格主管部门加强对中小学教辅材料使用的指导”。</w:t>
            </w:r>
          </w:p>
        </w:tc>
      </w:tr>
      <w:tr w14:paraId="468A1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4" w:hRule="atLeast"/>
        </w:trPr>
        <w:tc>
          <w:tcPr>
            <w:tcW w:w="414" w:type="dxa"/>
            <w:tcBorders>
              <w:top w:val="single" w:color="auto" w:sz="4" w:space="0"/>
              <w:left w:val="single" w:color="auto" w:sz="4" w:space="0"/>
              <w:bottom w:val="single" w:color="auto" w:sz="4" w:space="0"/>
              <w:right w:val="single" w:color="auto" w:sz="4" w:space="0"/>
            </w:tcBorders>
            <w:vAlign w:val="center"/>
          </w:tcPr>
          <w:p w14:paraId="76C15D5F">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2</w:t>
            </w:r>
          </w:p>
        </w:tc>
        <w:tc>
          <w:tcPr>
            <w:tcW w:w="1018" w:type="dxa"/>
            <w:tcBorders>
              <w:top w:val="single" w:color="auto" w:sz="4" w:space="0"/>
              <w:left w:val="single" w:color="auto" w:sz="4" w:space="0"/>
              <w:bottom w:val="single" w:color="auto" w:sz="4" w:space="0"/>
              <w:right w:val="single" w:color="auto" w:sz="4" w:space="0"/>
            </w:tcBorders>
            <w:vAlign w:val="center"/>
          </w:tcPr>
          <w:p w14:paraId="63875F42">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中小学规范办学行为检查</w:t>
            </w:r>
          </w:p>
        </w:tc>
        <w:tc>
          <w:tcPr>
            <w:tcW w:w="954" w:type="dxa"/>
            <w:tcBorders>
              <w:top w:val="single" w:color="auto" w:sz="4" w:space="0"/>
              <w:left w:val="single" w:color="auto" w:sz="4" w:space="0"/>
              <w:bottom w:val="single" w:color="auto" w:sz="4" w:space="0"/>
              <w:right w:val="single" w:color="auto" w:sz="4" w:space="0"/>
            </w:tcBorders>
            <w:vAlign w:val="center"/>
          </w:tcPr>
          <w:p w14:paraId="29408F03">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市、县教育行政部门和中小学校</w:t>
            </w:r>
          </w:p>
        </w:tc>
        <w:tc>
          <w:tcPr>
            <w:tcW w:w="1572" w:type="dxa"/>
            <w:tcBorders>
              <w:top w:val="single" w:color="auto" w:sz="4" w:space="0"/>
              <w:left w:val="single" w:color="auto" w:sz="4" w:space="0"/>
              <w:bottom w:val="single" w:color="auto" w:sz="4" w:space="0"/>
              <w:right w:val="single" w:color="auto" w:sz="4" w:space="0"/>
            </w:tcBorders>
            <w:vAlign w:val="center"/>
          </w:tcPr>
          <w:p w14:paraId="65C2B8EC">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市、县教育行政部门管理教育、中小学教育组织教学等办学行为是否符合要求</w:t>
            </w:r>
          </w:p>
        </w:tc>
        <w:tc>
          <w:tcPr>
            <w:tcW w:w="1134" w:type="dxa"/>
            <w:tcBorders>
              <w:top w:val="single" w:color="auto" w:sz="4" w:space="0"/>
              <w:left w:val="single" w:color="auto" w:sz="4" w:space="0"/>
              <w:bottom w:val="single" w:color="auto" w:sz="4" w:space="0"/>
              <w:right w:val="single" w:color="auto" w:sz="4" w:space="0"/>
            </w:tcBorders>
            <w:vAlign w:val="center"/>
          </w:tcPr>
          <w:p w14:paraId="72376134">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10865928">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现场检查、网络检查</w:t>
            </w:r>
          </w:p>
        </w:tc>
        <w:tc>
          <w:tcPr>
            <w:tcW w:w="1559" w:type="dxa"/>
            <w:tcBorders>
              <w:top w:val="single" w:color="auto" w:sz="4" w:space="0"/>
              <w:left w:val="single" w:color="auto" w:sz="4" w:space="0"/>
              <w:bottom w:val="single" w:color="auto" w:sz="4" w:space="0"/>
              <w:right w:val="single" w:color="auto" w:sz="4" w:space="0"/>
            </w:tcBorders>
            <w:vAlign w:val="center"/>
          </w:tcPr>
          <w:p w14:paraId="08CFCCA5">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全年抽查比例不低于5%，抽查频次根据根据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color w:val="000000"/>
                <w:kern w:val="0"/>
                <w:sz w:val="24"/>
                <w:lang w:bidi="ar"/>
              </w:rPr>
              <w:t>监管需要确定</w:t>
            </w:r>
          </w:p>
        </w:tc>
        <w:tc>
          <w:tcPr>
            <w:tcW w:w="1559" w:type="dxa"/>
            <w:tcBorders>
              <w:top w:val="single" w:color="auto" w:sz="4" w:space="0"/>
              <w:left w:val="single" w:color="auto" w:sz="4" w:space="0"/>
              <w:bottom w:val="single" w:color="auto" w:sz="4" w:space="0"/>
              <w:right w:val="single" w:color="auto" w:sz="4" w:space="0"/>
            </w:tcBorders>
            <w:vAlign w:val="center"/>
          </w:tcPr>
          <w:p w14:paraId="51FDB8BF">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市、县教育行政部门</w:t>
            </w:r>
          </w:p>
        </w:tc>
        <w:tc>
          <w:tcPr>
            <w:tcW w:w="5670" w:type="dxa"/>
            <w:tcBorders>
              <w:top w:val="single" w:color="auto" w:sz="4" w:space="0"/>
              <w:left w:val="single" w:color="auto" w:sz="4" w:space="0"/>
              <w:bottom w:val="single" w:color="auto" w:sz="4" w:space="0"/>
              <w:right w:val="single" w:color="auto" w:sz="4" w:space="0"/>
            </w:tcBorders>
            <w:vAlign w:val="center"/>
          </w:tcPr>
          <w:p w14:paraId="24E823BB">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山东省义务教育条例》第五十二条：“学校应当严格执行国家课程方案和省制定的课程计划，保证国家课程、地方课程和学校课程的开设，不得随意调整课程或者增加、减少课时；不得挤占体育、艺术、实验、综合实践活动课时。”《山东省对违规从事普通中小学办学行为责任追究办法》（省政府令第255号）：“各级人民政府及有关部门、普通中小学及其工作人员违反教育及相关法律、法规、规章和政策规定的办学行为，依照本办法追究责任。”</w:t>
            </w:r>
          </w:p>
        </w:tc>
      </w:tr>
      <w:tr w14:paraId="71327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4" w:hRule="atLeast"/>
        </w:trPr>
        <w:tc>
          <w:tcPr>
            <w:tcW w:w="414" w:type="dxa"/>
            <w:tcBorders>
              <w:top w:val="single" w:color="auto" w:sz="4" w:space="0"/>
              <w:left w:val="single" w:color="auto" w:sz="4" w:space="0"/>
              <w:bottom w:val="single" w:color="auto" w:sz="4" w:space="0"/>
              <w:right w:val="single" w:color="auto" w:sz="4" w:space="0"/>
            </w:tcBorders>
            <w:vAlign w:val="center"/>
          </w:tcPr>
          <w:p w14:paraId="6D400053">
            <w:pPr>
              <w:jc w:val="center"/>
              <w:rPr>
                <w:rFonts w:ascii="仿宋_GB2312" w:hAnsi="宋体" w:eastAsia="仿宋_GB2312" w:cs="宋体"/>
                <w:kern w:val="0"/>
                <w:sz w:val="24"/>
              </w:rPr>
            </w:pPr>
            <w:r>
              <w:rPr>
                <w:rFonts w:hint="eastAsia" w:ascii="仿宋_GB2312" w:eastAsia="仿宋_GB2312"/>
                <w:sz w:val="24"/>
              </w:rPr>
              <w:t>3</w:t>
            </w:r>
          </w:p>
        </w:tc>
        <w:tc>
          <w:tcPr>
            <w:tcW w:w="1018" w:type="dxa"/>
            <w:tcBorders>
              <w:top w:val="single" w:color="auto" w:sz="4" w:space="0"/>
              <w:left w:val="single" w:color="auto" w:sz="4" w:space="0"/>
              <w:bottom w:val="single" w:color="auto" w:sz="4" w:space="0"/>
              <w:right w:val="single" w:color="auto" w:sz="4" w:space="0"/>
            </w:tcBorders>
            <w:vAlign w:val="center"/>
          </w:tcPr>
          <w:p w14:paraId="45BD28FB">
            <w:pPr>
              <w:jc w:val="center"/>
              <w:rPr>
                <w:rFonts w:ascii="仿宋_GB2312" w:hAnsi="宋体" w:eastAsia="仿宋_GB2312" w:cs="宋体"/>
                <w:kern w:val="0"/>
                <w:sz w:val="24"/>
              </w:rPr>
            </w:pPr>
            <w:r>
              <w:rPr>
                <w:rFonts w:hint="eastAsia" w:ascii="仿宋_GB2312" w:hAnsi="仿宋_GB2312" w:eastAsia="仿宋_GB2312" w:cs="仿宋_GB2312"/>
                <w:sz w:val="24"/>
              </w:rPr>
              <w:t>校外培训机构办学情况检查</w:t>
            </w:r>
          </w:p>
        </w:tc>
        <w:tc>
          <w:tcPr>
            <w:tcW w:w="954" w:type="dxa"/>
            <w:tcBorders>
              <w:top w:val="single" w:color="auto" w:sz="4" w:space="0"/>
              <w:left w:val="single" w:color="auto" w:sz="4" w:space="0"/>
              <w:bottom w:val="single" w:color="auto" w:sz="4" w:space="0"/>
              <w:right w:val="single" w:color="auto" w:sz="4" w:space="0"/>
            </w:tcBorders>
            <w:vAlign w:val="center"/>
          </w:tcPr>
          <w:p w14:paraId="732DC372">
            <w:pPr>
              <w:jc w:val="center"/>
              <w:rPr>
                <w:rFonts w:ascii="仿宋_GB2312" w:hAnsi="宋体" w:eastAsia="仿宋_GB2312" w:cs="宋体"/>
                <w:kern w:val="0"/>
                <w:sz w:val="24"/>
              </w:rPr>
            </w:pPr>
            <w:r>
              <w:rPr>
                <w:rFonts w:hint="eastAsia" w:ascii="仿宋_GB2312" w:hAnsi="仿宋_GB2312" w:eastAsia="仿宋_GB2312" w:cs="仿宋_GB2312"/>
                <w:sz w:val="24"/>
              </w:rPr>
              <w:t>校外培训机构</w:t>
            </w:r>
          </w:p>
        </w:tc>
        <w:tc>
          <w:tcPr>
            <w:tcW w:w="1572" w:type="dxa"/>
            <w:tcBorders>
              <w:top w:val="single" w:color="auto" w:sz="4" w:space="0"/>
              <w:left w:val="single" w:color="auto" w:sz="4" w:space="0"/>
              <w:bottom w:val="single" w:color="auto" w:sz="4" w:space="0"/>
              <w:right w:val="single" w:color="auto" w:sz="4" w:space="0"/>
            </w:tcBorders>
            <w:vAlign w:val="center"/>
          </w:tcPr>
          <w:p w14:paraId="240AC27B">
            <w:pPr>
              <w:jc w:val="center"/>
              <w:rPr>
                <w:rFonts w:ascii="仿宋_GB2312" w:hAnsi="宋体" w:eastAsia="仿宋_GB2312" w:cs="宋体"/>
                <w:kern w:val="0"/>
                <w:sz w:val="24"/>
              </w:rPr>
            </w:pPr>
            <w:r>
              <w:rPr>
                <w:rFonts w:hint="eastAsia" w:ascii="仿宋_GB2312" w:hAnsi="仿宋_GB2312" w:eastAsia="仿宋_GB2312" w:cs="仿宋_GB2312"/>
                <w:sz w:val="24"/>
              </w:rPr>
              <w:t>在各自职责范围内对校外培训机构办学行为、办学内容等进行检查</w:t>
            </w:r>
          </w:p>
        </w:tc>
        <w:tc>
          <w:tcPr>
            <w:tcW w:w="1134" w:type="dxa"/>
            <w:tcBorders>
              <w:top w:val="single" w:color="auto" w:sz="4" w:space="0"/>
              <w:left w:val="single" w:color="auto" w:sz="4" w:space="0"/>
              <w:bottom w:val="single" w:color="auto" w:sz="4" w:space="0"/>
              <w:right w:val="single" w:color="auto" w:sz="4" w:space="0"/>
            </w:tcBorders>
            <w:vAlign w:val="center"/>
          </w:tcPr>
          <w:p w14:paraId="48C7BB7F">
            <w:pPr>
              <w:jc w:val="center"/>
              <w:rPr>
                <w:rFonts w:ascii="仿宋_GB2312" w:hAnsi="宋体" w:eastAsia="仿宋_GB2312" w:cs="宋体"/>
                <w:kern w:val="0"/>
                <w:sz w:val="24"/>
              </w:rPr>
            </w:pPr>
            <w:r>
              <w:rPr>
                <w:rFonts w:hint="eastAsia" w:ascii="仿宋_GB2312" w:hAnsi="仿宋_GB2312" w:eastAsia="仿宋_GB2312" w:cs="仿宋_GB2312"/>
                <w:sz w:val="24"/>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4BDF4633">
            <w:pPr>
              <w:jc w:val="left"/>
              <w:rPr>
                <w:rFonts w:ascii="仿宋_GB2312" w:hAnsi="宋体" w:eastAsia="仿宋_GB2312" w:cs="宋体"/>
                <w:kern w:val="0"/>
                <w:sz w:val="24"/>
              </w:rPr>
            </w:pPr>
            <w:r>
              <w:rPr>
                <w:rFonts w:hint="eastAsia" w:ascii="仿宋_GB2312" w:hAnsi="仿宋_GB2312" w:eastAsia="仿宋_GB2312" w:cs="仿宋_GB2312"/>
                <w:sz w:val="24"/>
              </w:rPr>
              <w:t>书面检查、现场检查</w:t>
            </w:r>
          </w:p>
        </w:tc>
        <w:tc>
          <w:tcPr>
            <w:tcW w:w="1559" w:type="dxa"/>
            <w:tcBorders>
              <w:top w:val="single" w:color="auto" w:sz="4" w:space="0"/>
              <w:left w:val="single" w:color="auto" w:sz="4" w:space="0"/>
              <w:bottom w:val="single" w:color="auto" w:sz="4" w:space="0"/>
              <w:right w:val="single" w:color="auto" w:sz="4" w:space="0"/>
            </w:tcBorders>
            <w:vAlign w:val="center"/>
          </w:tcPr>
          <w:p w14:paraId="780E43C9">
            <w:pPr>
              <w:jc w:val="left"/>
              <w:rPr>
                <w:rFonts w:ascii="仿宋_GB2312" w:hAnsi="宋体" w:eastAsia="仿宋_GB2312" w:cs="宋体"/>
                <w:kern w:val="0"/>
                <w:sz w:val="24"/>
              </w:rPr>
            </w:pPr>
            <w:r>
              <w:rPr>
                <w:rFonts w:hint="eastAsia" w:ascii="仿宋_GB2312" w:hAnsi="宋体" w:eastAsia="仿宋_GB2312" w:cs="宋体"/>
                <w:kern w:val="0"/>
                <w:sz w:val="24"/>
              </w:rPr>
              <w:t>全年抽查比例不低于5%，抽查频次根据</w:t>
            </w:r>
            <w:r>
              <w:rPr>
                <w:rFonts w:hint="eastAsia" w:ascii="仿宋_GB2312" w:hAnsi="宋体" w:eastAsia="仿宋_GB2312" w:cs="宋体"/>
                <w:color w:val="000000"/>
                <w:kern w:val="0"/>
                <w:sz w:val="24"/>
                <w:lang w:bidi="ar"/>
              </w:rPr>
              <w:t>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kern w:val="0"/>
                <w:sz w:val="24"/>
              </w:rPr>
              <w:t>监管需要确定</w:t>
            </w:r>
          </w:p>
        </w:tc>
        <w:tc>
          <w:tcPr>
            <w:tcW w:w="1559" w:type="dxa"/>
            <w:tcBorders>
              <w:top w:val="single" w:color="auto" w:sz="4" w:space="0"/>
              <w:left w:val="single" w:color="auto" w:sz="4" w:space="0"/>
              <w:bottom w:val="single" w:color="auto" w:sz="4" w:space="0"/>
              <w:right w:val="single" w:color="auto" w:sz="4" w:space="0"/>
            </w:tcBorders>
            <w:vAlign w:val="center"/>
          </w:tcPr>
          <w:p w14:paraId="1A6EE6B0">
            <w:pPr>
              <w:jc w:val="left"/>
              <w:rPr>
                <w:rFonts w:ascii="仿宋_GB2312" w:hAnsi="宋体" w:eastAsia="仿宋_GB2312" w:cs="宋体"/>
                <w:kern w:val="0"/>
                <w:sz w:val="24"/>
              </w:rPr>
            </w:pPr>
            <w:r>
              <w:rPr>
                <w:rFonts w:hint="eastAsia" w:ascii="仿宋_GB2312" w:hAnsi="仿宋_GB2312" w:eastAsia="仿宋_GB2312" w:cs="仿宋_GB2312"/>
                <w:sz w:val="24"/>
              </w:rPr>
              <w:t>县（市、区）教育行政、民政、人力资源社会保障、市场监管、公安、消防等部门</w:t>
            </w:r>
          </w:p>
        </w:tc>
        <w:tc>
          <w:tcPr>
            <w:tcW w:w="5670" w:type="dxa"/>
            <w:tcBorders>
              <w:top w:val="single" w:color="auto" w:sz="4" w:space="0"/>
              <w:left w:val="single" w:color="auto" w:sz="4" w:space="0"/>
              <w:bottom w:val="single" w:color="auto" w:sz="4" w:space="0"/>
              <w:right w:val="single" w:color="auto" w:sz="4" w:space="0"/>
            </w:tcBorders>
            <w:vAlign w:val="center"/>
          </w:tcPr>
          <w:p w14:paraId="60A01595">
            <w:pPr>
              <w:jc w:val="left"/>
              <w:rPr>
                <w:rFonts w:ascii="仿宋_GB2312" w:hAnsi="宋体" w:eastAsia="仿宋_GB2312" w:cs="宋体"/>
                <w:kern w:val="0"/>
                <w:sz w:val="24"/>
              </w:rPr>
            </w:pPr>
            <w:r>
              <w:rPr>
                <w:rFonts w:hint="eastAsia" w:ascii="仿宋_GB2312" w:hAnsi="仿宋_GB2312" w:eastAsia="仿宋_GB2312" w:cs="仿宋_GB2312"/>
                <w:color w:val="333333"/>
                <w:sz w:val="24"/>
                <w:shd w:val="clear" w:color="auto" w:fill="FFFFFF"/>
              </w:rPr>
              <w:t>《山东省学生体质健康促进条例》（2018年9月通过）第四十三条：“县级以上人民政府教育行政部门应当会同有关部门，对中小学生校外培训机构加强监督检查，规范其培训内容、进度、时限等事项，减轻中小学生课外负担。”</w:t>
            </w:r>
          </w:p>
        </w:tc>
      </w:tr>
      <w:tr w14:paraId="6D69D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414" w:type="dxa"/>
            <w:tcBorders>
              <w:top w:val="single" w:color="auto" w:sz="4" w:space="0"/>
              <w:left w:val="single" w:color="auto" w:sz="4" w:space="0"/>
              <w:bottom w:val="single" w:color="auto" w:sz="4" w:space="0"/>
              <w:right w:val="single" w:color="auto" w:sz="4" w:space="0"/>
            </w:tcBorders>
            <w:vAlign w:val="center"/>
          </w:tcPr>
          <w:p w14:paraId="3E22D822">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4</w:t>
            </w:r>
          </w:p>
        </w:tc>
        <w:tc>
          <w:tcPr>
            <w:tcW w:w="1018" w:type="dxa"/>
            <w:tcBorders>
              <w:top w:val="single" w:color="auto" w:sz="4" w:space="0"/>
              <w:left w:val="single" w:color="auto" w:sz="4" w:space="0"/>
              <w:bottom w:val="single" w:color="auto" w:sz="4" w:space="0"/>
              <w:right w:val="single" w:color="auto" w:sz="4" w:space="0"/>
            </w:tcBorders>
            <w:vAlign w:val="center"/>
          </w:tcPr>
          <w:p w14:paraId="40CB73CD">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高职扩招教学与学生管理工作检查</w:t>
            </w:r>
          </w:p>
        </w:tc>
        <w:tc>
          <w:tcPr>
            <w:tcW w:w="954" w:type="dxa"/>
            <w:tcBorders>
              <w:top w:val="single" w:color="auto" w:sz="4" w:space="0"/>
              <w:left w:val="single" w:color="auto" w:sz="4" w:space="0"/>
              <w:bottom w:val="single" w:color="auto" w:sz="4" w:space="0"/>
              <w:right w:val="single" w:color="auto" w:sz="4" w:space="0"/>
            </w:tcBorders>
            <w:vAlign w:val="center"/>
          </w:tcPr>
          <w:p w14:paraId="000E7A4F">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承担高职扩招任务的本科高校、高职院校</w:t>
            </w:r>
          </w:p>
        </w:tc>
        <w:tc>
          <w:tcPr>
            <w:tcW w:w="1572" w:type="dxa"/>
            <w:tcBorders>
              <w:top w:val="single" w:color="auto" w:sz="4" w:space="0"/>
              <w:left w:val="single" w:color="auto" w:sz="4" w:space="0"/>
              <w:bottom w:val="single" w:color="auto" w:sz="4" w:space="0"/>
              <w:right w:val="single" w:color="auto" w:sz="4" w:space="0"/>
            </w:tcBorders>
            <w:vAlign w:val="center"/>
          </w:tcPr>
          <w:p w14:paraId="62C4D356">
            <w:pPr>
              <w:widowControl/>
              <w:spacing w:line="400" w:lineRule="exact"/>
              <w:rPr>
                <w:rFonts w:ascii="仿宋_GB2312" w:hAnsi="宋体" w:eastAsia="仿宋_GB2312" w:cs="宋体"/>
                <w:kern w:val="0"/>
                <w:sz w:val="24"/>
              </w:rPr>
            </w:pPr>
            <w:r>
              <w:rPr>
                <w:rFonts w:hint="eastAsia" w:ascii="仿宋_GB2312" w:hAnsi="宋体" w:eastAsia="仿宋_GB2312" w:cs="宋体"/>
                <w:kern w:val="0"/>
                <w:sz w:val="24"/>
              </w:rPr>
              <w:t>教学计划、课程标准、规定学时等的落实执行情况；学生学籍、课堂学习、成绩考核、实习实训、纪律与考勤等各项日常管理情况</w:t>
            </w:r>
          </w:p>
        </w:tc>
        <w:tc>
          <w:tcPr>
            <w:tcW w:w="1134" w:type="dxa"/>
            <w:tcBorders>
              <w:top w:val="single" w:color="auto" w:sz="4" w:space="0"/>
              <w:left w:val="single" w:color="auto" w:sz="4" w:space="0"/>
              <w:bottom w:val="single" w:color="auto" w:sz="4" w:space="0"/>
              <w:right w:val="single" w:color="auto" w:sz="4" w:space="0"/>
            </w:tcBorders>
            <w:vAlign w:val="center"/>
          </w:tcPr>
          <w:p w14:paraId="56570FF6">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402BAC09">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现场检查、书面检查、网络检查等</w:t>
            </w:r>
          </w:p>
        </w:tc>
        <w:tc>
          <w:tcPr>
            <w:tcW w:w="1559" w:type="dxa"/>
            <w:tcBorders>
              <w:top w:val="single" w:color="auto" w:sz="4" w:space="0"/>
              <w:left w:val="single" w:color="auto" w:sz="4" w:space="0"/>
              <w:bottom w:val="single" w:color="auto" w:sz="4" w:space="0"/>
              <w:right w:val="single" w:color="auto" w:sz="4" w:space="0"/>
            </w:tcBorders>
            <w:vAlign w:val="center"/>
          </w:tcPr>
          <w:p w14:paraId="7316F94F">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全年抽查比例不低于5%，抽查频次根据</w:t>
            </w:r>
            <w:r>
              <w:rPr>
                <w:rFonts w:hint="eastAsia" w:ascii="仿宋_GB2312" w:hAnsi="宋体" w:eastAsia="仿宋_GB2312" w:cs="宋体"/>
                <w:color w:val="000000"/>
                <w:kern w:val="0"/>
                <w:sz w:val="24"/>
                <w:lang w:bidi="ar"/>
              </w:rPr>
              <w:t>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kern w:val="0"/>
                <w:sz w:val="24"/>
              </w:rPr>
              <w:t>投诉举报等情况确定</w:t>
            </w:r>
          </w:p>
        </w:tc>
        <w:tc>
          <w:tcPr>
            <w:tcW w:w="1559" w:type="dxa"/>
            <w:tcBorders>
              <w:top w:val="single" w:color="auto" w:sz="4" w:space="0"/>
              <w:left w:val="single" w:color="auto" w:sz="4" w:space="0"/>
              <w:bottom w:val="single" w:color="auto" w:sz="4" w:space="0"/>
              <w:right w:val="single" w:color="auto" w:sz="4" w:space="0"/>
            </w:tcBorders>
            <w:vAlign w:val="center"/>
          </w:tcPr>
          <w:p w14:paraId="6502E8A5">
            <w:pPr>
              <w:widowControl/>
              <w:spacing w:line="400" w:lineRule="exact"/>
              <w:rPr>
                <w:rFonts w:ascii="仿宋_GB2312" w:hAnsi="宋体" w:eastAsia="仿宋_GB2312" w:cs="宋体"/>
                <w:kern w:val="0"/>
                <w:sz w:val="24"/>
              </w:rPr>
            </w:pPr>
            <w:r>
              <w:rPr>
                <w:rFonts w:hint="eastAsia" w:ascii="仿宋_GB2312" w:hAnsi="宋体" w:eastAsia="仿宋_GB2312" w:cs="宋体"/>
                <w:kern w:val="0"/>
                <w:sz w:val="24"/>
              </w:rPr>
              <w:t>市级教育行政部门、退役军人事务部门、财政部门</w:t>
            </w:r>
          </w:p>
        </w:tc>
        <w:tc>
          <w:tcPr>
            <w:tcW w:w="5670" w:type="dxa"/>
            <w:tcBorders>
              <w:top w:val="single" w:color="auto" w:sz="4" w:space="0"/>
              <w:left w:val="single" w:color="auto" w:sz="4" w:space="0"/>
              <w:bottom w:val="single" w:color="auto" w:sz="4" w:space="0"/>
              <w:right w:val="single" w:color="auto" w:sz="4" w:space="0"/>
            </w:tcBorders>
            <w:vAlign w:val="center"/>
          </w:tcPr>
          <w:p w14:paraId="3B2E78F7">
            <w:pPr>
              <w:widowControl/>
              <w:spacing w:line="360" w:lineRule="exact"/>
              <w:rPr>
                <w:rFonts w:ascii="仿宋_GB2312" w:hAnsi="宋体" w:eastAsia="仿宋_GB2312" w:cs="宋体"/>
                <w:kern w:val="0"/>
                <w:sz w:val="24"/>
              </w:rPr>
            </w:pPr>
            <w:r>
              <w:rPr>
                <w:rFonts w:hint="eastAsia" w:ascii="仿宋_GB2312" w:hAnsi="宋体" w:eastAsia="仿宋_GB2312" w:cs="宋体"/>
                <w:kern w:val="0"/>
                <w:sz w:val="24"/>
              </w:rPr>
              <w:t>《职业教育法》第十一条：“县级以上地方各级人民政府应当加强对本行政区域内职业教育工作的领导、统筹协调和督导评估。”</w:t>
            </w:r>
          </w:p>
          <w:p w14:paraId="27B2B166">
            <w:pPr>
              <w:widowControl/>
              <w:spacing w:line="360" w:lineRule="exact"/>
              <w:rPr>
                <w:rFonts w:ascii="仿宋_GB2312" w:hAnsi="宋体" w:eastAsia="仿宋_GB2312" w:cs="宋体"/>
                <w:kern w:val="0"/>
                <w:sz w:val="24"/>
              </w:rPr>
            </w:pPr>
            <w:r>
              <w:rPr>
                <w:rFonts w:hint="eastAsia" w:ascii="仿宋_GB2312" w:hAnsi="宋体" w:eastAsia="仿宋_GB2312" w:cs="宋体"/>
                <w:kern w:val="0"/>
                <w:sz w:val="24"/>
              </w:rPr>
              <w:t>《山东省职业教育条例》（2000年12月通过）第三十一条：“职业学校和职业培训机构管理混乱、教学质量低下的，由审批机关限期整顿，并可以给予警告；情节严重或者经整顿仍达不到要求的，由审批机关责令停止招生或者吊销办学许可证。”</w:t>
            </w:r>
          </w:p>
          <w:p w14:paraId="2C2A5B66">
            <w:pPr>
              <w:widowControl/>
              <w:spacing w:line="360" w:lineRule="exact"/>
              <w:rPr>
                <w:rFonts w:ascii="仿宋_GB2312" w:hAnsi="宋体" w:eastAsia="仿宋_GB2312" w:cs="宋体"/>
                <w:kern w:val="0"/>
                <w:sz w:val="24"/>
              </w:rPr>
            </w:pPr>
            <w:r>
              <w:rPr>
                <w:rFonts w:hint="eastAsia" w:ascii="仿宋_GB2312" w:hAnsi="宋体" w:eastAsia="仿宋_GB2312" w:cs="宋体"/>
                <w:kern w:val="0"/>
                <w:sz w:val="24"/>
              </w:rPr>
              <w:t>《教育部等六部门关于印发＜高职扩招专项工作实施方案＞的通知》（教职成〔2019〕12号）：要加强资金监管，建立常态督查机制，对资金使用中出现的虚报套取骗取、挤占挪用、贪污侵吞资助资金等违法违规违纪行为，依法依规坚决严肃查处。</w:t>
            </w:r>
          </w:p>
        </w:tc>
      </w:tr>
      <w:tr w14:paraId="394FF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414" w:type="dxa"/>
            <w:tcBorders>
              <w:top w:val="single" w:color="auto" w:sz="4" w:space="0"/>
              <w:left w:val="single" w:color="auto" w:sz="4" w:space="0"/>
              <w:bottom w:val="single" w:color="auto" w:sz="4" w:space="0"/>
              <w:right w:val="single" w:color="auto" w:sz="4" w:space="0"/>
            </w:tcBorders>
            <w:vAlign w:val="center"/>
          </w:tcPr>
          <w:p w14:paraId="1F1994D6">
            <w:pPr>
              <w:widowControl/>
              <w:spacing w:line="34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5</w:t>
            </w:r>
          </w:p>
        </w:tc>
        <w:tc>
          <w:tcPr>
            <w:tcW w:w="1018" w:type="dxa"/>
            <w:tcBorders>
              <w:top w:val="single" w:color="auto" w:sz="4" w:space="0"/>
              <w:left w:val="single" w:color="auto" w:sz="4" w:space="0"/>
              <w:bottom w:val="single" w:color="auto" w:sz="4" w:space="0"/>
              <w:right w:val="single" w:color="auto" w:sz="4" w:space="0"/>
            </w:tcBorders>
            <w:vAlign w:val="center"/>
          </w:tcPr>
          <w:p w14:paraId="4662FB1A">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对学校安全工作的监督检查</w:t>
            </w:r>
          </w:p>
        </w:tc>
        <w:tc>
          <w:tcPr>
            <w:tcW w:w="954" w:type="dxa"/>
            <w:tcBorders>
              <w:top w:val="single" w:color="auto" w:sz="4" w:space="0"/>
              <w:left w:val="single" w:color="auto" w:sz="4" w:space="0"/>
              <w:bottom w:val="single" w:color="auto" w:sz="4" w:space="0"/>
              <w:right w:val="single" w:color="auto" w:sz="4" w:space="0"/>
            </w:tcBorders>
            <w:vAlign w:val="center"/>
          </w:tcPr>
          <w:p w14:paraId="474D5822">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各级各类学校</w:t>
            </w:r>
          </w:p>
        </w:tc>
        <w:tc>
          <w:tcPr>
            <w:tcW w:w="1572" w:type="dxa"/>
            <w:tcBorders>
              <w:top w:val="single" w:color="auto" w:sz="4" w:space="0"/>
              <w:left w:val="single" w:color="auto" w:sz="4" w:space="0"/>
              <w:bottom w:val="single" w:color="auto" w:sz="4" w:space="0"/>
              <w:right w:val="single" w:color="auto" w:sz="4" w:space="0"/>
            </w:tcBorders>
            <w:vAlign w:val="center"/>
          </w:tcPr>
          <w:p w14:paraId="47FF011A">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交通安全、消防安全、校园“三防”设施配备情况、食堂安全、集体活动安全、校舍安全、预防溺水等。</w:t>
            </w:r>
          </w:p>
        </w:tc>
        <w:tc>
          <w:tcPr>
            <w:tcW w:w="1134" w:type="dxa"/>
            <w:tcBorders>
              <w:top w:val="single" w:color="auto" w:sz="4" w:space="0"/>
              <w:left w:val="single" w:color="auto" w:sz="4" w:space="0"/>
              <w:bottom w:val="single" w:color="auto" w:sz="4" w:space="0"/>
              <w:right w:val="single" w:color="auto" w:sz="4" w:space="0"/>
            </w:tcBorders>
            <w:vAlign w:val="center"/>
          </w:tcPr>
          <w:p w14:paraId="576C0C46">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3DF209F9">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现场检查</w:t>
            </w:r>
          </w:p>
        </w:tc>
        <w:tc>
          <w:tcPr>
            <w:tcW w:w="1559" w:type="dxa"/>
            <w:tcBorders>
              <w:top w:val="single" w:color="auto" w:sz="4" w:space="0"/>
              <w:left w:val="single" w:color="auto" w:sz="4" w:space="0"/>
              <w:bottom w:val="single" w:color="auto" w:sz="4" w:space="0"/>
              <w:right w:val="single" w:color="auto" w:sz="4" w:space="0"/>
            </w:tcBorders>
            <w:vAlign w:val="center"/>
          </w:tcPr>
          <w:p w14:paraId="41237081">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全年抽查比例不低于5%，抽查频次根据</w:t>
            </w:r>
            <w:r>
              <w:rPr>
                <w:rFonts w:hint="eastAsia" w:ascii="仿宋_GB2312" w:hAnsi="宋体" w:eastAsia="仿宋_GB2312" w:cs="宋体"/>
                <w:color w:val="000000"/>
                <w:kern w:val="0"/>
                <w:sz w:val="24"/>
                <w:lang w:bidi="ar"/>
              </w:rPr>
              <w:t>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kern w:val="0"/>
                <w:sz w:val="24"/>
              </w:rPr>
              <w:t>工作需要确定</w:t>
            </w:r>
          </w:p>
        </w:tc>
        <w:tc>
          <w:tcPr>
            <w:tcW w:w="1559" w:type="dxa"/>
            <w:tcBorders>
              <w:top w:val="single" w:color="auto" w:sz="4" w:space="0"/>
              <w:left w:val="single" w:color="auto" w:sz="4" w:space="0"/>
              <w:bottom w:val="single" w:color="auto" w:sz="4" w:space="0"/>
              <w:right w:val="single" w:color="auto" w:sz="4" w:space="0"/>
            </w:tcBorders>
            <w:vAlign w:val="center"/>
          </w:tcPr>
          <w:p w14:paraId="136029F8">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市、县教育部门</w:t>
            </w:r>
          </w:p>
        </w:tc>
        <w:tc>
          <w:tcPr>
            <w:tcW w:w="5670" w:type="dxa"/>
            <w:tcBorders>
              <w:top w:val="single" w:color="auto" w:sz="4" w:space="0"/>
              <w:left w:val="single" w:color="auto" w:sz="4" w:space="0"/>
              <w:bottom w:val="single" w:color="auto" w:sz="4" w:space="0"/>
              <w:right w:val="single" w:color="auto" w:sz="4" w:space="0"/>
            </w:tcBorders>
            <w:vAlign w:val="center"/>
          </w:tcPr>
          <w:p w14:paraId="4D3E995A">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《山东省学校安全条例》（2018年11月通过）第六条：“县级以上人民政府教育行政部门统筹管理本行政区域内的学校安全工作，对学校安全工作进行监督、检查和指导。”</w:t>
            </w:r>
          </w:p>
        </w:tc>
      </w:tr>
      <w:tr w14:paraId="3653D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414" w:type="dxa"/>
            <w:tcBorders>
              <w:top w:val="single" w:color="auto" w:sz="4" w:space="0"/>
              <w:left w:val="single" w:color="auto" w:sz="4" w:space="0"/>
              <w:bottom w:val="single" w:color="auto" w:sz="4" w:space="0"/>
              <w:right w:val="single" w:color="auto" w:sz="4" w:space="0"/>
            </w:tcBorders>
            <w:vAlign w:val="center"/>
          </w:tcPr>
          <w:p w14:paraId="003B248B">
            <w:pPr>
              <w:widowControl/>
              <w:spacing w:line="34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6</w:t>
            </w:r>
          </w:p>
        </w:tc>
        <w:tc>
          <w:tcPr>
            <w:tcW w:w="1018" w:type="dxa"/>
            <w:tcBorders>
              <w:top w:val="single" w:color="auto" w:sz="4" w:space="0"/>
              <w:left w:val="single" w:color="auto" w:sz="4" w:space="0"/>
              <w:bottom w:val="single" w:color="auto" w:sz="4" w:space="0"/>
              <w:right w:val="single" w:color="auto" w:sz="4" w:space="0"/>
            </w:tcBorders>
            <w:vAlign w:val="center"/>
          </w:tcPr>
          <w:p w14:paraId="53C48E63">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学校教育教学用语用字的管理和监督</w:t>
            </w:r>
          </w:p>
        </w:tc>
        <w:tc>
          <w:tcPr>
            <w:tcW w:w="954" w:type="dxa"/>
            <w:tcBorders>
              <w:top w:val="single" w:color="auto" w:sz="4" w:space="0"/>
              <w:left w:val="single" w:color="auto" w:sz="4" w:space="0"/>
              <w:bottom w:val="single" w:color="auto" w:sz="4" w:space="0"/>
              <w:right w:val="single" w:color="auto" w:sz="4" w:space="0"/>
            </w:tcBorders>
            <w:vAlign w:val="center"/>
          </w:tcPr>
          <w:p w14:paraId="4DE3753C">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各级各类学校中各市上报的备查学校</w:t>
            </w:r>
          </w:p>
        </w:tc>
        <w:tc>
          <w:tcPr>
            <w:tcW w:w="1572" w:type="dxa"/>
            <w:tcBorders>
              <w:top w:val="single" w:color="auto" w:sz="4" w:space="0"/>
              <w:left w:val="single" w:color="auto" w:sz="4" w:space="0"/>
              <w:bottom w:val="single" w:color="auto" w:sz="4" w:space="0"/>
              <w:right w:val="single" w:color="auto" w:sz="4" w:space="0"/>
            </w:tcBorders>
            <w:vAlign w:val="center"/>
          </w:tcPr>
          <w:p w14:paraId="47C1B24F">
            <w:pPr>
              <w:widowControl/>
              <w:spacing w:line="340" w:lineRule="exact"/>
              <w:rPr>
                <w:rFonts w:ascii="仿宋_GB2312" w:hAnsi="宋体" w:eastAsia="仿宋_GB2312" w:cs="宋体"/>
                <w:color w:val="000000"/>
                <w:kern w:val="0"/>
                <w:sz w:val="24"/>
              </w:rPr>
            </w:pPr>
            <w:r>
              <w:rPr>
                <w:rFonts w:hint="eastAsia" w:ascii="仿宋_GB2312" w:hAnsi="宋体" w:eastAsia="仿宋_GB2312" w:cs="宋体"/>
                <w:color w:val="000000"/>
                <w:kern w:val="0"/>
                <w:sz w:val="24"/>
              </w:rPr>
              <w:t>教育教学用语用字是否规范</w:t>
            </w:r>
          </w:p>
        </w:tc>
        <w:tc>
          <w:tcPr>
            <w:tcW w:w="1134" w:type="dxa"/>
            <w:tcBorders>
              <w:top w:val="single" w:color="auto" w:sz="4" w:space="0"/>
              <w:left w:val="single" w:color="auto" w:sz="4" w:space="0"/>
              <w:bottom w:val="single" w:color="auto" w:sz="4" w:space="0"/>
              <w:right w:val="single" w:color="auto" w:sz="4" w:space="0"/>
            </w:tcBorders>
            <w:vAlign w:val="center"/>
          </w:tcPr>
          <w:p w14:paraId="7F0B66EF">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418" w:type="dxa"/>
            <w:tcBorders>
              <w:top w:val="single" w:color="auto" w:sz="4" w:space="0"/>
              <w:left w:val="single" w:color="auto" w:sz="4" w:space="0"/>
              <w:bottom w:val="single" w:color="auto" w:sz="4" w:space="0"/>
              <w:right w:val="single" w:color="auto" w:sz="4" w:space="0"/>
            </w:tcBorders>
            <w:vAlign w:val="center"/>
          </w:tcPr>
          <w:p w14:paraId="21529E81">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随机抽查、实地检查、查阅档案、座谈</w:t>
            </w:r>
          </w:p>
        </w:tc>
        <w:tc>
          <w:tcPr>
            <w:tcW w:w="1559" w:type="dxa"/>
            <w:tcBorders>
              <w:top w:val="single" w:color="auto" w:sz="4" w:space="0"/>
              <w:left w:val="single" w:color="auto" w:sz="4" w:space="0"/>
              <w:bottom w:val="single" w:color="auto" w:sz="4" w:space="0"/>
              <w:right w:val="single" w:color="auto" w:sz="4" w:space="0"/>
            </w:tcBorders>
            <w:vAlign w:val="center"/>
          </w:tcPr>
          <w:p w14:paraId="456A5E81">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kern w:val="0"/>
                <w:sz w:val="24"/>
              </w:rPr>
              <w:t>全年抽查比例不低于5%，抽查频次根据</w:t>
            </w:r>
            <w:r>
              <w:rPr>
                <w:rFonts w:hint="eastAsia" w:ascii="仿宋_GB2312" w:hAnsi="宋体" w:eastAsia="仿宋_GB2312" w:cs="宋体"/>
                <w:color w:val="000000"/>
                <w:kern w:val="0"/>
                <w:sz w:val="24"/>
                <w:lang w:bidi="ar"/>
              </w:rPr>
              <w:t>根据</w:t>
            </w:r>
            <w:r>
              <w:rPr>
                <w:rFonts w:hint="eastAsia" w:ascii="仿宋_GB2312" w:hAnsi="宋体" w:eastAsia="仿宋_GB2312" w:cs="宋体"/>
                <w:color w:val="000000"/>
                <w:kern w:val="0"/>
                <w:sz w:val="24"/>
                <w:lang w:eastAsia="zh-CN" w:bidi="ar"/>
              </w:rPr>
              <w:t>上级部署及</w:t>
            </w:r>
            <w:r>
              <w:rPr>
                <w:rFonts w:hint="eastAsia" w:ascii="仿宋_GB2312" w:hAnsi="宋体" w:eastAsia="仿宋_GB2312" w:cs="宋体"/>
                <w:kern w:val="0"/>
                <w:sz w:val="24"/>
              </w:rPr>
              <w:t>工作需要确定</w:t>
            </w:r>
          </w:p>
        </w:tc>
        <w:tc>
          <w:tcPr>
            <w:tcW w:w="1559" w:type="dxa"/>
            <w:tcBorders>
              <w:top w:val="single" w:color="auto" w:sz="4" w:space="0"/>
              <w:left w:val="single" w:color="auto" w:sz="4" w:space="0"/>
              <w:bottom w:val="single" w:color="auto" w:sz="4" w:space="0"/>
              <w:right w:val="single" w:color="auto" w:sz="4" w:space="0"/>
            </w:tcBorders>
            <w:vAlign w:val="center"/>
          </w:tcPr>
          <w:p w14:paraId="6E52E116">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lang w:eastAsia="zh-CN"/>
              </w:rPr>
              <w:t>市、县</w:t>
            </w:r>
            <w:r>
              <w:rPr>
                <w:rFonts w:hint="eastAsia" w:ascii="仿宋_GB2312" w:hAnsi="宋体" w:eastAsia="仿宋_GB2312" w:cs="宋体"/>
                <w:color w:val="000000"/>
                <w:kern w:val="0"/>
                <w:sz w:val="24"/>
              </w:rPr>
              <w:t>级教育行政部门</w:t>
            </w:r>
          </w:p>
        </w:tc>
        <w:tc>
          <w:tcPr>
            <w:tcW w:w="5670" w:type="dxa"/>
            <w:tcBorders>
              <w:top w:val="single" w:color="auto" w:sz="4" w:space="0"/>
              <w:left w:val="single" w:color="auto" w:sz="4" w:space="0"/>
              <w:bottom w:val="single" w:color="auto" w:sz="4" w:space="0"/>
              <w:right w:val="single" w:color="auto" w:sz="4" w:space="0"/>
            </w:tcBorders>
            <w:vAlign w:val="center"/>
          </w:tcPr>
          <w:p w14:paraId="7B8F2982">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《中华人民共和国国家通用语言文字法》（2000年10月公布）第二十二条：“地方语言文字工作部门和其他有关部门，</w:t>
            </w:r>
            <w:r>
              <w:rPr>
                <w:rFonts w:hint="eastAsia" w:ascii="仿宋_GB2312" w:hAnsi="宋体" w:eastAsia="仿宋_GB2312" w:cs="宋体"/>
                <w:bCs/>
                <w:color w:val="000000"/>
                <w:kern w:val="0"/>
                <w:sz w:val="24"/>
              </w:rPr>
              <w:t>管理和监督</w:t>
            </w:r>
            <w:r>
              <w:rPr>
                <w:rFonts w:hint="eastAsia" w:ascii="仿宋_GB2312" w:hAnsi="宋体" w:eastAsia="仿宋_GB2312" w:cs="宋体"/>
                <w:color w:val="000000"/>
                <w:kern w:val="0"/>
                <w:sz w:val="24"/>
              </w:rPr>
              <w:t>本行政区域内的国家通用语言文字的使用。”</w:t>
            </w:r>
          </w:p>
        </w:tc>
      </w:tr>
    </w:tbl>
    <w:p w14:paraId="718D2E8C"/>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汉仪书宋一简">
    <w:altName w:val="宋体"/>
    <w:panose1 w:val="00000000000000000000"/>
    <w:charset w:val="86"/>
    <w:family w:val="modern"/>
    <w:pitch w:val="default"/>
    <w:sig w:usb0="00000000" w:usb1="00000000" w:usb2="00000012"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73CB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4B4D5F">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04B4D5F">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5N2M1NDdiYTNmNzM3NDRjZDU3YTYzOWRhMWU3MzEifQ=="/>
  </w:docVars>
  <w:rsids>
    <w:rsidRoot w:val="00E303B3"/>
    <w:rsid w:val="000A4AD9"/>
    <w:rsid w:val="001E4E63"/>
    <w:rsid w:val="003A2707"/>
    <w:rsid w:val="003B3A4B"/>
    <w:rsid w:val="004526BA"/>
    <w:rsid w:val="00537B81"/>
    <w:rsid w:val="00570B7D"/>
    <w:rsid w:val="005B3D45"/>
    <w:rsid w:val="005C5F09"/>
    <w:rsid w:val="005F4951"/>
    <w:rsid w:val="0060356F"/>
    <w:rsid w:val="00632ADF"/>
    <w:rsid w:val="00637D87"/>
    <w:rsid w:val="006F0FEB"/>
    <w:rsid w:val="00763F2A"/>
    <w:rsid w:val="00766DC1"/>
    <w:rsid w:val="0078197F"/>
    <w:rsid w:val="00831911"/>
    <w:rsid w:val="00856A7B"/>
    <w:rsid w:val="00892A77"/>
    <w:rsid w:val="0089791D"/>
    <w:rsid w:val="009A3706"/>
    <w:rsid w:val="00B95CFB"/>
    <w:rsid w:val="00BA6B61"/>
    <w:rsid w:val="00BF7B1B"/>
    <w:rsid w:val="00C30BE9"/>
    <w:rsid w:val="00C71245"/>
    <w:rsid w:val="00C91A8F"/>
    <w:rsid w:val="00D13E79"/>
    <w:rsid w:val="00D72D2C"/>
    <w:rsid w:val="00E303B3"/>
    <w:rsid w:val="00E65417"/>
    <w:rsid w:val="00FC3BEA"/>
    <w:rsid w:val="1BC636E2"/>
    <w:rsid w:val="38BE3C52"/>
    <w:rsid w:val="640C278B"/>
    <w:rsid w:val="6C277E67"/>
    <w:rsid w:val="6D910E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字符"/>
    <w:basedOn w:val="6"/>
    <w:link w:val="2"/>
    <w:semiHidden/>
    <w:qFormat/>
    <w:uiPriority w:val="99"/>
    <w:rPr>
      <w:rFonts w:ascii="Times New Roman" w:hAnsi="Times New Roman" w:eastAsia="宋体" w:cs="Times New Roman"/>
      <w:sz w:val="18"/>
      <w:szCs w:val="18"/>
    </w:rPr>
  </w:style>
  <w:style w:type="character" w:customStyle="1" w:styleId="8">
    <w:name w:val="页眉 字符"/>
    <w:basedOn w:val="6"/>
    <w:link w:val="4"/>
    <w:qFormat/>
    <w:uiPriority w:val="99"/>
    <w:rPr>
      <w:rFonts w:ascii="Times New Roman" w:hAnsi="Times New Roman" w:eastAsia="宋体" w:cs="Times New Roman"/>
      <w:sz w:val="18"/>
      <w:szCs w:val="18"/>
    </w:rPr>
  </w:style>
  <w:style w:type="character" w:customStyle="1" w:styleId="9">
    <w:name w:val="页脚 字符"/>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1728</Words>
  <Characters>1763</Characters>
  <Lines>246</Lines>
  <Paragraphs>374</Paragraphs>
  <TotalTime>8</TotalTime>
  <ScaleCrop>false</ScaleCrop>
  <LinksUpToDate>false</LinksUpToDate>
  <CharactersWithSpaces>1837</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2019-09-17T06:31:00Z</dcterms:created>
  <dc:creator>梁强(人事处)</dc:creator>
  <cp:lastModifiedBy></cp:lastModifiedBy>
  <cp:lastPrinted>2019-10-17T07:34:00Z</cp:lastPrinted>
  <dcterms:modified xsi:type="dcterms:W3CDTF">2024-08-19T00:47:35Z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8E4E09705338403EBD1B2FA901F0EFA6</vt:lpwstr>
  </property>
</Properties>
</file>