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64D567">
      <w:pPr>
        <w:jc w:val="center"/>
        <w:rPr>
          <w:rFonts w:ascii="宋体" w:hAnsi="宋体" w:eastAsia="宋体" w:cs="宋体"/>
          <w:b/>
          <w:bCs/>
          <w:color w:val="333333"/>
          <w:kern w:val="0"/>
          <w:sz w:val="34"/>
          <w:szCs w:val="34"/>
        </w:rPr>
      </w:pPr>
      <w:bookmarkStart w:id="6" w:name="_GoBack"/>
      <w:r>
        <w:rPr>
          <w:rFonts w:hint="eastAsia" w:ascii="宋体" w:hAnsi="宋体" w:eastAsia="宋体" w:cs="宋体"/>
          <w:b/>
          <w:bCs/>
          <w:color w:val="333333"/>
          <w:kern w:val="0"/>
          <w:sz w:val="34"/>
          <w:szCs w:val="34"/>
          <w:lang w:eastAsia="zh-CN"/>
        </w:rPr>
        <w:t>2025年11月1</w:t>
      </w:r>
      <w:r>
        <w:rPr>
          <w:rFonts w:hint="eastAsia" w:ascii="宋体" w:hAnsi="宋体" w:eastAsia="宋体" w:cs="宋体"/>
          <w:b/>
          <w:bCs/>
          <w:color w:val="333333"/>
          <w:kern w:val="0"/>
          <w:sz w:val="34"/>
          <w:szCs w:val="34"/>
          <w:lang w:val="en-US" w:eastAsia="zh-CN"/>
        </w:rPr>
        <w:t>1</w:t>
      </w:r>
      <w:r>
        <w:rPr>
          <w:rFonts w:hint="eastAsia" w:ascii="宋体" w:hAnsi="宋体" w:eastAsia="宋体" w:cs="宋体"/>
          <w:b/>
          <w:bCs/>
          <w:color w:val="333333"/>
          <w:kern w:val="0"/>
          <w:sz w:val="34"/>
          <w:szCs w:val="34"/>
          <w:lang w:eastAsia="zh-CN"/>
        </w:rPr>
        <w:t>日</w:t>
      </w:r>
      <w:r>
        <w:rPr>
          <w:rFonts w:hint="eastAsia" w:ascii="宋体" w:hAnsi="宋体" w:eastAsia="宋体" w:cs="宋体"/>
          <w:b/>
          <w:bCs/>
          <w:color w:val="333333"/>
          <w:kern w:val="0"/>
          <w:sz w:val="34"/>
          <w:szCs w:val="34"/>
        </w:rPr>
        <w:t>建设项目（辐射类）环境影响评价文件审查公示</w:t>
      </w:r>
      <w:bookmarkEnd w:id="6"/>
    </w:p>
    <w:p w14:paraId="58F2B904">
      <w:pPr>
        <w:ind w:firstLine="380" w:firstLineChars="200"/>
      </w:pPr>
      <w:r>
        <w:rPr>
          <w:rFonts w:hint="eastAsia"/>
          <w:color w:val="333333"/>
          <w:sz w:val="19"/>
          <w:szCs w:val="19"/>
          <w:shd w:val="clear" w:color="auto" w:fill="FAFAFA"/>
        </w:rPr>
        <w:t>按照《建设项目环境影响评价政府信息公开指南（试行）》的要求，经审查，我局拟对国网山东省电力公司威海供电公司</w:t>
      </w:r>
      <w:r>
        <w:rPr>
          <w:rFonts w:hint="eastAsia"/>
          <w:color w:val="333333"/>
          <w:sz w:val="19"/>
          <w:szCs w:val="19"/>
          <w:shd w:val="clear" w:color="auto" w:fill="FAFAFA"/>
          <w:lang w:val="en-US" w:eastAsia="zh-CN"/>
        </w:rPr>
        <w:t>山东威海荣成南部220千伏电网加强工程、</w:t>
      </w:r>
      <w:bookmarkStart w:id="0" w:name="OLE_LINK2"/>
      <w:r>
        <w:rPr>
          <w:rFonts w:hint="eastAsia"/>
          <w:color w:val="333333"/>
          <w:sz w:val="19"/>
          <w:szCs w:val="19"/>
          <w:shd w:val="clear" w:color="auto" w:fill="FAFAFA"/>
          <w:lang w:val="en-US" w:eastAsia="zh-CN"/>
        </w:rPr>
        <w:t>山东威海镆铘220千伏变电站2号主变扩建工程</w:t>
      </w:r>
      <w:bookmarkEnd w:id="0"/>
      <w:r>
        <w:rPr>
          <w:rFonts w:hint="eastAsia"/>
          <w:color w:val="333333"/>
          <w:sz w:val="19"/>
          <w:szCs w:val="19"/>
          <w:shd w:val="clear" w:color="auto" w:fill="FAFAFA"/>
        </w:rPr>
        <w:t>环境影响评价文件作出审查意见。</w:t>
      </w:r>
    </w:p>
    <w:p w14:paraId="68902460">
      <w:pPr>
        <w:widowControl/>
        <w:shd w:val="clear" w:color="auto" w:fill="FAFAFA"/>
        <w:ind w:firstLine="38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为保证此次审查工作的严肃性和公正性，现将拟作出审批意见的环境影响评价文件基本情况予以公示，公示期为</w:t>
      </w:r>
      <w:r>
        <w:rPr>
          <w:rFonts w:hint="eastAsia" w:ascii="宋体" w:hAnsi="宋体" w:eastAsia="宋体" w:cs="宋体"/>
          <w:color w:val="333333"/>
          <w:kern w:val="0"/>
          <w:sz w:val="19"/>
          <w:szCs w:val="19"/>
          <w:lang w:eastAsia="zh-CN"/>
        </w:rPr>
        <w:t>2025年</w:t>
      </w:r>
      <w:r>
        <w:rPr>
          <w:rFonts w:hint="eastAsia" w:ascii="宋体" w:hAnsi="宋体" w:eastAsia="宋体" w:cs="宋体"/>
          <w:color w:val="333333"/>
          <w:kern w:val="0"/>
          <w:sz w:val="19"/>
          <w:szCs w:val="19"/>
          <w:lang w:val="en-US" w:eastAsia="zh-CN"/>
        </w:rPr>
        <w:t>11</w:t>
      </w:r>
      <w:r>
        <w:rPr>
          <w:rFonts w:hint="eastAsia" w:ascii="宋体" w:hAnsi="宋体" w:eastAsia="宋体" w:cs="宋体"/>
          <w:color w:val="333333"/>
          <w:kern w:val="0"/>
          <w:sz w:val="19"/>
          <w:szCs w:val="19"/>
          <w:lang w:eastAsia="zh-CN"/>
        </w:rPr>
        <w:t>月</w:t>
      </w:r>
      <w:r>
        <w:rPr>
          <w:rFonts w:hint="eastAsia" w:ascii="宋体" w:hAnsi="宋体" w:eastAsia="宋体" w:cs="宋体"/>
          <w:color w:val="333333"/>
          <w:kern w:val="0"/>
          <w:sz w:val="19"/>
          <w:szCs w:val="19"/>
          <w:lang w:val="en-US" w:eastAsia="zh-CN"/>
        </w:rPr>
        <w:t>12</w:t>
      </w:r>
      <w:r>
        <w:rPr>
          <w:rFonts w:hint="eastAsia" w:ascii="宋体" w:hAnsi="宋体" w:eastAsia="宋体" w:cs="宋体"/>
          <w:color w:val="333333"/>
          <w:kern w:val="0"/>
          <w:sz w:val="19"/>
          <w:szCs w:val="19"/>
          <w:lang w:eastAsia="zh-CN"/>
        </w:rPr>
        <w:t>日</w:t>
      </w:r>
      <w:r>
        <w:rPr>
          <w:rFonts w:hint="eastAsia" w:ascii="宋体" w:hAnsi="宋体" w:eastAsia="宋体" w:cs="宋体"/>
          <w:color w:val="333333"/>
          <w:kern w:val="0"/>
          <w:sz w:val="19"/>
          <w:szCs w:val="19"/>
        </w:rPr>
        <w:t>－202</w:t>
      </w:r>
      <w:r>
        <w:rPr>
          <w:rFonts w:hint="eastAsia" w:ascii="宋体" w:hAnsi="宋体" w:eastAsia="宋体" w:cs="宋体"/>
          <w:color w:val="333333"/>
          <w:kern w:val="0"/>
          <w:sz w:val="19"/>
          <w:szCs w:val="19"/>
          <w:lang w:val="en-US" w:eastAsia="zh-CN"/>
        </w:rPr>
        <w:t>5</w:t>
      </w:r>
      <w:r>
        <w:rPr>
          <w:rFonts w:hint="eastAsia" w:ascii="宋体" w:hAnsi="宋体" w:eastAsia="宋体" w:cs="宋体"/>
          <w:color w:val="333333"/>
          <w:kern w:val="0"/>
          <w:sz w:val="19"/>
          <w:szCs w:val="19"/>
        </w:rPr>
        <w:t>年</w:t>
      </w:r>
      <w:r>
        <w:rPr>
          <w:rFonts w:hint="eastAsia" w:ascii="宋体" w:hAnsi="宋体" w:eastAsia="宋体" w:cs="宋体"/>
          <w:color w:val="333333"/>
          <w:kern w:val="0"/>
          <w:sz w:val="19"/>
          <w:szCs w:val="19"/>
          <w:lang w:val="en-US" w:eastAsia="zh-CN"/>
        </w:rPr>
        <w:t>11</w:t>
      </w:r>
      <w:r>
        <w:rPr>
          <w:rFonts w:hint="eastAsia" w:ascii="宋体" w:hAnsi="宋体" w:eastAsia="宋体" w:cs="宋体"/>
          <w:color w:val="333333"/>
          <w:kern w:val="0"/>
          <w:sz w:val="19"/>
          <w:szCs w:val="19"/>
        </w:rPr>
        <w:t>月</w:t>
      </w:r>
      <w:r>
        <w:rPr>
          <w:rFonts w:hint="eastAsia" w:ascii="宋体" w:hAnsi="宋体" w:eastAsia="宋体" w:cs="宋体"/>
          <w:color w:val="333333"/>
          <w:kern w:val="0"/>
          <w:sz w:val="19"/>
          <w:szCs w:val="19"/>
          <w:lang w:val="en-US" w:eastAsia="zh-CN"/>
        </w:rPr>
        <w:t>18</w:t>
      </w:r>
      <w:r>
        <w:rPr>
          <w:rFonts w:hint="eastAsia" w:ascii="宋体" w:hAnsi="宋体" w:eastAsia="宋体" w:cs="宋体"/>
          <w:color w:val="333333"/>
          <w:kern w:val="0"/>
          <w:sz w:val="19"/>
          <w:szCs w:val="19"/>
        </w:rPr>
        <w:t>日(5个工作日)。</w:t>
      </w:r>
    </w:p>
    <w:p w14:paraId="2412A219">
      <w:pPr>
        <w:widowControl/>
        <w:shd w:val="clear" w:color="auto" w:fill="FAFAFA"/>
        <w:ind w:firstLine="38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听证权利告知：依据《中华人民共和国行政许可法》，自公示起五日内申请人、利害关系人可对以下拟作出的建设项目环境影响评价文件审批意见要求听证。</w:t>
      </w:r>
    </w:p>
    <w:p w14:paraId="4C5640D5">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联系方式</w:t>
      </w:r>
    </w:p>
    <w:p w14:paraId="53CDC799">
      <w:pPr>
        <w:widowControl/>
        <w:shd w:val="clear" w:color="auto" w:fill="FAFAFA"/>
        <w:jc w:val="left"/>
        <w:rPr>
          <w:rFonts w:hint="default"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rPr>
        <w:t>威海市生态环境局荣成分局：</w:t>
      </w:r>
      <w:r>
        <w:rPr>
          <w:rFonts w:hint="eastAsia" w:ascii="宋体" w:hAnsi="宋体" w:eastAsia="宋体" w:cs="宋体"/>
          <w:color w:val="333333"/>
          <w:kern w:val="0"/>
          <w:sz w:val="19"/>
          <w:szCs w:val="19"/>
          <w:lang w:val="en-US" w:eastAsia="zh-CN"/>
        </w:rPr>
        <w:t>0631-7591987</w:t>
      </w:r>
    </w:p>
    <w:p w14:paraId="0FCD525E">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电子信箱：rcshbjstk@wh.shandong.com</w:t>
      </w:r>
    </w:p>
    <w:p w14:paraId="6F774BB5">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通讯地址：荣成市观海东路28号威海市生态环境局荣成分局</w:t>
      </w:r>
    </w:p>
    <w:p w14:paraId="09BC533E">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邮编：264300</w:t>
      </w:r>
    </w:p>
    <w:p w14:paraId="00D62506">
      <w:pPr>
        <w:widowControl/>
        <w:shd w:val="clear" w:color="auto" w:fill="FAFAFA"/>
        <w:jc w:val="center"/>
        <w:rPr>
          <w:rFonts w:ascii="宋体" w:hAnsi="宋体" w:eastAsia="宋体" w:cs="宋体"/>
          <w:color w:val="333333"/>
          <w:kern w:val="0"/>
          <w:sz w:val="19"/>
          <w:szCs w:val="19"/>
        </w:rPr>
      </w:pPr>
      <w:r>
        <w:rPr>
          <w:rFonts w:hint="eastAsia" w:ascii="宋体" w:hAnsi="宋体" w:eastAsia="宋体" w:cs="宋体"/>
          <w:b/>
          <w:bCs/>
          <w:color w:val="333333"/>
          <w:kern w:val="0"/>
          <w:sz w:val="19"/>
          <w:lang w:eastAsia="zh-CN"/>
        </w:rPr>
        <w:t>2025年11月1</w:t>
      </w:r>
      <w:r>
        <w:rPr>
          <w:rFonts w:hint="eastAsia" w:ascii="宋体" w:hAnsi="宋体" w:eastAsia="宋体" w:cs="宋体"/>
          <w:b/>
          <w:bCs/>
          <w:color w:val="333333"/>
          <w:kern w:val="0"/>
          <w:sz w:val="19"/>
          <w:lang w:val="en-US" w:eastAsia="zh-CN"/>
        </w:rPr>
        <w:t>1</w:t>
      </w:r>
      <w:r>
        <w:rPr>
          <w:rFonts w:hint="eastAsia" w:ascii="宋体" w:hAnsi="宋体" w:eastAsia="宋体" w:cs="宋体"/>
          <w:b/>
          <w:bCs/>
          <w:color w:val="333333"/>
          <w:kern w:val="0"/>
          <w:sz w:val="19"/>
          <w:lang w:eastAsia="zh-CN"/>
        </w:rPr>
        <w:t>日</w:t>
      </w:r>
      <w:r>
        <w:rPr>
          <w:rFonts w:hint="eastAsia" w:ascii="宋体" w:hAnsi="宋体" w:eastAsia="宋体" w:cs="宋体"/>
          <w:b/>
          <w:bCs/>
          <w:color w:val="333333"/>
          <w:kern w:val="0"/>
          <w:sz w:val="19"/>
        </w:rPr>
        <w:t>拟批准的建设项目环境影响报告表</w:t>
      </w:r>
    </w:p>
    <w:tbl>
      <w:tblPr>
        <w:tblStyle w:val="10"/>
        <w:tblW w:w="108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394"/>
        <w:gridCol w:w="734"/>
        <w:gridCol w:w="1083"/>
        <w:gridCol w:w="578"/>
        <w:gridCol w:w="551"/>
        <w:gridCol w:w="2635"/>
        <w:gridCol w:w="3747"/>
        <w:gridCol w:w="455"/>
        <w:gridCol w:w="704"/>
      </w:tblGrid>
      <w:tr w14:paraId="3C6C13C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0" w:hRule="atLeast"/>
          <w:tblHeader/>
          <w:jc w:val="center"/>
        </w:trPr>
        <w:tc>
          <w:tcPr>
            <w:tcW w:w="394" w:type="dxa"/>
            <w:tcBorders>
              <w:top w:val="single" w:color="auto" w:sz="6" w:space="0"/>
              <w:left w:val="single" w:color="auto" w:sz="6" w:space="0"/>
              <w:bottom w:val="single" w:color="auto" w:sz="6" w:space="0"/>
              <w:right w:val="single" w:color="auto" w:sz="6" w:space="0"/>
            </w:tcBorders>
            <w:shd w:val="clear" w:color="auto" w:fill="auto"/>
            <w:tcMar>
              <w:top w:w="0" w:type="dxa"/>
              <w:left w:w="95" w:type="dxa"/>
              <w:bottom w:w="0" w:type="dxa"/>
              <w:right w:w="95" w:type="dxa"/>
            </w:tcMar>
            <w:vAlign w:val="center"/>
          </w:tcPr>
          <w:p w14:paraId="5423BA50">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序号</w:t>
            </w:r>
          </w:p>
        </w:tc>
        <w:tc>
          <w:tcPr>
            <w:tcW w:w="73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0C6ACBAE">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项目名称</w:t>
            </w:r>
          </w:p>
        </w:tc>
        <w:tc>
          <w:tcPr>
            <w:tcW w:w="1083"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3B7891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建设地点</w:t>
            </w:r>
          </w:p>
        </w:tc>
        <w:tc>
          <w:tcPr>
            <w:tcW w:w="578"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DBBE036">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建设单位</w:t>
            </w:r>
          </w:p>
        </w:tc>
        <w:tc>
          <w:tcPr>
            <w:tcW w:w="551"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10E4C016">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环境影响评价机构</w:t>
            </w:r>
          </w:p>
        </w:tc>
        <w:tc>
          <w:tcPr>
            <w:tcW w:w="263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7EBFE74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项目概况</w:t>
            </w:r>
          </w:p>
        </w:tc>
        <w:tc>
          <w:tcPr>
            <w:tcW w:w="3747"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6F5A774">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主要环境影响及预防或者减轻不良环境影响的对策和措施</w:t>
            </w:r>
          </w:p>
        </w:tc>
        <w:tc>
          <w:tcPr>
            <w:tcW w:w="45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BE163B3">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公众参与情况</w:t>
            </w:r>
          </w:p>
        </w:tc>
        <w:tc>
          <w:tcPr>
            <w:tcW w:w="70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DD378E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建设单位或地方政府所作出的相关环境保护措施承诺文件</w:t>
            </w:r>
          </w:p>
        </w:tc>
      </w:tr>
      <w:tr w14:paraId="2339510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394" w:type="dxa"/>
            <w:tcBorders>
              <w:top w:val="single" w:color="auto" w:sz="6" w:space="0"/>
              <w:left w:val="single" w:color="auto" w:sz="6" w:space="0"/>
              <w:bottom w:val="single" w:color="auto" w:sz="6" w:space="0"/>
              <w:right w:val="single" w:color="auto" w:sz="6" w:space="0"/>
            </w:tcBorders>
            <w:shd w:val="clear" w:color="auto" w:fill="auto"/>
            <w:tcMar>
              <w:top w:w="0" w:type="dxa"/>
              <w:left w:w="95" w:type="dxa"/>
              <w:bottom w:w="0" w:type="dxa"/>
              <w:right w:w="95" w:type="dxa"/>
            </w:tcMar>
            <w:vAlign w:val="center"/>
          </w:tcPr>
          <w:p w14:paraId="31E8F37D">
            <w:pPr>
              <w:widowControl/>
              <w:snapToGrid w:val="0"/>
              <w:ind w:left="0" w:leftChars="0" w:right="0" w:rightChars="0" w:firstLine="0" w:firstLineChars="0"/>
              <w:jc w:val="center"/>
              <w:rPr>
                <w:rFonts w:ascii="宋体" w:hAnsi="宋体" w:eastAsia="宋体" w:cs="宋体"/>
                <w:color w:val="333333"/>
                <w:kern w:val="0"/>
                <w:sz w:val="19"/>
                <w:szCs w:val="19"/>
              </w:rPr>
            </w:pPr>
            <w:r>
              <w:rPr>
                <w:rFonts w:hint="eastAsia" w:ascii="宋体" w:hAnsi="宋体" w:eastAsia="宋体" w:cs="宋体"/>
                <w:color w:val="333333"/>
                <w:kern w:val="0"/>
                <w:sz w:val="19"/>
                <w:szCs w:val="19"/>
              </w:rPr>
              <w:t>1</w:t>
            </w:r>
          </w:p>
        </w:tc>
        <w:tc>
          <w:tcPr>
            <w:tcW w:w="73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E47E3DC">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eastAsia"/>
                <w:color w:val="333333"/>
                <w:sz w:val="19"/>
                <w:szCs w:val="19"/>
                <w:shd w:val="clear" w:color="auto" w:fill="FAFAFA"/>
                <w:lang w:val="en-US" w:eastAsia="zh-CN"/>
              </w:rPr>
              <w:t>山东威海荣成南部220千伏电网加强工程</w:t>
            </w:r>
          </w:p>
        </w:tc>
        <w:tc>
          <w:tcPr>
            <w:tcW w:w="1083"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5651B5FD">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山东省威海市荣成市境内</w:t>
            </w:r>
          </w:p>
        </w:tc>
        <w:tc>
          <w:tcPr>
            <w:tcW w:w="578"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1B2509A6">
            <w:pPr>
              <w:widowControl/>
              <w:snapToGrid w:val="0"/>
              <w:ind w:left="0" w:leftChars="0" w:right="0" w:rightChars="0" w:firstLine="0" w:firstLineChars="0"/>
              <w:jc w:val="center"/>
              <w:rPr>
                <w:rFonts w:hint="eastAsia" w:ascii="宋体" w:hAnsi="宋体" w:eastAsia="宋体" w:cs="宋体"/>
                <w:color w:val="333333"/>
                <w:kern w:val="0"/>
                <w:sz w:val="19"/>
                <w:szCs w:val="19"/>
                <w:lang w:eastAsia="zh-CN"/>
              </w:rPr>
            </w:pPr>
            <w:r>
              <w:rPr>
                <w:rFonts w:hint="eastAsia"/>
                <w:color w:val="333333"/>
                <w:sz w:val="19"/>
                <w:szCs w:val="19"/>
                <w:shd w:val="clear" w:color="auto" w:fill="FAFAFA"/>
              </w:rPr>
              <w:t>国网山东省电力公司威海供电公司</w:t>
            </w:r>
          </w:p>
        </w:tc>
        <w:tc>
          <w:tcPr>
            <w:tcW w:w="551"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5713FA6">
            <w:pPr>
              <w:widowControl/>
              <w:snapToGrid w:val="0"/>
              <w:ind w:left="0" w:leftChars="0" w:right="0" w:rightChars="0" w:firstLine="0" w:firstLineChars="0"/>
              <w:jc w:val="center"/>
              <w:rPr>
                <w:rFonts w:hint="eastAsia" w:ascii="宋体" w:hAnsi="宋体" w:eastAsia="宋体" w:cs="宋体"/>
                <w:color w:val="333333"/>
                <w:kern w:val="0"/>
                <w:sz w:val="19"/>
                <w:szCs w:val="19"/>
                <w:lang w:eastAsia="zh-CN"/>
              </w:rPr>
            </w:pPr>
            <w:r>
              <w:rPr>
                <w:rFonts w:hint="eastAsia" w:asciiTheme="majorEastAsia" w:hAnsiTheme="majorEastAsia" w:eastAsiaTheme="majorEastAsia" w:cstheme="majorEastAsia"/>
                <w:kern w:val="0"/>
                <w:sz w:val="21"/>
                <w:szCs w:val="21"/>
              </w:rPr>
              <w:t>山东省环科院环境检测有限公司</w:t>
            </w:r>
          </w:p>
        </w:tc>
        <w:tc>
          <w:tcPr>
            <w:tcW w:w="263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13AD506B">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山东威海荣成南部220千伏电网加强工程位于山东省威海市荣成市境内。</w:t>
            </w:r>
          </w:p>
          <w:p w14:paraId="195AEEF0">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本工程建设规模为扩建220kV永怀站3回220kV出线间隔，新建220kV线路15.79km，其中同塔双回架空线路6.0km，单回架空线路9.36km，单回电缆线路0.43km。共新立杆塔59基。本工程利用已有电缆沟进行敷设，长度0.43km。工程总投资6194万元，其中环保投资72万元。</w:t>
            </w:r>
          </w:p>
          <w:p w14:paraId="33BB3088">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p>
        </w:tc>
        <w:tc>
          <w:tcPr>
            <w:tcW w:w="3747"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7C2B17B5">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一、</w:t>
            </w:r>
            <w:r>
              <w:rPr>
                <w:rFonts w:hint="eastAsia" w:ascii="宋体" w:hAnsi="宋体" w:eastAsia="宋体" w:cs="宋体"/>
                <w:color w:val="333333"/>
                <w:kern w:val="0"/>
                <w:sz w:val="19"/>
                <w:szCs w:val="19"/>
              </w:rPr>
              <w:t>主要环境影响</w:t>
            </w:r>
          </w:p>
          <w:p w14:paraId="57FF1BA2">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（一）</w:t>
            </w:r>
            <w:r>
              <w:rPr>
                <w:rFonts w:hint="eastAsia" w:ascii="宋体" w:hAnsi="宋体" w:eastAsia="宋体" w:cs="宋体"/>
                <w:color w:val="333333"/>
                <w:kern w:val="0"/>
                <w:sz w:val="19"/>
                <w:szCs w:val="19"/>
              </w:rPr>
              <w:t>施工期</w:t>
            </w:r>
            <w:r>
              <w:rPr>
                <w:rFonts w:hint="eastAsia" w:ascii="宋体" w:hAnsi="宋体" w:eastAsia="宋体" w:cs="宋体"/>
                <w:color w:val="333333"/>
                <w:kern w:val="0"/>
                <w:sz w:val="19"/>
                <w:szCs w:val="19"/>
                <w:lang w:val="en-US" w:eastAsia="zh-CN"/>
              </w:rPr>
              <w:t>环境影响</w:t>
            </w:r>
          </w:p>
          <w:p w14:paraId="726BE038">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项目施工期将产生施工噪声，对周围环境有一定的影响，建筑施工中产生的扬尘、废水、固体废弃物和弃土等也会对周围环境造成影响，但这些影响都将随着工程的完工而自然消失。切实做好防护工作，合理安排施工，使其对环境的影响减至最低限度，以尽量减少对环境的影响和对周围居民的干扰。</w:t>
            </w:r>
            <w:r>
              <w:rPr>
                <w:rFonts w:hint="eastAsia" w:ascii="宋体" w:hAnsi="宋体" w:eastAsia="宋体" w:cs="宋体"/>
                <w:color w:val="333333"/>
                <w:kern w:val="0"/>
                <w:sz w:val="19"/>
                <w:szCs w:val="19"/>
                <w:lang w:val="en-US" w:eastAsia="zh-CN"/>
              </w:rPr>
              <w:t>本工程施工期间对饮用水源保护区产生的影响较小。</w:t>
            </w:r>
            <w:r>
              <w:rPr>
                <w:rFonts w:hint="default" w:ascii="宋体" w:hAnsi="宋体" w:eastAsia="宋体" w:cs="宋体"/>
                <w:color w:val="333333"/>
                <w:kern w:val="0"/>
                <w:sz w:val="19"/>
                <w:szCs w:val="19"/>
              </w:rPr>
              <w:t xml:space="preserve"> </w:t>
            </w:r>
          </w:p>
          <w:p w14:paraId="7349314A">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eastAsia" w:ascii="宋体" w:hAnsi="宋体" w:eastAsia="宋体" w:cs="宋体"/>
                <w:color w:val="333333"/>
                <w:kern w:val="0"/>
                <w:sz w:val="19"/>
                <w:szCs w:val="19"/>
                <w:lang w:eastAsia="zh-CN"/>
              </w:rPr>
              <w:t>（</w:t>
            </w:r>
            <w:r>
              <w:rPr>
                <w:rFonts w:hint="eastAsia" w:ascii="宋体" w:hAnsi="宋体" w:eastAsia="宋体" w:cs="宋体"/>
                <w:color w:val="333333"/>
                <w:kern w:val="0"/>
                <w:sz w:val="19"/>
                <w:szCs w:val="19"/>
                <w:lang w:val="en-US" w:eastAsia="zh-CN"/>
              </w:rPr>
              <w:t>二）</w:t>
            </w:r>
            <w:r>
              <w:rPr>
                <w:rFonts w:hint="default" w:ascii="宋体" w:hAnsi="宋体" w:eastAsia="宋体" w:cs="宋体"/>
                <w:color w:val="333333"/>
                <w:kern w:val="0"/>
                <w:sz w:val="19"/>
                <w:szCs w:val="19"/>
              </w:rPr>
              <w:t xml:space="preserve">运营期间环境影响 </w:t>
            </w:r>
          </w:p>
          <w:p w14:paraId="2921211A">
            <w:pPr>
              <w:widowControl/>
              <w:snapToGrid w:val="0"/>
              <w:ind w:left="0" w:leftChars="0" w:right="0" w:rightChars="0" w:firstLine="0" w:firstLineChars="0"/>
              <w:jc w:val="left"/>
              <w:rPr>
                <w:rFonts w:hint="eastAsia" w:ascii="宋体" w:hAnsi="宋体" w:eastAsia="宋体" w:cs="宋体"/>
                <w:color w:val="333333"/>
                <w:kern w:val="0"/>
                <w:sz w:val="19"/>
                <w:szCs w:val="19"/>
                <w:lang w:eastAsia="zh-CN"/>
              </w:rPr>
            </w:pPr>
            <w:r>
              <w:rPr>
                <w:rFonts w:hint="default" w:ascii="宋体" w:hAnsi="宋体" w:eastAsia="宋体" w:cs="宋体"/>
                <w:color w:val="333333"/>
                <w:kern w:val="0"/>
                <w:sz w:val="19"/>
                <w:szCs w:val="19"/>
              </w:rPr>
              <w:t>(1)工频电磁场</w:t>
            </w:r>
            <w:r>
              <w:rPr>
                <w:rFonts w:hint="eastAsia" w:ascii="宋体" w:hAnsi="宋体" w:eastAsia="宋体" w:cs="宋体"/>
                <w:color w:val="333333"/>
                <w:kern w:val="0"/>
                <w:sz w:val="19"/>
                <w:szCs w:val="19"/>
                <w:lang w:val="en-US" w:eastAsia="zh-CN"/>
              </w:rPr>
              <w:t>影响</w:t>
            </w:r>
          </w:p>
          <w:p w14:paraId="69659094">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根据理论预测可知，本工程</w:t>
            </w:r>
            <w:r>
              <w:rPr>
                <w:rFonts w:hint="eastAsia" w:ascii="宋体" w:hAnsi="宋体" w:eastAsia="宋体" w:cs="宋体"/>
                <w:color w:val="333333"/>
                <w:kern w:val="0"/>
                <w:sz w:val="19"/>
                <w:szCs w:val="19"/>
                <w:lang w:val="en-US" w:eastAsia="zh-CN"/>
              </w:rPr>
              <w:t>运营期线路周围环境及环境敏感目标的</w:t>
            </w:r>
            <w:r>
              <w:rPr>
                <w:rFonts w:hint="default" w:ascii="宋体" w:hAnsi="宋体" w:eastAsia="宋体" w:cs="宋体"/>
                <w:color w:val="333333"/>
                <w:kern w:val="0"/>
                <w:sz w:val="19"/>
                <w:szCs w:val="19"/>
              </w:rPr>
              <w:t>工频电场强度、工</w:t>
            </w:r>
            <w:r>
              <w:rPr>
                <w:rFonts w:hint="eastAsia" w:ascii="宋体" w:hAnsi="宋体" w:eastAsia="宋体" w:cs="宋体"/>
                <w:color w:val="333333"/>
                <w:kern w:val="0"/>
                <w:sz w:val="19"/>
                <w:szCs w:val="19"/>
                <w:lang w:val="en-US" w:eastAsia="zh-CN"/>
              </w:rPr>
              <w:t>频</w:t>
            </w:r>
            <w:r>
              <w:rPr>
                <w:rFonts w:hint="default" w:ascii="宋体" w:hAnsi="宋体" w:eastAsia="宋体" w:cs="宋体"/>
                <w:color w:val="333333"/>
                <w:kern w:val="0"/>
                <w:sz w:val="19"/>
                <w:szCs w:val="19"/>
              </w:rPr>
              <w:t xml:space="preserve">磁感应强度均符合《电磁环境控制限值》(GB8702-2014)中频率为50Hz时电场强度为4000V/m、磁感应强度为100μT的公众曝露控制限值。 </w:t>
            </w:r>
          </w:p>
          <w:p w14:paraId="0BB802CA">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 xml:space="preserve">(2)噪声环境影响 </w:t>
            </w:r>
          </w:p>
          <w:p w14:paraId="4C81BDE4">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本项目运行后，</w:t>
            </w:r>
            <w:r>
              <w:rPr>
                <w:rFonts w:hint="eastAsia" w:ascii="宋体" w:hAnsi="宋体" w:eastAsia="宋体" w:cs="宋体"/>
                <w:color w:val="333333"/>
                <w:kern w:val="0"/>
                <w:sz w:val="19"/>
                <w:szCs w:val="19"/>
              </w:rPr>
              <w:t>22</w:t>
            </w:r>
            <w:r>
              <w:rPr>
                <w:rFonts w:ascii="宋体" w:hAnsi="宋体" w:eastAsia="宋体" w:cs="宋体"/>
                <w:color w:val="333333"/>
                <w:kern w:val="0"/>
                <w:sz w:val="19"/>
                <w:szCs w:val="19"/>
              </w:rPr>
              <w:t>0kV</w:t>
            </w:r>
            <w:r>
              <w:rPr>
                <w:rFonts w:hint="eastAsia" w:ascii="宋体" w:hAnsi="宋体" w:eastAsia="宋体" w:cs="宋体"/>
                <w:color w:val="333333"/>
                <w:kern w:val="0"/>
                <w:sz w:val="19"/>
                <w:szCs w:val="19"/>
                <w:lang w:val="en-US" w:eastAsia="zh-CN"/>
              </w:rPr>
              <w:t>永怀</w:t>
            </w:r>
            <w:r>
              <w:rPr>
                <w:rFonts w:ascii="宋体" w:hAnsi="宋体" w:eastAsia="宋体" w:cs="宋体"/>
                <w:color w:val="333333"/>
                <w:kern w:val="0"/>
                <w:sz w:val="19"/>
                <w:szCs w:val="19"/>
              </w:rPr>
              <w:t>站四周厂界</w:t>
            </w:r>
            <w:r>
              <w:rPr>
                <w:rFonts w:hint="eastAsia" w:ascii="宋体" w:hAnsi="宋体" w:eastAsia="宋体" w:cs="宋体"/>
                <w:color w:val="333333"/>
                <w:kern w:val="0"/>
                <w:sz w:val="19"/>
                <w:szCs w:val="19"/>
              </w:rPr>
              <w:t>噪声</w:t>
            </w:r>
            <w:r>
              <w:rPr>
                <w:rFonts w:ascii="宋体" w:hAnsi="宋体" w:eastAsia="宋体" w:cs="宋体"/>
                <w:color w:val="333333"/>
                <w:kern w:val="0"/>
                <w:sz w:val="19"/>
                <w:szCs w:val="19"/>
              </w:rPr>
              <w:t>符合《工业企业厂界环境噪声排放标准》</w:t>
            </w:r>
            <w:r>
              <w:rPr>
                <w:rFonts w:hint="eastAsia" w:ascii="宋体" w:hAnsi="宋体" w:eastAsia="宋体" w:cs="宋体"/>
                <w:color w:val="333333"/>
                <w:kern w:val="0"/>
                <w:sz w:val="19"/>
                <w:szCs w:val="19"/>
              </w:rPr>
              <w:t>(</w:t>
            </w:r>
            <w:r>
              <w:rPr>
                <w:rFonts w:ascii="宋体" w:hAnsi="宋体" w:eastAsia="宋体" w:cs="宋体"/>
                <w:color w:val="333333"/>
                <w:kern w:val="0"/>
                <w:sz w:val="19"/>
                <w:szCs w:val="19"/>
              </w:rPr>
              <w:t>GB12348-2008)</w:t>
            </w:r>
            <w:r>
              <w:rPr>
                <w:rFonts w:hint="eastAsia" w:ascii="宋体" w:hAnsi="宋体" w:eastAsia="宋体" w:cs="宋体"/>
                <w:color w:val="333333"/>
                <w:kern w:val="0"/>
                <w:sz w:val="19"/>
                <w:szCs w:val="19"/>
                <w:lang w:val="en-US" w:eastAsia="zh-CN"/>
              </w:rPr>
              <w:t>1</w:t>
            </w:r>
            <w:r>
              <w:rPr>
                <w:rFonts w:ascii="宋体" w:hAnsi="宋体" w:eastAsia="宋体" w:cs="宋体"/>
                <w:color w:val="333333"/>
                <w:kern w:val="0"/>
                <w:sz w:val="19"/>
                <w:szCs w:val="19"/>
              </w:rPr>
              <w:t>类区标准限值要求。</w:t>
            </w:r>
          </w:p>
          <w:p w14:paraId="35DD8EF5">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本项目线路在运营期间产生的噪声不会对区域声环境质量产生较大影响，线路途经区域声环境质量仍可以满足《声环境质量标准》(GB3096-2008)中</w:t>
            </w:r>
            <w:r>
              <w:rPr>
                <w:rFonts w:hint="eastAsia" w:ascii="宋体" w:hAnsi="宋体" w:eastAsia="宋体" w:cs="宋体"/>
                <w:color w:val="333333"/>
                <w:kern w:val="0"/>
                <w:sz w:val="19"/>
                <w:szCs w:val="19"/>
                <w:lang w:val="en-US" w:eastAsia="zh-CN"/>
              </w:rPr>
              <w:t>1类</w:t>
            </w:r>
            <w:r>
              <w:rPr>
                <w:rFonts w:hint="default" w:ascii="宋体" w:hAnsi="宋体" w:eastAsia="宋体" w:cs="宋体"/>
                <w:color w:val="333333"/>
                <w:kern w:val="0"/>
                <w:sz w:val="19"/>
                <w:szCs w:val="19"/>
              </w:rPr>
              <w:t>标准要求。工程线路运行后对沿线声环境保护</w:t>
            </w:r>
            <w:r>
              <w:rPr>
                <w:rFonts w:hint="eastAsia" w:ascii="宋体" w:hAnsi="宋体" w:eastAsia="宋体" w:cs="宋体"/>
                <w:color w:val="333333"/>
                <w:kern w:val="0"/>
                <w:sz w:val="19"/>
                <w:szCs w:val="19"/>
                <w:lang w:eastAsia="zh-CN"/>
              </w:rPr>
              <w:t>目标</w:t>
            </w:r>
            <w:r>
              <w:rPr>
                <w:rFonts w:hint="default" w:ascii="宋体" w:hAnsi="宋体" w:eastAsia="宋体" w:cs="宋体"/>
                <w:color w:val="333333"/>
                <w:kern w:val="0"/>
                <w:sz w:val="19"/>
                <w:szCs w:val="19"/>
              </w:rPr>
              <w:t>的影响，可以满足《声环境质量标准》(GB3096-2008)</w:t>
            </w:r>
            <w:r>
              <w:rPr>
                <w:rFonts w:hint="eastAsia" w:ascii="宋体" w:hAnsi="宋体" w:eastAsia="宋体" w:cs="宋体"/>
                <w:color w:val="333333"/>
                <w:kern w:val="0"/>
                <w:sz w:val="19"/>
                <w:szCs w:val="19"/>
                <w:lang w:eastAsia="zh-CN"/>
              </w:rPr>
              <w:t>1类</w:t>
            </w:r>
            <w:r>
              <w:rPr>
                <w:rFonts w:hint="default" w:ascii="宋体" w:hAnsi="宋体" w:eastAsia="宋体" w:cs="宋体"/>
                <w:color w:val="333333"/>
                <w:kern w:val="0"/>
                <w:sz w:val="19"/>
                <w:szCs w:val="19"/>
              </w:rPr>
              <w:t>声环境功能区要求。</w:t>
            </w:r>
          </w:p>
          <w:p w14:paraId="0E3BFD79">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 xml:space="preserve">(3)水环境影响 </w:t>
            </w:r>
          </w:p>
          <w:p w14:paraId="4813AE65">
            <w:pPr>
              <w:widowControl/>
              <w:snapToGrid w:val="0"/>
              <w:ind w:left="0" w:leftChars="0" w:right="0" w:rightChars="0" w:firstLine="0" w:firstLineChars="0"/>
              <w:jc w:val="left"/>
              <w:rPr>
                <w:rFonts w:ascii="宋体" w:hAnsi="宋体" w:eastAsia="宋体" w:cs="宋体"/>
                <w:color w:val="333333"/>
                <w:kern w:val="0"/>
                <w:sz w:val="19"/>
                <w:szCs w:val="19"/>
              </w:rPr>
            </w:pPr>
            <w:r>
              <w:rPr>
                <w:rFonts w:ascii="宋体" w:hAnsi="宋体" w:eastAsia="宋体" w:cs="宋体"/>
                <w:color w:val="333333"/>
                <w:kern w:val="0"/>
                <w:sz w:val="19"/>
                <w:szCs w:val="19"/>
              </w:rPr>
              <w:t>变电站巡检人员产生的生活污水经化粪池处理后定期清运，不外排，对周围水环境影响较小。</w:t>
            </w:r>
          </w:p>
          <w:p w14:paraId="306E737A">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输电线路运营期无废水产生，对周围水环境无影响。</w:t>
            </w:r>
          </w:p>
          <w:p w14:paraId="02F93E41">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(4)固体废物影响</w:t>
            </w:r>
          </w:p>
          <w:p w14:paraId="331273C3">
            <w:pPr>
              <w:widowControl/>
              <w:snapToGrid w:val="0"/>
              <w:ind w:left="0" w:leftChars="0" w:right="0" w:rightChars="0" w:firstLine="0" w:firstLineChars="0"/>
              <w:jc w:val="left"/>
              <w:rPr>
                <w:rFonts w:hint="eastAsia" w:ascii="宋体" w:hAnsi="宋体" w:eastAsia="宋体" w:cs="宋体"/>
                <w:color w:val="333333"/>
                <w:kern w:val="0"/>
                <w:sz w:val="19"/>
                <w:szCs w:val="19"/>
                <w:lang w:eastAsia="zh-CN"/>
              </w:rPr>
            </w:pPr>
            <w:r>
              <w:rPr>
                <w:rFonts w:ascii="宋体" w:hAnsi="宋体" w:eastAsia="宋体" w:cs="宋体"/>
                <w:color w:val="333333"/>
                <w:kern w:val="0"/>
                <w:sz w:val="19"/>
                <w:szCs w:val="19"/>
              </w:rPr>
              <w:t>变电站产生的固体废物主要是工作人员的生活垃圾，经收集后由环卫部门统一处理。产生的废变压器油和废旧蓄电池为危险废物，统一收集后，交有相应危险废物经营许可证的单位统一处理，对周围环境无影响</w:t>
            </w:r>
            <w:r>
              <w:rPr>
                <w:rFonts w:hint="eastAsia" w:ascii="宋体" w:hAnsi="宋体" w:eastAsia="宋体" w:cs="宋体"/>
                <w:color w:val="333333"/>
                <w:kern w:val="0"/>
                <w:sz w:val="19"/>
                <w:szCs w:val="19"/>
                <w:lang w:eastAsia="zh-CN"/>
              </w:rPr>
              <w:t>。</w:t>
            </w:r>
          </w:p>
          <w:p w14:paraId="3B54CD22">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输电线路运营期无固体废物产生，对周围环境无影响。</w:t>
            </w:r>
          </w:p>
          <w:p w14:paraId="1CA8D014">
            <w:pPr>
              <w:widowControl/>
              <w:numPr>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w:t>
            </w:r>
            <w:r>
              <w:rPr>
                <w:rFonts w:hint="eastAsia" w:ascii="宋体" w:hAnsi="宋体" w:eastAsia="宋体" w:cs="宋体"/>
                <w:color w:val="333333"/>
                <w:kern w:val="0"/>
                <w:sz w:val="19"/>
                <w:szCs w:val="19"/>
                <w:lang w:val="en-US" w:eastAsia="zh-CN"/>
              </w:rPr>
              <w:t>5</w:t>
            </w:r>
            <w:r>
              <w:rPr>
                <w:rFonts w:hint="default" w:ascii="宋体" w:hAnsi="宋体" w:eastAsia="宋体" w:cs="宋体"/>
                <w:color w:val="333333"/>
                <w:kern w:val="0"/>
                <w:sz w:val="19"/>
                <w:szCs w:val="19"/>
              </w:rPr>
              <w:t>)</w:t>
            </w:r>
            <w:r>
              <w:rPr>
                <w:rFonts w:hint="default" w:ascii="宋体" w:hAnsi="宋体" w:eastAsia="宋体" w:cs="宋体"/>
                <w:color w:val="333333"/>
                <w:kern w:val="0"/>
                <w:sz w:val="19"/>
                <w:szCs w:val="19"/>
              </w:rPr>
              <w:t>生态影响</w:t>
            </w:r>
          </w:p>
          <w:p w14:paraId="08300043">
            <w:pPr>
              <w:widowControl/>
              <w:numPr>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本项目运行过程中主要环境影响因子为工频电场、工频磁场及噪声，对生态影响较小。</w:t>
            </w:r>
          </w:p>
          <w:p w14:paraId="03CB943B">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(6)环境风险</w:t>
            </w:r>
          </w:p>
          <w:p w14:paraId="3FB32595">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rPr>
              <w:t>本</w:t>
            </w:r>
            <w:r>
              <w:rPr>
                <w:rFonts w:ascii="宋体" w:hAnsi="宋体" w:eastAsia="宋体" w:cs="宋体"/>
                <w:color w:val="333333"/>
                <w:kern w:val="0"/>
                <w:sz w:val="19"/>
                <w:szCs w:val="19"/>
              </w:rPr>
              <w:t>工程将采取有效的事故防范措施，制定相应的应急预案，</w:t>
            </w:r>
            <w:r>
              <w:rPr>
                <w:rFonts w:hint="eastAsia" w:ascii="宋体" w:hAnsi="宋体" w:eastAsia="宋体" w:cs="宋体"/>
                <w:color w:val="333333"/>
                <w:kern w:val="0"/>
                <w:sz w:val="19"/>
                <w:szCs w:val="19"/>
              </w:rPr>
              <w:t>本</w:t>
            </w:r>
            <w:r>
              <w:rPr>
                <w:rFonts w:ascii="宋体" w:hAnsi="宋体" w:eastAsia="宋体" w:cs="宋体"/>
                <w:color w:val="333333"/>
                <w:kern w:val="0"/>
                <w:sz w:val="19"/>
                <w:szCs w:val="19"/>
              </w:rPr>
              <w:t>工程运行后潜在的环境风险是可以接受的。</w:t>
            </w:r>
          </w:p>
          <w:p w14:paraId="4987D0D4">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二</w:t>
            </w:r>
            <w:r>
              <w:rPr>
                <w:rFonts w:hint="eastAsia" w:ascii="宋体" w:hAnsi="宋体" w:eastAsia="宋体" w:cs="宋体"/>
                <w:color w:val="333333"/>
                <w:kern w:val="0"/>
                <w:sz w:val="19"/>
                <w:szCs w:val="19"/>
              </w:rPr>
              <w:t>、其他安全设施及措施</w:t>
            </w:r>
          </w:p>
          <w:p w14:paraId="6DF6C303">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(1)建设过程要加强施工队伍的教育和监管，落实周围植被的保护措施。施工期应尽可能避开雨季，工程完工后要尽快恢复原地貌，减少水土流失。</w:t>
            </w:r>
          </w:p>
          <w:p w14:paraId="4FBAE123">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(2)本工程选线过程中尽量避开居民区等环境敏感目标。</w:t>
            </w:r>
          </w:p>
          <w:p w14:paraId="61AAB848">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(3)严格按照《110kV～750kV架空输电线路设计规范》(GB50545-2010)和《电力工程电缆设计标准》(GB50217-2018)中相关要求进行设计及施工。</w:t>
            </w:r>
          </w:p>
          <w:p w14:paraId="49E4405A">
            <w:pPr>
              <w:widowControl/>
              <w:snapToGrid w:val="0"/>
              <w:ind w:left="0" w:leftChars="0" w:right="0" w:rightChars="0" w:firstLine="0" w:firstLineChars="0"/>
              <w:jc w:val="left"/>
              <w:rPr>
                <w:rFonts w:ascii="宋体" w:hAnsi="宋体" w:eastAsia="宋体" w:cs="宋体"/>
                <w:color w:val="333333"/>
                <w:kern w:val="0"/>
                <w:sz w:val="19"/>
                <w:szCs w:val="19"/>
              </w:rPr>
            </w:pPr>
          </w:p>
        </w:tc>
        <w:tc>
          <w:tcPr>
            <w:tcW w:w="45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D6F8DF3">
            <w:pPr>
              <w:widowControl/>
              <w:snapToGrid w:val="0"/>
              <w:ind w:left="0" w:leftChars="0" w:right="0" w:rightChars="0" w:firstLine="0" w:firstLineChars="0"/>
              <w:jc w:val="center"/>
              <w:rPr>
                <w:rFonts w:ascii="宋体" w:eastAsia="宋体"/>
                <w:color w:val="333333"/>
                <w:sz w:val="19"/>
                <w:szCs w:val="19"/>
                <w:shd w:val="clear" w:color="auto" w:fill="FAFAFA"/>
              </w:rPr>
            </w:pPr>
            <w:r>
              <w:rPr>
                <w:rFonts w:hint="eastAsia" w:ascii="宋体" w:eastAsia="宋体"/>
                <w:color w:val="333333"/>
                <w:sz w:val="19"/>
                <w:szCs w:val="19"/>
                <w:shd w:val="clear" w:color="auto" w:fill="FAFAFA"/>
              </w:rPr>
              <w:t>无</w:t>
            </w:r>
          </w:p>
        </w:tc>
        <w:tc>
          <w:tcPr>
            <w:tcW w:w="70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AB49E49">
            <w:pPr>
              <w:widowControl/>
              <w:snapToGrid w:val="0"/>
              <w:ind w:left="0" w:leftChars="0" w:right="0" w:rightChars="0" w:firstLine="0" w:firstLineChars="0"/>
              <w:jc w:val="center"/>
              <w:rPr>
                <w:rFonts w:ascii="宋体" w:eastAsia="宋体"/>
                <w:color w:val="333333"/>
                <w:sz w:val="19"/>
                <w:szCs w:val="19"/>
                <w:shd w:val="clear" w:color="auto" w:fill="FAFAFA"/>
              </w:rPr>
            </w:pPr>
            <w:r>
              <w:rPr>
                <w:rFonts w:hint="eastAsia" w:ascii="宋体" w:eastAsia="宋体"/>
                <w:color w:val="333333"/>
                <w:sz w:val="19"/>
                <w:szCs w:val="19"/>
                <w:shd w:val="clear" w:color="auto" w:fill="FAFAFA"/>
              </w:rPr>
              <w:t>无</w:t>
            </w:r>
          </w:p>
        </w:tc>
      </w:tr>
      <w:tr w14:paraId="0F54398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394" w:type="dxa"/>
            <w:tcBorders>
              <w:top w:val="single" w:color="auto" w:sz="6" w:space="0"/>
              <w:left w:val="single" w:color="auto" w:sz="6" w:space="0"/>
              <w:bottom w:val="single" w:color="auto" w:sz="6" w:space="0"/>
              <w:right w:val="single" w:color="auto" w:sz="6" w:space="0"/>
            </w:tcBorders>
            <w:shd w:val="clear" w:color="auto" w:fill="auto"/>
            <w:tcMar>
              <w:top w:w="0" w:type="dxa"/>
              <w:left w:w="95" w:type="dxa"/>
              <w:bottom w:w="0" w:type="dxa"/>
              <w:right w:w="95" w:type="dxa"/>
            </w:tcMar>
            <w:vAlign w:val="center"/>
          </w:tcPr>
          <w:p w14:paraId="34E1AE9E">
            <w:pPr>
              <w:widowControl/>
              <w:snapToGrid w:val="0"/>
              <w:ind w:left="0" w:leftChars="0" w:right="0" w:rightChars="0" w:firstLine="0" w:firstLineChars="0"/>
              <w:jc w:val="center"/>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2</w:t>
            </w:r>
          </w:p>
        </w:tc>
        <w:tc>
          <w:tcPr>
            <w:tcW w:w="73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2955CCD4">
            <w:pPr>
              <w:widowControl/>
              <w:snapToGrid w:val="0"/>
              <w:ind w:left="0" w:leftChars="0" w:right="0" w:rightChars="0" w:firstLine="0" w:firstLineChars="0"/>
              <w:jc w:val="left"/>
              <w:rPr>
                <w:rFonts w:hint="eastAsia"/>
                <w:color w:val="333333"/>
                <w:sz w:val="19"/>
                <w:szCs w:val="19"/>
                <w:shd w:val="clear" w:color="auto" w:fill="FAFAFA"/>
              </w:rPr>
            </w:pPr>
            <w:r>
              <w:rPr>
                <w:rFonts w:hint="eastAsia" w:asciiTheme="majorEastAsia" w:hAnsiTheme="majorEastAsia" w:eastAsiaTheme="majorEastAsia" w:cstheme="majorEastAsia"/>
                <w:kern w:val="0"/>
                <w:sz w:val="21"/>
                <w:szCs w:val="21"/>
                <w:lang w:val="en-US" w:eastAsia="zh-CN"/>
              </w:rPr>
              <w:t>山东威海镆铘220千伏变电站2号主变扩建工程</w:t>
            </w:r>
          </w:p>
        </w:tc>
        <w:tc>
          <w:tcPr>
            <w:tcW w:w="1083"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A245325">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bookmarkStart w:id="1" w:name="OLE_LINK1"/>
            <w:r>
              <w:rPr>
                <w:rFonts w:hint="eastAsia" w:asciiTheme="majorEastAsia" w:hAnsiTheme="majorEastAsia" w:eastAsiaTheme="majorEastAsia" w:cstheme="majorEastAsia"/>
                <w:kern w:val="0"/>
                <w:sz w:val="21"/>
                <w:szCs w:val="21"/>
                <w:lang w:val="en-US" w:eastAsia="zh-CN"/>
              </w:rPr>
              <w:t>威海市荣成市宁津街道西约7公里，谭村林家村南约200米</w:t>
            </w:r>
            <w:bookmarkEnd w:id="1"/>
          </w:p>
        </w:tc>
        <w:tc>
          <w:tcPr>
            <w:tcW w:w="578"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09EEA037">
            <w:pPr>
              <w:widowControl/>
              <w:snapToGrid w:val="0"/>
              <w:ind w:left="0" w:leftChars="0" w:right="0" w:rightChars="0" w:firstLine="0" w:firstLineChars="0"/>
              <w:jc w:val="center"/>
              <w:rPr>
                <w:rFonts w:hint="eastAsia"/>
                <w:color w:val="333333"/>
                <w:sz w:val="19"/>
                <w:szCs w:val="19"/>
                <w:shd w:val="clear" w:color="auto" w:fill="FAFAFA"/>
              </w:rPr>
            </w:pPr>
            <w:r>
              <w:rPr>
                <w:rFonts w:hint="eastAsia"/>
                <w:color w:val="333333"/>
                <w:sz w:val="19"/>
                <w:szCs w:val="19"/>
                <w:shd w:val="clear" w:color="auto" w:fill="FAFAFA"/>
              </w:rPr>
              <w:t>国网山东省电力公司威海供电公司</w:t>
            </w:r>
          </w:p>
        </w:tc>
        <w:tc>
          <w:tcPr>
            <w:tcW w:w="551"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5557BAA0">
            <w:pPr>
              <w:widowControl/>
              <w:snapToGrid w:val="0"/>
              <w:ind w:left="0" w:leftChars="0" w:right="0" w:rightChars="0" w:firstLine="0" w:firstLineChars="0"/>
              <w:jc w:val="center"/>
              <w:rPr>
                <w:rFonts w:hint="eastAsia" w:asciiTheme="majorEastAsia" w:hAnsiTheme="majorEastAsia" w:eastAsiaTheme="majorEastAsia" w:cstheme="majorEastAsia"/>
                <w:kern w:val="0"/>
                <w:sz w:val="21"/>
                <w:szCs w:val="21"/>
              </w:rPr>
            </w:pPr>
            <w:r>
              <w:rPr>
                <w:rFonts w:hint="eastAsia" w:asciiTheme="majorEastAsia" w:hAnsiTheme="majorEastAsia" w:eastAsiaTheme="majorEastAsia" w:cstheme="majorEastAsia"/>
                <w:kern w:val="0"/>
                <w:sz w:val="21"/>
                <w:szCs w:val="21"/>
              </w:rPr>
              <w:t>山东省环科院环境检测有限公司</w:t>
            </w:r>
          </w:p>
        </w:tc>
        <w:tc>
          <w:tcPr>
            <w:tcW w:w="263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F4A3EB5">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镆铘220kV变电站站址</w:t>
            </w:r>
            <w:bookmarkStart w:id="2" w:name="OLE_LINK10"/>
            <w:r>
              <w:rPr>
                <w:rFonts w:hint="eastAsia" w:ascii="宋体" w:hAnsi="宋体" w:eastAsia="宋体" w:cs="宋体"/>
                <w:color w:val="333333"/>
                <w:kern w:val="0"/>
                <w:sz w:val="19"/>
                <w:szCs w:val="19"/>
                <w:lang w:val="en-US" w:eastAsia="zh-CN"/>
              </w:rPr>
              <w:t>：</w:t>
            </w:r>
            <w:r>
              <w:rPr>
                <w:rFonts w:hint="default" w:ascii="宋体" w:hAnsi="宋体" w:eastAsia="宋体" w:cs="宋体"/>
                <w:color w:val="333333"/>
                <w:kern w:val="0"/>
                <w:sz w:val="19"/>
                <w:szCs w:val="19"/>
                <w:lang w:val="en-US" w:eastAsia="zh-CN"/>
              </w:rPr>
              <w:t>威海市荣成市宁津</w:t>
            </w:r>
            <w:r>
              <w:rPr>
                <w:rFonts w:hint="eastAsia" w:ascii="宋体" w:hAnsi="宋体" w:eastAsia="宋体" w:cs="宋体"/>
                <w:color w:val="333333"/>
                <w:kern w:val="0"/>
                <w:sz w:val="19"/>
                <w:szCs w:val="19"/>
                <w:lang w:val="en-US" w:eastAsia="zh-CN"/>
              </w:rPr>
              <w:t>街道</w:t>
            </w:r>
            <w:r>
              <w:rPr>
                <w:rFonts w:hint="default" w:ascii="宋体" w:hAnsi="宋体" w:eastAsia="宋体" w:cs="宋体"/>
                <w:color w:val="333333"/>
                <w:kern w:val="0"/>
                <w:sz w:val="19"/>
                <w:szCs w:val="19"/>
                <w:lang w:val="en-US" w:eastAsia="zh-CN"/>
              </w:rPr>
              <w:t>西约7公里，谭村林家村</w:t>
            </w:r>
            <w:r>
              <w:rPr>
                <w:rFonts w:hint="eastAsia" w:ascii="宋体" w:hAnsi="宋体" w:eastAsia="宋体" w:cs="宋体"/>
                <w:color w:val="333333"/>
                <w:kern w:val="0"/>
                <w:sz w:val="19"/>
                <w:szCs w:val="19"/>
                <w:lang w:val="en-US" w:eastAsia="zh-CN"/>
              </w:rPr>
              <w:t>南</w:t>
            </w:r>
            <w:r>
              <w:rPr>
                <w:rFonts w:hint="default" w:ascii="宋体" w:hAnsi="宋体" w:eastAsia="宋体" w:cs="宋体"/>
                <w:color w:val="333333"/>
                <w:kern w:val="0"/>
                <w:sz w:val="19"/>
                <w:szCs w:val="19"/>
                <w:lang w:val="en-US" w:eastAsia="zh-CN"/>
              </w:rPr>
              <w:t>约200米</w:t>
            </w:r>
            <w:bookmarkEnd w:id="2"/>
            <w:r>
              <w:rPr>
                <w:rFonts w:hint="default" w:ascii="宋体" w:hAnsi="宋体" w:eastAsia="宋体" w:cs="宋体"/>
                <w:color w:val="333333"/>
                <w:kern w:val="0"/>
                <w:sz w:val="19"/>
                <w:szCs w:val="19"/>
                <w:lang w:val="en-US" w:eastAsia="zh-CN"/>
              </w:rPr>
              <w:t>；站址北侧为农田和池塘，东侧为农田，西侧为农田，南侧为农田。</w:t>
            </w:r>
            <w:bookmarkStart w:id="3" w:name="OLE_LINK16"/>
            <w:bookmarkStart w:id="4" w:name="OLE_LINK11"/>
            <w:r>
              <w:rPr>
                <w:rFonts w:hint="default" w:ascii="宋体" w:hAnsi="宋体" w:eastAsia="宋体" w:cs="宋体"/>
                <w:color w:val="333333"/>
                <w:kern w:val="0"/>
                <w:sz w:val="19"/>
                <w:szCs w:val="19"/>
                <w:lang w:val="en-US" w:eastAsia="zh-CN"/>
              </w:rPr>
              <w:t>220kV变电站主变规模为现有1×180MVA有载调压变压器，本期安装1×180MVA有载调压变压器，电压等级为220/110/35kV，主变户外布置。220kV、110kV配电装置采用户内GIS布置。新建220kV出线间隔2回，110kV出线间隔4回，</w:t>
            </w:r>
            <w:bookmarkEnd w:id="3"/>
            <w:r>
              <w:rPr>
                <w:rFonts w:hint="default" w:ascii="宋体" w:hAnsi="宋体" w:eastAsia="宋体" w:cs="宋体"/>
                <w:color w:val="333333"/>
                <w:kern w:val="0"/>
                <w:sz w:val="19"/>
                <w:szCs w:val="19"/>
                <w:lang w:val="en-US" w:eastAsia="zh-CN"/>
              </w:rPr>
              <w:t>新建1座有效容积为69m³的贮油坑，拆除原有事故油池，新建1座有效容积为60m³的事故油池。</w:t>
            </w:r>
            <w:bookmarkEnd w:id="4"/>
          </w:p>
          <w:p w14:paraId="129157FF">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工程总投资3990万元，其中环保投资50万元。</w:t>
            </w:r>
          </w:p>
          <w:p w14:paraId="29F1B546">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p>
        </w:tc>
        <w:tc>
          <w:tcPr>
            <w:tcW w:w="3747"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5626E5C2">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一、</w:t>
            </w:r>
            <w:r>
              <w:rPr>
                <w:rFonts w:hint="eastAsia" w:ascii="宋体" w:hAnsi="宋体" w:eastAsia="宋体" w:cs="宋体"/>
                <w:color w:val="333333"/>
                <w:kern w:val="0"/>
                <w:sz w:val="19"/>
                <w:szCs w:val="19"/>
              </w:rPr>
              <w:t>主要环境影响</w:t>
            </w:r>
          </w:p>
          <w:p w14:paraId="7E7CB144">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（一）</w:t>
            </w:r>
            <w:r>
              <w:rPr>
                <w:rFonts w:hint="eastAsia" w:ascii="宋体" w:hAnsi="宋体" w:eastAsia="宋体" w:cs="宋体"/>
                <w:color w:val="333333"/>
                <w:kern w:val="0"/>
                <w:sz w:val="19"/>
                <w:szCs w:val="19"/>
              </w:rPr>
              <w:t>施工期</w:t>
            </w:r>
            <w:r>
              <w:rPr>
                <w:rFonts w:hint="eastAsia" w:ascii="宋体" w:hAnsi="宋体" w:eastAsia="宋体" w:cs="宋体"/>
                <w:color w:val="333333"/>
                <w:kern w:val="0"/>
                <w:sz w:val="19"/>
                <w:szCs w:val="19"/>
                <w:lang w:val="en-US" w:eastAsia="zh-CN"/>
              </w:rPr>
              <w:t>环境影响</w:t>
            </w:r>
          </w:p>
          <w:p w14:paraId="08AAAD20">
            <w:pPr>
              <w:widowControl/>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 xml:space="preserve">项目施工期将产生施工噪声，对周围环境有一定的影响，建筑施工中产生的扬尘、废水、固体废弃物等也会对周围环境造成影响，但这些影响都将随着工程的完工而自然消失。切实做好防护工作，合理安排施工，使其对环境的影响减至最低限度，以尽量减少对环境的影响和对周围居民的干扰。 </w:t>
            </w:r>
          </w:p>
          <w:p w14:paraId="1D86DF07">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bidi="ar-SA"/>
              </w:rPr>
              <w:t>（二）</w:t>
            </w:r>
            <w:r>
              <w:rPr>
                <w:rFonts w:hint="default" w:ascii="宋体" w:hAnsi="宋体" w:eastAsia="宋体" w:cs="宋体"/>
                <w:color w:val="333333"/>
                <w:kern w:val="0"/>
                <w:sz w:val="19"/>
                <w:szCs w:val="19"/>
              </w:rPr>
              <w:t>运营期间环境影响</w:t>
            </w:r>
          </w:p>
          <w:p w14:paraId="1E7F13DC">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（1）电磁环境</w:t>
            </w:r>
            <w:r>
              <w:rPr>
                <w:rFonts w:hint="eastAsia" w:ascii="宋体" w:hAnsi="宋体" w:eastAsia="宋体" w:cs="宋体"/>
                <w:color w:val="333333"/>
                <w:kern w:val="0"/>
                <w:sz w:val="19"/>
                <w:szCs w:val="19"/>
                <w:lang w:val="en-US" w:eastAsia="zh-CN"/>
              </w:rPr>
              <w:t>影响</w:t>
            </w:r>
          </w:p>
          <w:p w14:paraId="4D6F9566">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 xml:space="preserve">根据类比预测结果表明，变电站规划规模建成投产后周围的工频电场强度、工频磁感应强度均符合《电磁环境控制限值》(GB8702-2014)频率为50Hz时电场强度为4000V/m、磁感应强度为100μT的公众曝露控制限值要求。 </w:t>
            </w:r>
          </w:p>
          <w:p w14:paraId="25D38B47">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（2）声环境影响</w:t>
            </w:r>
          </w:p>
          <w:p w14:paraId="5722E37C">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根据理论预测可知，变电站对四周厂界外1m处的预测值符合</w:t>
            </w:r>
            <w:bookmarkStart w:id="5" w:name="OLE_LINK7"/>
            <w:r>
              <w:rPr>
                <w:rFonts w:hint="default" w:ascii="宋体" w:hAnsi="宋体" w:eastAsia="宋体" w:cs="宋体"/>
                <w:color w:val="333333"/>
                <w:kern w:val="0"/>
                <w:sz w:val="19"/>
                <w:szCs w:val="19"/>
                <w:lang w:val="en-US" w:eastAsia="zh-CN"/>
              </w:rPr>
              <w:t>《工业企业厂界环境噪声排放标准》(GB12348-2008)中2类区标准限值要求（昼间60dB(A)、夜间50dB(A)）</w:t>
            </w:r>
            <w:bookmarkEnd w:id="5"/>
            <w:r>
              <w:rPr>
                <w:rFonts w:hint="default" w:ascii="宋体" w:hAnsi="宋体" w:eastAsia="宋体" w:cs="宋体"/>
                <w:color w:val="333333"/>
                <w:kern w:val="0"/>
                <w:sz w:val="19"/>
                <w:szCs w:val="19"/>
                <w:lang w:val="en-US" w:eastAsia="zh-CN"/>
              </w:rPr>
              <w:t>。</w:t>
            </w:r>
          </w:p>
          <w:p w14:paraId="7C895FBF">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 xml:space="preserve">（3）水环境影响 </w:t>
            </w:r>
          </w:p>
          <w:p w14:paraId="7787F052">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rPr>
              <w:t>变电站为无人值守，</w:t>
            </w:r>
            <w:r>
              <w:rPr>
                <w:rFonts w:hint="default" w:ascii="宋体" w:hAnsi="宋体" w:eastAsia="宋体" w:cs="宋体"/>
                <w:color w:val="333333"/>
                <w:kern w:val="0"/>
                <w:sz w:val="19"/>
                <w:szCs w:val="19"/>
                <w:lang w:val="en-US" w:eastAsia="zh-CN"/>
              </w:rPr>
              <w:t>不新增巡检人员，不新增生活污水</w:t>
            </w:r>
            <w:r>
              <w:rPr>
                <w:rFonts w:hint="default" w:ascii="宋体" w:hAnsi="宋体" w:eastAsia="宋体" w:cs="宋体"/>
                <w:color w:val="333333"/>
                <w:kern w:val="0"/>
                <w:sz w:val="19"/>
                <w:szCs w:val="19"/>
              </w:rPr>
              <w:t>。</w:t>
            </w:r>
            <w:r>
              <w:rPr>
                <w:rFonts w:hint="default" w:ascii="宋体" w:hAnsi="宋体" w:eastAsia="宋体" w:cs="宋体"/>
                <w:color w:val="333333"/>
                <w:kern w:val="0"/>
                <w:sz w:val="19"/>
                <w:szCs w:val="19"/>
                <w:lang w:val="en-US" w:eastAsia="zh-CN"/>
              </w:rPr>
              <w:t>变电站巡检人员产生的生活污水纳入站内现有化粪池进行处理，不外排，对周围水环境无影响。</w:t>
            </w:r>
          </w:p>
          <w:p w14:paraId="6F3777D7">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 xml:space="preserve">（4）固体废物影响 </w:t>
            </w:r>
          </w:p>
          <w:p w14:paraId="738457E0">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项目建设不新增巡检人员，不新增生活垃圾，变电站巡检人员产生的生活垃圾经站内垃圾箱收集后，由环卫部门定期进行清运，对周围环境无影响。</w:t>
            </w:r>
          </w:p>
          <w:p w14:paraId="49C59F1D">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变电站产生的废变压器油和废旧蓄电池为危险废物，统一收集后，交有相应危险废物处置资质的单位统一处置，对周围环境无影响。</w:t>
            </w:r>
          </w:p>
          <w:p w14:paraId="23102BAB">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（5）环境风险</w:t>
            </w:r>
          </w:p>
          <w:p w14:paraId="3F3491E1">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拟建工程将采取有效的事故防范措施，制定相应的应急预案，拟建工程运行后潜在的环境风险是可以接受的。</w:t>
            </w:r>
          </w:p>
          <w:p w14:paraId="2666B4E9">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二</w:t>
            </w:r>
            <w:r>
              <w:rPr>
                <w:rFonts w:hint="eastAsia" w:ascii="宋体" w:hAnsi="宋体" w:eastAsia="宋体" w:cs="宋体"/>
                <w:color w:val="333333"/>
                <w:kern w:val="0"/>
                <w:sz w:val="19"/>
                <w:szCs w:val="19"/>
              </w:rPr>
              <w:t>、其他安全设施及措施</w:t>
            </w:r>
          </w:p>
          <w:p w14:paraId="6361125A">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（1）建设过程要加强施工队伍的教育和监管。施工期应尽可能避开雨季开挖，工程完工后要尽快恢复原地貌，减少水土流失。</w:t>
            </w:r>
          </w:p>
          <w:p w14:paraId="699DA470">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lang w:val="en-US" w:eastAsia="zh-CN"/>
              </w:rPr>
              <w:t>2</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rPr>
              <w:t>本工程</w:t>
            </w:r>
            <w:r>
              <w:rPr>
                <w:rFonts w:hint="default" w:ascii="宋体" w:hAnsi="宋体" w:eastAsia="宋体" w:cs="宋体"/>
                <w:color w:val="333333"/>
                <w:kern w:val="0"/>
                <w:sz w:val="19"/>
                <w:szCs w:val="19"/>
                <w:lang w:val="en-US" w:eastAsia="zh-CN"/>
              </w:rPr>
              <w:t>于变电站站内预留位置进行建设，不涉及选址</w:t>
            </w:r>
            <w:r>
              <w:rPr>
                <w:rFonts w:hint="default" w:ascii="宋体" w:hAnsi="宋体" w:eastAsia="宋体" w:cs="宋体"/>
                <w:color w:val="333333"/>
                <w:kern w:val="0"/>
                <w:sz w:val="19"/>
                <w:szCs w:val="19"/>
              </w:rPr>
              <w:t>。</w:t>
            </w:r>
          </w:p>
          <w:p w14:paraId="6EE6E0B7">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（3）</w:t>
            </w:r>
            <w:r>
              <w:rPr>
                <w:rFonts w:hint="default" w:ascii="宋体" w:hAnsi="宋体" w:eastAsia="宋体" w:cs="宋体"/>
                <w:color w:val="333333"/>
                <w:kern w:val="0"/>
                <w:sz w:val="19"/>
                <w:szCs w:val="19"/>
              </w:rPr>
              <w:t>选用低噪声主变，建设单位要求在设备招投标时距主变1m处的噪声</w:t>
            </w:r>
            <w:r>
              <w:rPr>
                <w:rFonts w:hint="default" w:ascii="宋体" w:hAnsi="宋体" w:eastAsia="宋体" w:cs="宋体"/>
                <w:color w:val="333333"/>
                <w:kern w:val="0"/>
                <w:sz w:val="19"/>
                <w:szCs w:val="19"/>
                <w:lang w:eastAsia="zh-CN"/>
              </w:rPr>
              <w:t>源强</w:t>
            </w:r>
            <w:r>
              <w:rPr>
                <w:rFonts w:hint="default" w:ascii="宋体" w:hAnsi="宋体" w:eastAsia="宋体" w:cs="宋体"/>
                <w:color w:val="333333"/>
                <w:kern w:val="0"/>
                <w:sz w:val="19"/>
                <w:szCs w:val="19"/>
              </w:rPr>
              <w:t>不大于</w:t>
            </w:r>
            <w:r>
              <w:rPr>
                <w:rFonts w:hint="default" w:ascii="宋体" w:hAnsi="宋体" w:eastAsia="宋体" w:cs="宋体"/>
                <w:color w:val="333333"/>
                <w:kern w:val="0"/>
                <w:sz w:val="19"/>
                <w:szCs w:val="19"/>
                <w:lang w:val="en-US" w:eastAsia="zh-CN"/>
              </w:rPr>
              <w:t>70</w:t>
            </w:r>
            <w:r>
              <w:rPr>
                <w:rFonts w:hint="default" w:ascii="宋体" w:hAnsi="宋体" w:eastAsia="宋体" w:cs="宋体"/>
                <w:color w:val="333333"/>
                <w:kern w:val="0"/>
                <w:sz w:val="19"/>
                <w:szCs w:val="19"/>
              </w:rPr>
              <w:t>dB(A)。</w:t>
            </w:r>
          </w:p>
          <w:p w14:paraId="14330D3F">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p>
          <w:p w14:paraId="076E4D12">
            <w:pPr>
              <w:widowControl/>
              <w:numPr>
                <w:numId w:val="0"/>
              </w:numPr>
              <w:snapToGrid w:val="0"/>
              <w:ind w:leftChars="0" w:right="0" w:rightChars="0"/>
              <w:jc w:val="left"/>
              <w:rPr>
                <w:rFonts w:hint="default" w:ascii="宋体" w:hAnsi="宋体" w:eastAsia="宋体" w:cs="宋体"/>
                <w:color w:val="333333"/>
                <w:kern w:val="0"/>
                <w:sz w:val="19"/>
                <w:szCs w:val="19"/>
              </w:rPr>
            </w:pPr>
          </w:p>
        </w:tc>
        <w:tc>
          <w:tcPr>
            <w:tcW w:w="45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278ABFB2">
            <w:pPr>
              <w:widowControl/>
              <w:snapToGrid w:val="0"/>
              <w:ind w:left="0" w:leftChars="0" w:right="0" w:rightChars="0" w:firstLine="0" w:firstLineChars="0"/>
              <w:jc w:val="center"/>
              <w:rPr>
                <w:rFonts w:hint="eastAsia" w:ascii="宋体" w:eastAsia="宋体"/>
                <w:color w:val="333333"/>
                <w:sz w:val="19"/>
                <w:szCs w:val="19"/>
                <w:shd w:val="clear" w:color="auto" w:fill="FAFAFA"/>
                <w:lang w:val="en-US" w:eastAsia="zh-CN"/>
              </w:rPr>
            </w:pPr>
            <w:r>
              <w:rPr>
                <w:rFonts w:hint="eastAsia" w:ascii="宋体" w:eastAsia="宋体"/>
                <w:color w:val="333333"/>
                <w:sz w:val="19"/>
                <w:szCs w:val="19"/>
                <w:shd w:val="clear" w:color="auto" w:fill="FAFAFA"/>
                <w:lang w:val="en-US" w:eastAsia="zh-CN"/>
              </w:rPr>
              <w:t>无</w:t>
            </w:r>
          </w:p>
        </w:tc>
        <w:tc>
          <w:tcPr>
            <w:tcW w:w="70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741730CA">
            <w:pPr>
              <w:widowControl/>
              <w:snapToGrid w:val="0"/>
              <w:ind w:left="0" w:leftChars="0" w:right="0" w:rightChars="0" w:firstLine="0" w:firstLineChars="0"/>
              <w:jc w:val="center"/>
              <w:rPr>
                <w:rFonts w:hint="eastAsia" w:ascii="宋体" w:eastAsia="宋体"/>
                <w:color w:val="333333"/>
                <w:sz w:val="19"/>
                <w:szCs w:val="19"/>
                <w:shd w:val="clear" w:color="auto" w:fill="FAFAFA"/>
                <w:lang w:val="en-US" w:eastAsia="zh-CN"/>
              </w:rPr>
            </w:pPr>
            <w:r>
              <w:rPr>
                <w:rFonts w:hint="eastAsia" w:ascii="宋体" w:eastAsia="宋体"/>
                <w:color w:val="333333"/>
                <w:sz w:val="19"/>
                <w:szCs w:val="19"/>
                <w:shd w:val="clear" w:color="auto" w:fill="FAFAFA"/>
                <w:lang w:val="en-US" w:eastAsia="zh-CN"/>
              </w:rPr>
              <w:t>无</w:t>
            </w:r>
          </w:p>
        </w:tc>
      </w:tr>
    </w:tbl>
    <w:p w14:paraId="0684419B">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 </w:t>
      </w:r>
    </w:p>
    <w:sectPr>
      <w:pgSz w:w="11906" w:h="16838"/>
      <w:pgMar w:top="567" w:right="284" w:bottom="567" w:left="2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49F52D"/>
    <w:multiLevelType w:val="singleLevel"/>
    <w:tmpl w:val="6A49F52D"/>
    <w:lvl w:ilvl="0" w:tentative="0">
      <w:start w:val="1"/>
      <w:numFmt w:val="bullet"/>
      <w:pStyle w:val="4"/>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EC9"/>
    <w:rsid w:val="00141194"/>
    <w:rsid w:val="001A3623"/>
    <w:rsid w:val="00290245"/>
    <w:rsid w:val="002B4A3E"/>
    <w:rsid w:val="002C536F"/>
    <w:rsid w:val="002C6440"/>
    <w:rsid w:val="0039710E"/>
    <w:rsid w:val="003E08FA"/>
    <w:rsid w:val="004378C6"/>
    <w:rsid w:val="004628E8"/>
    <w:rsid w:val="004634D4"/>
    <w:rsid w:val="004F5448"/>
    <w:rsid w:val="00536A0D"/>
    <w:rsid w:val="00693A23"/>
    <w:rsid w:val="0075375F"/>
    <w:rsid w:val="008F6A3E"/>
    <w:rsid w:val="00923A38"/>
    <w:rsid w:val="00A06678"/>
    <w:rsid w:val="00B411B8"/>
    <w:rsid w:val="00C90EC9"/>
    <w:rsid w:val="00E938DD"/>
    <w:rsid w:val="00EC3AE1"/>
    <w:rsid w:val="00ED7DF2"/>
    <w:rsid w:val="00FB3B23"/>
    <w:rsid w:val="0DE05E1E"/>
    <w:rsid w:val="3BFC6ACD"/>
    <w:rsid w:val="5CF70577"/>
    <w:rsid w:val="5E5238CE"/>
    <w:rsid w:val="5F7B4286"/>
    <w:rsid w:val="6AD5790C"/>
    <w:rsid w:val="FFBB76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nhideWhenUsed="0" w:uiPriority="0" w:semiHidden="0" w:name="Body Text First Indent"/>
    <w:lsdException w:qFormat="1" w:uiPriority="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3"/>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4"/>
    <w:qFormat/>
    <w:uiPriority w:val="1"/>
    <w:pPr>
      <w:ind w:left="103"/>
    </w:pPr>
    <w:rPr>
      <w:rFonts w:ascii="宋体" w:hAnsi="宋体" w:eastAsia="宋体" w:cs="宋体"/>
      <w:sz w:val="24"/>
      <w:szCs w:val="24"/>
      <w:lang w:val="zh-CN" w:eastAsia="zh-CN" w:bidi="zh-CN"/>
    </w:rPr>
  </w:style>
  <w:style w:type="paragraph" w:styleId="4">
    <w:name w:val="List Bullet 5"/>
    <w:basedOn w:val="1"/>
    <w:semiHidden/>
    <w:unhideWhenUsed/>
    <w:uiPriority w:val="99"/>
    <w:pPr>
      <w:numPr>
        <w:ilvl w:val="0"/>
        <w:numId w:val="1"/>
      </w:numPr>
    </w:pPr>
  </w:style>
  <w:style w:type="paragraph" w:styleId="5">
    <w:name w:val="Body Text Indent"/>
    <w:basedOn w:val="1"/>
    <w:next w:val="6"/>
    <w:qFormat/>
    <w:uiPriority w:val="99"/>
    <w:pPr>
      <w:spacing w:after="120"/>
      <w:ind w:left="420" w:leftChars="200"/>
    </w:pPr>
  </w:style>
  <w:style w:type="paragraph" w:styleId="6">
    <w:name w:val="toc 4"/>
    <w:next w:val="1"/>
    <w:qFormat/>
    <w:uiPriority w:val="0"/>
    <w:pPr>
      <w:wordWrap w:val="0"/>
      <w:ind w:left="850"/>
      <w:jc w:val="both"/>
    </w:pPr>
    <w:rPr>
      <w:rFonts w:ascii="宋体" w:hAnsi="宋体" w:eastAsia="宋体" w:cs="宋体"/>
      <w:sz w:val="21"/>
      <w:lang w:val="en-US" w:eastAsia="zh-CN" w:bidi="ar-SA"/>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3"/>
    <w:next w:val="1"/>
    <w:uiPriority w:val="0"/>
    <w:pPr>
      <w:adjustRightInd w:val="0"/>
      <w:snapToGrid w:val="0"/>
      <w:spacing w:line="500" w:lineRule="exact"/>
      <w:ind w:firstLine="480" w:firstLineChars="200"/>
    </w:pPr>
    <w:rPr>
      <w:rFonts w:ascii="宋体" w:hAnsi="宋体"/>
      <w:kern w:val="2"/>
      <w:sz w:val="24"/>
      <w:szCs w:val="18"/>
      <w:lang w:val="en-US" w:eastAsia="zh-CN" w:bidi="ar-SA"/>
    </w:rPr>
  </w:style>
  <w:style w:type="paragraph" w:styleId="9">
    <w:name w:val="Body Text First Indent 2"/>
    <w:basedOn w:val="5"/>
    <w:next w:val="1"/>
    <w:semiHidden/>
    <w:unhideWhenUsed/>
    <w:qFormat/>
    <w:uiPriority w:val="0"/>
    <w:pPr>
      <w:ind w:firstLine="420" w:firstLineChars="200"/>
    </w:pPr>
  </w:style>
  <w:style w:type="character" w:styleId="12">
    <w:name w:val="Strong"/>
    <w:basedOn w:val="11"/>
    <w:qFormat/>
    <w:uiPriority w:val="22"/>
    <w:rPr>
      <w:b/>
      <w:bCs/>
    </w:rPr>
  </w:style>
  <w:style w:type="character" w:customStyle="1" w:styleId="13">
    <w:name w:val="标题 2 Char"/>
    <w:basedOn w:val="11"/>
    <w:link w:val="2"/>
    <w:qFormat/>
    <w:uiPriority w:val="9"/>
    <w:rPr>
      <w:rFonts w:ascii="宋体" w:hAnsi="宋体" w:eastAsia="宋体" w:cs="宋体"/>
      <w:b/>
      <w:bCs/>
      <w:kern w:val="0"/>
      <w:sz w:val="36"/>
      <w:szCs w:val="36"/>
    </w:rPr>
  </w:style>
  <w:style w:type="paragraph" w:styleId="14">
    <w:name w:val="List Paragraph"/>
    <w:basedOn w:val="1"/>
    <w:qFormat/>
    <w:uiPriority w:val="1"/>
    <w:pPr>
      <w:ind w:left="103" w:firstLine="480"/>
    </w:pPr>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5251</Words>
  <Characters>5507</Characters>
  <Lines>20</Lines>
  <Paragraphs>5</Paragraphs>
  <TotalTime>0</TotalTime>
  <ScaleCrop>false</ScaleCrop>
  <LinksUpToDate>false</LinksUpToDate>
  <CharactersWithSpaces>5510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2021-03-04T22:48:00Z</dcterms:created>
  <dc:creator>LENOVO</dc:creator>
  <cp:lastModifiedBy>月夜殇</cp:lastModifiedBy>
  <dcterms:modified xsi:type="dcterms:W3CDTF">2025-11-11T02:47:05Z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63EB915F6D1B405B81DF4B412122A21B_13</vt:lpwstr>
  </property>
  <property fmtid="{D5CDD505-2E9C-101B-9397-08002B2CF9AE}" pid="4" name="KSOTemplateDocerSaveRecord">
    <vt:lpwstr>eyJoZGlkIjoiZjBlMzBiOGNmZGQ0YjViZDc3NzM1YmU5ZDgxZDI5ZjAiLCJ1c2VySWQiOiIyNTg0ODIyNTAifQ==</vt:lpwstr>
  </property>
</Properties>
</file>