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6449C">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outlineLvl w:val="0"/>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pacing w:val="18"/>
          <w:sz w:val="44"/>
          <w:szCs w:val="44"/>
          <w:lang w:eastAsia="zh-CN"/>
        </w:rPr>
        <w:t>荣成</w:t>
      </w:r>
      <w:r>
        <w:rPr>
          <w:rFonts w:ascii="方正小标宋简体" w:hAnsi="方正小标宋简体" w:eastAsia="方正小标宋简体" w:cs="方正小标宋简体"/>
          <w:spacing w:val="18"/>
          <w:sz w:val="44"/>
          <w:szCs w:val="44"/>
        </w:rPr>
        <w:t>市交通运输局</w:t>
      </w:r>
      <w:r>
        <w:rPr>
          <w:rFonts w:hint="eastAsia" w:ascii="方正小标宋简体" w:hAnsi="方正小标宋简体" w:eastAsia="方正小标宋简体" w:cs="方正小标宋简体"/>
          <w:spacing w:val="18"/>
          <w:sz w:val="44"/>
          <w:szCs w:val="44"/>
          <w:lang w:eastAsia="zh-CN"/>
        </w:rPr>
        <w:t>行政</w:t>
      </w:r>
      <w:r>
        <w:rPr>
          <w:rFonts w:ascii="方正小标宋简体" w:hAnsi="方正小标宋简体" w:eastAsia="方正小标宋简体" w:cs="方正小标宋简体"/>
          <w:spacing w:val="18"/>
          <w:sz w:val="44"/>
          <w:szCs w:val="44"/>
        </w:rPr>
        <w:t>指导</w:t>
      </w:r>
      <w:r>
        <w:rPr>
          <w:rFonts w:hint="eastAsia" w:ascii="方正小标宋简体" w:hAnsi="方正小标宋简体" w:eastAsia="方正小标宋简体" w:cs="方正小标宋简体"/>
          <w:spacing w:val="18"/>
          <w:sz w:val="44"/>
          <w:szCs w:val="44"/>
          <w:lang w:eastAsia="zh-CN"/>
        </w:rPr>
        <w:t>事项</w:t>
      </w:r>
      <w:r>
        <w:rPr>
          <w:rFonts w:ascii="方正小标宋简体" w:hAnsi="方正小标宋简体" w:eastAsia="方正小标宋简体" w:cs="方正小标宋简体"/>
          <w:spacing w:val="18"/>
          <w:sz w:val="44"/>
          <w:szCs w:val="44"/>
        </w:rPr>
        <w:t>清单</w:t>
      </w:r>
      <w:r>
        <w:rPr>
          <w:rFonts w:hint="eastAsia" w:ascii="方正小标宋简体" w:hAnsi="方正小标宋简体" w:eastAsia="方正小标宋简体" w:cs="方正小标宋简体"/>
          <w:spacing w:val="18"/>
          <w:sz w:val="44"/>
          <w:szCs w:val="44"/>
          <w:lang w:eastAsia="zh-CN"/>
        </w:rPr>
        <w:t>（动态调整）</w:t>
      </w:r>
    </w:p>
    <w:p w14:paraId="22288812">
      <w:pPr>
        <w:spacing w:line="167" w:lineRule="exact"/>
      </w:pPr>
    </w:p>
    <w:tbl>
      <w:tblPr>
        <w:tblStyle w:val="5"/>
        <w:tblW w:w="500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1"/>
        <w:gridCol w:w="1390"/>
        <w:gridCol w:w="1332"/>
        <w:gridCol w:w="8267"/>
        <w:gridCol w:w="738"/>
        <w:gridCol w:w="2407"/>
        <w:gridCol w:w="1400"/>
      </w:tblGrid>
      <w:tr w14:paraId="2D7D30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blHeader/>
        </w:trPr>
        <w:tc>
          <w:tcPr>
            <w:tcW w:w="168" w:type="pct"/>
            <w:vAlign w:val="center"/>
          </w:tcPr>
          <w:p w14:paraId="429E0761">
            <w:pPr>
              <w:keepNext w:val="0"/>
              <w:keepLines w:val="0"/>
              <w:pageBreakBefore w:val="0"/>
              <w:widowControl w:val="0"/>
              <w:kinsoku/>
              <w:wordWrap/>
              <w:overflowPunct/>
              <w:topLinePunct w:val="0"/>
              <w:autoSpaceDE/>
              <w:autoSpaceDN/>
              <w:bidi w:val="0"/>
              <w:adjustRightInd/>
              <w:snapToGrid/>
              <w:spacing w:line="440" w:lineRule="exact"/>
              <w:ind w:left="0" w:right="0"/>
              <w:jc w:val="center"/>
              <w:textAlignment w:val="auto"/>
              <w:rPr>
                <w:rFonts w:hint="eastAsia" w:ascii="宋体" w:hAnsi="宋体" w:eastAsia="仿宋_GB2312" w:cs="仿宋_GB2312"/>
                <w:b w:val="0"/>
                <w:bCs/>
                <w:snapToGrid/>
                <w:color w:val="000000"/>
                <w:kern w:val="0"/>
                <w:sz w:val="32"/>
                <w:szCs w:val="32"/>
                <w:lang w:val="en-US" w:eastAsia="zh-CN" w:bidi="ar"/>
              </w:rPr>
            </w:pPr>
            <w:r>
              <w:rPr>
                <w:rFonts w:hint="eastAsia" w:ascii="宋体" w:hAnsi="宋体" w:eastAsia="仿宋_GB2312" w:cs="仿宋_GB2312"/>
                <w:b w:val="0"/>
                <w:bCs/>
                <w:snapToGrid/>
                <w:color w:val="000000"/>
                <w:kern w:val="0"/>
                <w:sz w:val="32"/>
                <w:szCs w:val="32"/>
                <w:lang w:val="en-US" w:eastAsia="zh-CN" w:bidi="ar"/>
              </w:rPr>
              <w:t>序号</w:t>
            </w:r>
          </w:p>
        </w:tc>
        <w:tc>
          <w:tcPr>
            <w:tcW w:w="432" w:type="pct"/>
            <w:vAlign w:val="center"/>
          </w:tcPr>
          <w:p w14:paraId="4031D8AC">
            <w:pPr>
              <w:keepNext w:val="0"/>
              <w:keepLines w:val="0"/>
              <w:pageBreakBefore w:val="0"/>
              <w:widowControl w:val="0"/>
              <w:kinsoku/>
              <w:wordWrap/>
              <w:overflowPunct/>
              <w:topLinePunct w:val="0"/>
              <w:autoSpaceDE/>
              <w:autoSpaceDN/>
              <w:bidi w:val="0"/>
              <w:adjustRightInd/>
              <w:snapToGrid/>
              <w:spacing w:line="440" w:lineRule="exact"/>
              <w:ind w:left="0" w:right="0"/>
              <w:jc w:val="center"/>
              <w:textAlignment w:val="auto"/>
              <w:rPr>
                <w:rFonts w:hint="eastAsia" w:ascii="宋体" w:hAnsi="宋体" w:eastAsia="仿宋_GB2312" w:cs="仿宋_GB2312"/>
                <w:b w:val="0"/>
                <w:bCs/>
                <w:snapToGrid/>
                <w:color w:val="000000"/>
                <w:kern w:val="0"/>
                <w:sz w:val="32"/>
                <w:szCs w:val="32"/>
                <w:lang w:val="en-US" w:eastAsia="zh-CN" w:bidi="ar"/>
              </w:rPr>
            </w:pPr>
            <w:r>
              <w:rPr>
                <w:rFonts w:hint="eastAsia" w:ascii="宋体" w:hAnsi="宋体" w:eastAsia="仿宋_GB2312" w:cs="仿宋_GB2312"/>
                <w:b w:val="0"/>
                <w:bCs/>
                <w:snapToGrid/>
                <w:color w:val="000000"/>
                <w:spacing w:val="-23"/>
                <w:w w:val="96"/>
                <w:kern w:val="0"/>
                <w:sz w:val="32"/>
                <w:szCs w:val="32"/>
                <w:lang w:val="en-US" w:eastAsia="zh-CN" w:bidi="ar"/>
              </w:rPr>
              <w:t>指导事项</w:t>
            </w:r>
          </w:p>
        </w:tc>
        <w:tc>
          <w:tcPr>
            <w:tcW w:w="414" w:type="pct"/>
            <w:vAlign w:val="center"/>
          </w:tcPr>
          <w:p w14:paraId="54D73253">
            <w:pPr>
              <w:keepNext w:val="0"/>
              <w:keepLines w:val="0"/>
              <w:pageBreakBefore w:val="0"/>
              <w:widowControl w:val="0"/>
              <w:kinsoku/>
              <w:wordWrap/>
              <w:overflowPunct/>
              <w:topLinePunct w:val="0"/>
              <w:autoSpaceDE/>
              <w:autoSpaceDN/>
              <w:bidi w:val="0"/>
              <w:adjustRightInd/>
              <w:snapToGrid/>
              <w:spacing w:line="440" w:lineRule="exact"/>
              <w:ind w:left="0" w:right="0"/>
              <w:jc w:val="center"/>
              <w:textAlignment w:val="auto"/>
              <w:rPr>
                <w:rFonts w:hint="eastAsia" w:ascii="宋体" w:hAnsi="宋体" w:eastAsia="仿宋_GB2312" w:cs="仿宋_GB2312"/>
                <w:b w:val="0"/>
                <w:bCs/>
                <w:snapToGrid/>
                <w:color w:val="000000"/>
                <w:kern w:val="0"/>
                <w:sz w:val="32"/>
                <w:szCs w:val="32"/>
                <w:lang w:val="en-US" w:eastAsia="zh-CN" w:bidi="ar"/>
              </w:rPr>
            </w:pPr>
            <w:r>
              <w:rPr>
                <w:rFonts w:hint="eastAsia" w:ascii="宋体" w:hAnsi="宋体" w:eastAsia="仿宋_GB2312" w:cs="仿宋_GB2312"/>
                <w:b w:val="0"/>
                <w:bCs/>
                <w:snapToGrid/>
                <w:color w:val="000000"/>
                <w:spacing w:val="-23"/>
                <w:w w:val="96"/>
                <w:kern w:val="0"/>
                <w:sz w:val="32"/>
                <w:szCs w:val="32"/>
                <w:lang w:val="en-US" w:eastAsia="zh-CN" w:bidi="ar"/>
              </w:rPr>
              <w:t>违法表现</w:t>
            </w:r>
          </w:p>
        </w:tc>
        <w:tc>
          <w:tcPr>
            <w:tcW w:w="2570" w:type="pct"/>
            <w:vAlign w:val="center"/>
          </w:tcPr>
          <w:p w14:paraId="23795D2A">
            <w:pPr>
              <w:keepNext w:val="0"/>
              <w:keepLines w:val="0"/>
              <w:pageBreakBefore w:val="0"/>
              <w:widowControl w:val="0"/>
              <w:kinsoku/>
              <w:wordWrap/>
              <w:overflowPunct/>
              <w:topLinePunct w:val="0"/>
              <w:autoSpaceDE/>
              <w:autoSpaceDN/>
              <w:bidi w:val="0"/>
              <w:adjustRightInd/>
              <w:snapToGrid/>
              <w:spacing w:line="440" w:lineRule="exact"/>
              <w:ind w:left="0" w:right="0"/>
              <w:jc w:val="center"/>
              <w:textAlignment w:val="auto"/>
              <w:rPr>
                <w:rFonts w:hint="eastAsia" w:ascii="宋体" w:hAnsi="宋体" w:eastAsia="仿宋_GB2312" w:cs="仿宋_GB2312"/>
                <w:b w:val="0"/>
                <w:bCs/>
                <w:snapToGrid/>
                <w:color w:val="000000"/>
                <w:kern w:val="0"/>
                <w:sz w:val="32"/>
                <w:szCs w:val="32"/>
                <w:lang w:val="en-US" w:eastAsia="zh-CN" w:bidi="ar"/>
              </w:rPr>
            </w:pPr>
            <w:r>
              <w:rPr>
                <w:rFonts w:hint="eastAsia" w:ascii="宋体" w:hAnsi="宋体" w:eastAsia="仿宋_GB2312" w:cs="仿宋_GB2312"/>
                <w:b w:val="0"/>
                <w:bCs/>
                <w:snapToGrid/>
                <w:color w:val="000000"/>
                <w:kern w:val="0"/>
                <w:sz w:val="32"/>
                <w:szCs w:val="32"/>
                <w:lang w:val="en-US" w:eastAsia="zh-CN" w:bidi="ar"/>
              </w:rPr>
              <w:t>法律依据和违法责任</w:t>
            </w:r>
          </w:p>
        </w:tc>
        <w:tc>
          <w:tcPr>
            <w:tcW w:w="229" w:type="pct"/>
            <w:vAlign w:val="center"/>
          </w:tcPr>
          <w:p w14:paraId="14A69BC2">
            <w:pPr>
              <w:keepNext w:val="0"/>
              <w:keepLines w:val="0"/>
              <w:pageBreakBefore w:val="0"/>
              <w:widowControl w:val="0"/>
              <w:kinsoku/>
              <w:wordWrap/>
              <w:overflowPunct/>
              <w:topLinePunct w:val="0"/>
              <w:autoSpaceDE/>
              <w:autoSpaceDN/>
              <w:bidi w:val="0"/>
              <w:adjustRightInd/>
              <w:snapToGrid/>
              <w:spacing w:line="440" w:lineRule="exact"/>
              <w:ind w:left="0" w:right="0"/>
              <w:jc w:val="center"/>
              <w:textAlignment w:val="auto"/>
              <w:rPr>
                <w:rFonts w:hint="eastAsia" w:ascii="宋体" w:hAnsi="宋体" w:eastAsia="仿宋_GB2312" w:cs="仿宋_GB2312"/>
                <w:b w:val="0"/>
                <w:bCs/>
                <w:snapToGrid/>
                <w:color w:val="000000"/>
                <w:kern w:val="0"/>
                <w:sz w:val="32"/>
                <w:szCs w:val="32"/>
                <w:lang w:val="en-US" w:eastAsia="zh-CN" w:bidi="ar"/>
              </w:rPr>
            </w:pPr>
            <w:r>
              <w:rPr>
                <w:rFonts w:hint="eastAsia" w:ascii="宋体" w:hAnsi="宋体" w:eastAsia="仿宋_GB2312" w:cs="仿宋_GB2312"/>
                <w:b w:val="0"/>
                <w:bCs/>
                <w:snapToGrid/>
                <w:color w:val="000000"/>
                <w:spacing w:val="-23"/>
                <w:w w:val="96"/>
                <w:kern w:val="0"/>
                <w:sz w:val="32"/>
                <w:szCs w:val="32"/>
                <w:lang w:val="en-US" w:eastAsia="zh-CN" w:bidi="ar"/>
              </w:rPr>
              <w:t>风险等级</w:t>
            </w:r>
          </w:p>
        </w:tc>
        <w:tc>
          <w:tcPr>
            <w:tcW w:w="748" w:type="pct"/>
            <w:vAlign w:val="center"/>
          </w:tcPr>
          <w:p w14:paraId="00030F05">
            <w:pPr>
              <w:keepNext w:val="0"/>
              <w:keepLines w:val="0"/>
              <w:pageBreakBefore w:val="0"/>
              <w:widowControl w:val="0"/>
              <w:kinsoku/>
              <w:wordWrap/>
              <w:overflowPunct/>
              <w:topLinePunct w:val="0"/>
              <w:autoSpaceDE/>
              <w:autoSpaceDN/>
              <w:bidi w:val="0"/>
              <w:adjustRightInd/>
              <w:snapToGrid/>
              <w:spacing w:line="440" w:lineRule="exact"/>
              <w:ind w:left="0" w:right="0"/>
              <w:jc w:val="center"/>
              <w:textAlignment w:val="auto"/>
              <w:rPr>
                <w:rFonts w:hint="eastAsia" w:ascii="宋体" w:hAnsi="宋体" w:eastAsia="仿宋_GB2312" w:cs="仿宋_GB2312"/>
                <w:b w:val="0"/>
                <w:bCs/>
                <w:snapToGrid/>
                <w:color w:val="000000"/>
                <w:kern w:val="0"/>
                <w:sz w:val="32"/>
                <w:szCs w:val="32"/>
                <w:lang w:val="en-US" w:eastAsia="zh-CN" w:bidi="ar"/>
              </w:rPr>
            </w:pPr>
            <w:r>
              <w:rPr>
                <w:rFonts w:hint="eastAsia" w:ascii="宋体" w:hAnsi="宋体" w:eastAsia="仿宋_GB2312" w:cs="仿宋_GB2312"/>
                <w:b w:val="0"/>
                <w:bCs/>
                <w:snapToGrid/>
                <w:color w:val="000000"/>
                <w:spacing w:val="-23"/>
                <w:w w:val="96"/>
                <w:kern w:val="0"/>
                <w:sz w:val="32"/>
                <w:szCs w:val="32"/>
                <w:lang w:val="en-US" w:eastAsia="zh-CN" w:bidi="ar"/>
              </w:rPr>
              <w:t>合规建议</w:t>
            </w:r>
          </w:p>
        </w:tc>
        <w:tc>
          <w:tcPr>
            <w:tcW w:w="435" w:type="pct"/>
            <w:vAlign w:val="center"/>
          </w:tcPr>
          <w:p w14:paraId="3745BBCE">
            <w:pPr>
              <w:keepNext w:val="0"/>
              <w:keepLines w:val="0"/>
              <w:pageBreakBefore w:val="0"/>
              <w:widowControl w:val="0"/>
              <w:kinsoku/>
              <w:wordWrap/>
              <w:overflowPunct/>
              <w:topLinePunct w:val="0"/>
              <w:autoSpaceDE/>
              <w:autoSpaceDN/>
              <w:bidi w:val="0"/>
              <w:adjustRightInd/>
              <w:snapToGrid/>
              <w:spacing w:line="440" w:lineRule="exact"/>
              <w:ind w:left="0" w:right="0"/>
              <w:jc w:val="center"/>
              <w:textAlignment w:val="auto"/>
              <w:rPr>
                <w:rFonts w:hint="eastAsia" w:ascii="宋体" w:hAnsi="宋体" w:eastAsia="仿宋_GB2312" w:cs="仿宋_GB2312"/>
                <w:b w:val="0"/>
                <w:bCs/>
                <w:snapToGrid/>
                <w:color w:val="000000"/>
                <w:spacing w:val="-28"/>
                <w:w w:val="95"/>
                <w:kern w:val="0"/>
                <w:sz w:val="32"/>
                <w:szCs w:val="32"/>
                <w:lang w:val="en-US" w:eastAsia="zh-CN" w:bidi="ar"/>
              </w:rPr>
            </w:pPr>
            <w:r>
              <w:rPr>
                <w:rFonts w:hint="eastAsia" w:ascii="宋体" w:hAnsi="宋体" w:eastAsia="仿宋_GB2312" w:cs="仿宋_GB2312"/>
                <w:b w:val="0"/>
                <w:bCs/>
                <w:snapToGrid/>
                <w:color w:val="000000"/>
                <w:spacing w:val="-28"/>
                <w:w w:val="95"/>
                <w:kern w:val="0"/>
                <w:sz w:val="32"/>
                <w:szCs w:val="32"/>
                <w:lang w:val="en-US" w:eastAsia="zh-CN" w:bidi="ar"/>
              </w:rPr>
              <w:t>指导单位</w:t>
            </w:r>
          </w:p>
          <w:p w14:paraId="2695CBAA">
            <w:pPr>
              <w:keepNext w:val="0"/>
              <w:keepLines w:val="0"/>
              <w:pageBreakBefore w:val="0"/>
              <w:widowControl w:val="0"/>
              <w:kinsoku/>
              <w:wordWrap/>
              <w:overflowPunct/>
              <w:topLinePunct w:val="0"/>
              <w:autoSpaceDE/>
              <w:autoSpaceDN/>
              <w:bidi w:val="0"/>
              <w:adjustRightInd/>
              <w:snapToGrid/>
              <w:spacing w:line="440" w:lineRule="exact"/>
              <w:ind w:left="0" w:right="0"/>
              <w:jc w:val="center"/>
              <w:textAlignment w:val="auto"/>
              <w:rPr>
                <w:rFonts w:hint="eastAsia" w:ascii="宋体" w:hAnsi="宋体" w:eastAsia="仿宋_GB2312" w:cs="仿宋_GB2312"/>
                <w:b w:val="0"/>
                <w:bCs/>
                <w:snapToGrid/>
                <w:color w:val="000000"/>
                <w:kern w:val="0"/>
                <w:sz w:val="32"/>
                <w:szCs w:val="32"/>
                <w:lang w:val="en-US" w:eastAsia="zh-CN" w:bidi="ar"/>
              </w:rPr>
            </w:pPr>
            <w:r>
              <w:rPr>
                <w:rFonts w:hint="eastAsia" w:ascii="宋体" w:hAnsi="宋体" w:eastAsia="仿宋_GB2312" w:cs="仿宋_GB2312"/>
                <w:b w:val="0"/>
                <w:bCs/>
                <w:snapToGrid/>
                <w:color w:val="000000"/>
                <w:spacing w:val="-28"/>
                <w:w w:val="95"/>
                <w:kern w:val="0"/>
                <w:sz w:val="32"/>
                <w:szCs w:val="32"/>
                <w:lang w:val="en-US" w:eastAsia="zh-CN" w:bidi="ar"/>
              </w:rPr>
              <w:t>及办公电话</w:t>
            </w:r>
          </w:p>
        </w:tc>
      </w:tr>
      <w:tr w14:paraId="760AB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8" w:hRule="atLeast"/>
        </w:trPr>
        <w:tc>
          <w:tcPr>
            <w:tcW w:w="168" w:type="pct"/>
            <w:vAlign w:val="center"/>
          </w:tcPr>
          <w:p w14:paraId="0C8944FD">
            <w:pPr>
              <w:keepNext w:val="0"/>
              <w:keepLines w:val="0"/>
              <w:pageBreakBefore w:val="0"/>
              <w:wordWrap/>
              <w:overflowPunct/>
              <w:topLinePunct w:val="0"/>
              <w:bidi w:val="0"/>
              <w:spacing w:line="373" w:lineRule="exact"/>
              <w:ind w:left="0" w:right="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position w:val="1"/>
                <w:sz w:val="21"/>
                <w:szCs w:val="21"/>
                <w:highlight w:val="none"/>
              </w:rPr>
              <w:t>1</w:t>
            </w:r>
          </w:p>
        </w:tc>
        <w:tc>
          <w:tcPr>
            <w:tcW w:w="432" w:type="pct"/>
            <w:vAlign w:val="center"/>
          </w:tcPr>
          <w:p w14:paraId="2F3C38F1">
            <w:pPr>
              <w:keepNext w:val="0"/>
              <w:keepLines w:val="0"/>
              <w:pageBreakBefore w:val="0"/>
              <w:wordWrap/>
              <w:overflowPunct/>
              <w:topLinePunct w:val="0"/>
              <w:bidi w:val="0"/>
              <w:spacing w:line="239" w:lineRule="auto"/>
              <w:ind w:left="0" w:right="0"/>
              <w:jc w:val="both"/>
              <w:rPr>
                <w:rFonts w:hint="eastAsia" w:asciiTheme="minorEastAsia" w:hAnsiTheme="minorEastAsia" w:eastAsiaTheme="minorEastAsia" w:cstheme="minorEastAsia"/>
                <w:b w:val="0"/>
                <w:bCs/>
                <w:snapToGrid/>
                <w:color w:val="FF0000"/>
                <w:kern w:val="0"/>
                <w:sz w:val="21"/>
                <w:szCs w:val="21"/>
                <w:highlight w:val="none"/>
                <w:vertAlign w:val="baseline"/>
                <w:lang w:val="en-US" w:eastAsia="zh-CN" w:bidi="ar"/>
              </w:rPr>
            </w:pPr>
            <w:r>
              <w:rPr>
                <w:rFonts w:hint="eastAsia" w:asciiTheme="minorEastAsia" w:hAnsiTheme="minorEastAsia" w:eastAsiaTheme="minorEastAsia" w:cstheme="minorEastAsia"/>
                <w:sz w:val="21"/>
                <w:szCs w:val="21"/>
                <w:highlight w:val="none"/>
              </w:rPr>
              <w:t>在公路上行驶的车辆，</w:t>
            </w:r>
            <w:r>
              <w:rPr>
                <w:rFonts w:hint="eastAsia" w:asciiTheme="minorEastAsia" w:hAnsiTheme="minorEastAsia" w:eastAsiaTheme="minorEastAsia" w:cstheme="minorEastAsia"/>
                <w:spacing w:val="1"/>
                <w:sz w:val="21"/>
                <w:szCs w:val="21"/>
                <w:highlight w:val="none"/>
              </w:rPr>
              <w:t>车货总体的外廓尺寸、轴荷或者总质量</w:t>
            </w:r>
            <w:r>
              <w:rPr>
                <w:rFonts w:hint="eastAsia" w:asciiTheme="minorEastAsia" w:hAnsiTheme="minorEastAsia" w:eastAsiaTheme="minorEastAsia" w:cstheme="minorEastAsia"/>
                <w:spacing w:val="1"/>
                <w:sz w:val="21"/>
                <w:szCs w:val="21"/>
                <w:highlight w:val="none"/>
                <w:lang w:eastAsia="zh-CN"/>
              </w:rPr>
              <w:t>应当符合</w:t>
            </w:r>
            <w:r>
              <w:rPr>
                <w:rFonts w:hint="eastAsia" w:asciiTheme="minorEastAsia" w:hAnsiTheme="minorEastAsia" w:eastAsiaTheme="minorEastAsia" w:cstheme="minorEastAsia"/>
                <w:spacing w:val="1"/>
                <w:sz w:val="21"/>
                <w:szCs w:val="21"/>
                <w:highlight w:val="none"/>
              </w:rPr>
              <w:t>公路、公路桥梁、公路隧道、汽车渡船限定标准</w:t>
            </w:r>
          </w:p>
        </w:tc>
        <w:tc>
          <w:tcPr>
            <w:tcW w:w="414" w:type="pct"/>
            <w:vAlign w:val="center"/>
          </w:tcPr>
          <w:p w14:paraId="239EECA0">
            <w:pPr>
              <w:keepNext w:val="0"/>
              <w:keepLines w:val="0"/>
              <w:pageBreakBefore w:val="0"/>
              <w:wordWrap/>
              <w:overflowPunct/>
              <w:topLinePunct w:val="0"/>
              <w:bidi w:val="0"/>
              <w:ind w:left="0" w:right="0" w:rightChars="0"/>
              <w:jc w:val="both"/>
              <w:rPr>
                <w:rFonts w:hint="eastAsia" w:asciiTheme="minorEastAsia" w:hAnsiTheme="minorEastAsia" w:eastAsiaTheme="minorEastAsia" w:cstheme="minorEastAsia"/>
                <w:b w:val="0"/>
                <w:bCs/>
                <w:snapToGrid/>
                <w:color w:val="FF0000"/>
                <w:kern w:val="0"/>
                <w:sz w:val="21"/>
                <w:szCs w:val="21"/>
                <w:highlight w:val="none"/>
                <w:vertAlign w:val="baseline"/>
                <w:lang w:val="en-US" w:eastAsia="zh-CN" w:bidi="ar"/>
              </w:rPr>
            </w:pPr>
            <w:r>
              <w:rPr>
                <w:rFonts w:hint="eastAsia" w:asciiTheme="minorEastAsia" w:hAnsiTheme="minorEastAsia" w:eastAsiaTheme="minorEastAsia" w:cstheme="minorEastAsia"/>
                <w:sz w:val="21"/>
                <w:szCs w:val="21"/>
                <w:highlight w:val="none"/>
              </w:rPr>
              <w:t>超过公路、公路桥梁、公路隧道限载、限高</w:t>
            </w:r>
            <w:r>
              <w:rPr>
                <w:rFonts w:hint="eastAsia" w:asciiTheme="minorEastAsia" w:hAnsiTheme="minorEastAsia" w:eastAsiaTheme="minorEastAsia" w:cstheme="minorEastAsia"/>
                <w:spacing w:val="1"/>
                <w:sz w:val="21"/>
                <w:szCs w:val="21"/>
                <w:highlight w:val="none"/>
              </w:rPr>
              <w:t>、限宽、限长标准的车辆在公路、公路桥梁或者公路隧道行驶</w:t>
            </w:r>
            <w:r>
              <w:rPr>
                <w:rFonts w:hint="eastAsia" w:asciiTheme="minorEastAsia" w:hAnsiTheme="minorEastAsia" w:eastAsiaTheme="minorEastAsia" w:cstheme="minorEastAsia"/>
                <w:spacing w:val="1"/>
                <w:sz w:val="21"/>
                <w:szCs w:val="21"/>
                <w:highlight w:val="none"/>
                <w:lang w:eastAsia="zh-CN"/>
              </w:rPr>
              <w:t>；</w:t>
            </w:r>
            <w:r>
              <w:rPr>
                <w:rFonts w:hint="eastAsia" w:asciiTheme="minorEastAsia" w:hAnsiTheme="minorEastAsia" w:eastAsiaTheme="minorEastAsia" w:cstheme="minorEastAsia"/>
                <w:spacing w:val="1"/>
                <w:sz w:val="21"/>
                <w:szCs w:val="21"/>
                <w:highlight w:val="none"/>
              </w:rPr>
              <w:t>超过汽车渡船限载、限高、限宽、限长标准</w:t>
            </w:r>
            <w:r>
              <w:rPr>
                <w:rFonts w:hint="eastAsia" w:asciiTheme="minorEastAsia" w:hAnsiTheme="minorEastAsia" w:eastAsiaTheme="minorEastAsia" w:cstheme="minorEastAsia"/>
                <w:spacing w:val="-2"/>
                <w:sz w:val="21"/>
                <w:szCs w:val="21"/>
                <w:highlight w:val="none"/>
              </w:rPr>
              <w:t>的车辆，使用汽车渡船</w:t>
            </w:r>
          </w:p>
        </w:tc>
        <w:tc>
          <w:tcPr>
            <w:tcW w:w="2570" w:type="pct"/>
            <w:vAlign w:val="center"/>
          </w:tcPr>
          <w:p w14:paraId="213AB347">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3"/>
                <w:sz w:val="21"/>
                <w:szCs w:val="21"/>
                <w:highlight w:val="none"/>
              </w:rPr>
              <w:t>《中华人民共和国公路法》</w:t>
            </w:r>
          </w:p>
          <w:p w14:paraId="78DE6C16">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第五十条</w:t>
            </w:r>
            <w:r>
              <w:rPr>
                <w:rFonts w:hint="eastAsia" w:asciiTheme="minorEastAsia" w:hAnsiTheme="minorEastAsia" w:eastAsiaTheme="minorEastAsia" w:cstheme="minorEastAsia"/>
                <w:b/>
                <w:bCs/>
                <w:sz w:val="21"/>
                <w:szCs w:val="21"/>
                <w:highlight w:val="none"/>
                <w:lang w:val="en-US" w:eastAsia="zh-CN"/>
              </w:rPr>
              <w:t>第一款</w:t>
            </w:r>
            <w:r>
              <w:rPr>
                <w:rFonts w:hint="eastAsia" w:asciiTheme="minorEastAsia" w:hAnsiTheme="minorEastAsia" w:eastAsiaTheme="minorEastAsia" w:cstheme="minorEastAsia"/>
                <w:sz w:val="21"/>
                <w:szCs w:val="21"/>
                <w:highlight w:val="none"/>
              </w:rPr>
              <w:t>超过公路、公路桥梁、公路隧道或者汽车渡船的限载、限高、限宽、限长标准的车辆，不得在有限定标准的公路、公路桥梁上或者公路隧道内行驶，不得使用汽车渡船。超过公路或者公路桥梁限载标准确需行驶的，必须经县级以上地方人民政府交通主管部门批准，并按要求采取有效的防护措施；运载不可解体的超限物品的，应当按照指定的时间、路线、时速行驶，并悬挂明显标志。</w:t>
            </w:r>
          </w:p>
          <w:p w14:paraId="70C21431">
            <w:pPr>
              <w:keepNext w:val="0"/>
              <w:keepLines w:val="0"/>
              <w:pageBreakBefore w:val="0"/>
              <w:wordWrap/>
              <w:overflowPunct/>
              <w:topLinePunct w:val="0"/>
              <w:bidi w:val="0"/>
              <w:spacing w:line="239" w:lineRule="auto"/>
              <w:ind w:left="0" w:right="0" w:firstLine="16"/>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第七十六条</w:t>
            </w:r>
            <w:r>
              <w:rPr>
                <w:rFonts w:hint="eastAsia" w:asciiTheme="minorEastAsia" w:hAnsiTheme="minorEastAsia" w:eastAsiaTheme="minorEastAsia" w:cstheme="minorEastAsia"/>
                <w:b/>
                <w:bCs/>
                <w:sz w:val="21"/>
                <w:szCs w:val="21"/>
                <w:highlight w:val="none"/>
                <w:lang w:eastAsia="zh-CN"/>
              </w:rPr>
              <w:t>第五项</w:t>
            </w:r>
            <w:r>
              <w:rPr>
                <w:rFonts w:hint="eastAsia" w:asciiTheme="minorEastAsia" w:hAnsiTheme="minorEastAsia" w:eastAsiaTheme="minorEastAsia" w:cstheme="minorEastAsia"/>
                <w:sz w:val="21"/>
                <w:szCs w:val="21"/>
                <w:highlight w:val="none"/>
              </w:rPr>
              <w:t>有下列违法行为之一的，由交通主管部门责</w:t>
            </w:r>
            <w:r>
              <w:rPr>
                <w:rFonts w:hint="eastAsia" w:asciiTheme="minorEastAsia" w:hAnsiTheme="minorEastAsia" w:eastAsiaTheme="minorEastAsia" w:cstheme="minorEastAsia"/>
                <w:spacing w:val="-1"/>
                <w:sz w:val="21"/>
                <w:szCs w:val="21"/>
                <w:highlight w:val="none"/>
              </w:rPr>
              <w:t>令停止违法行为，可以处三万元以下的罚款：</w:t>
            </w:r>
          </w:p>
          <w:p w14:paraId="7AC08679">
            <w:pPr>
              <w:keepNext w:val="0"/>
              <w:keepLines w:val="0"/>
              <w:pageBreakBefore w:val="0"/>
              <w:wordWrap/>
              <w:overflowPunct/>
              <w:topLinePunct w:val="0"/>
              <w:bidi w:val="0"/>
              <w:spacing w:line="239" w:lineRule="auto"/>
              <w:ind w:left="0" w:right="0" w:hanging="12"/>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1"/>
                <w:sz w:val="21"/>
                <w:szCs w:val="21"/>
                <w:highlight w:val="none"/>
              </w:rPr>
              <w:t>（五）违反本法第五十条规定，车辆超限使用汽车渡船或</w:t>
            </w:r>
            <w:r>
              <w:rPr>
                <w:rFonts w:hint="eastAsia" w:asciiTheme="minorEastAsia" w:hAnsiTheme="minorEastAsia" w:eastAsiaTheme="minorEastAsia" w:cstheme="minorEastAsia"/>
                <w:spacing w:val="-2"/>
                <w:sz w:val="21"/>
                <w:szCs w:val="21"/>
                <w:highlight w:val="none"/>
              </w:rPr>
              <w:t>者在公路上擅自超限行驶的</w:t>
            </w:r>
            <w:r>
              <w:rPr>
                <w:rFonts w:hint="eastAsia" w:asciiTheme="minorEastAsia" w:hAnsiTheme="minorEastAsia" w:eastAsiaTheme="minorEastAsia" w:cstheme="minorEastAsia"/>
                <w:spacing w:val="-2"/>
                <w:sz w:val="21"/>
                <w:szCs w:val="21"/>
                <w:highlight w:val="none"/>
                <w:lang w:eastAsia="zh-CN"/>
              </w:rPr>
              <w:t>。</w:t>
            </w:r>
          </w:p>
          <w:p w14:paraId="32C6AA13">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2"/>
                <w:sz w:val="21"/>
                <w:szCs w:val="21"/>
                <w:highlight w:val="none"/>
              </w:rPr>
              <w:t>《公路安全保护条例》</w:t>
            </w:r>
          </w:p>
          <w:p w14:paraId="34484A4C">
            <w:pPr>
              <w:keepNext w:val="0"/>
              <w:keepLines w:val="0"/>
              <w:pageBreakBefore w:val="0"/>
              <w:wordWrap/>
              <w:overflowPunct/>
              <w:topLinePunct w:val="0"/>
              <w:bidi w:val="0"/>
              <w:spacing w:line="239" w:lineRule="auto"/>
              <w:ind w:left="0" w:right="0" w:firstLine="7"/>
              <w:jc w:val="both"/>
              <w:rPr>
                <w:rFonts w:hint="eastAsia" w:asciiTheme="minorEastAsia" w:hAnsiTheme="minorEastAsia" w:eastAsiaTheme="minorEastAsia" w:cstheme="minorEastAsia"/>
                <w:spacing w:val="-2"/>
                <w:sz w:val="21"/>
                <w:szCs w:val="21"/>
                <w:highlight w:val="none"/>
              </w:rPr>
            </w:pPr>
            <w:r>
              <w:rPr>
                <w:rFonts w:hint="eastAsia" w:asciiTheme="minorEastAsia" w:hAnsiTheme="minorEastAsia" w:eastAsiaTheme="minorEastAsia" w:cstheme="minorEastAsia"/>
                <w:b/>
                <w:bCs/>
                <w:sz w:val="21"/>
                <w:szCs w:val="21"/>
                <w:highlight w:val="none"/>
              </w:rPr>
              <w:t>第三十三条</w:t>
            </w:r>
            <w:r>
              <w:rPr>
                <w:rFonts w:hint="eastAsia" w:asciiTheme="minorEastAsia" w:hAnsiTheme="minorEastAsia" w:eastAsiaTheme="minorEastAsia" w:cstheme="minorEastAsia"/>
                <w:b/>
                <w:bCs/>
                <w:sz w:val="21"/>
                <w:szCs w:val="21"/>
                <w:highlight w:val="none"/>
                <w:lang w:eastAsia="zh-CN"/>
              </w:rPr>
              <w:t>第一款</w:t>
            </w:r>
            <w:r>
              <w:rPr>
                <w:rFonts w:hint="eastAsia" w:asciiTheme="minorEastAsia" w:hAnsiTheme="minorEastAsia" w:eastAsiaTheme="minorEastAsia" w:cstheme="minorEastAsia"/>
                <w:sz w:val="21"/>
                <w:szCs w:val="21"/>
                <w:highlight w:val="none"/>
              </w:rPr>
              <w:t>超过公路、公路桥梁、公路隧道限载、限高</w:t>
            </w:r>
            <w:r>
              <w:rPr>
                <w:rFonts w:hint="eastAsia" w:asciiTheme="minorEastAsia" w:hAnsiTheme="minorEastAsia" w:eastAsiaTheme="minorEastAsia" w:cstheme="minorEastAsia"/>
                <w:spacing w:val="1"/>
                <w:sz w:val="21"/>
                <w:szCs w:val="21"/>
                <w:highlight w:val="none"/>
              </w:rPr>
              <w:t>、限宽、限长标准的车辆，不得在公路、公路桥梁或者公路隧道行驶；超过汽车渡船限载、限高、限宽、限长标准</w:t>
            </w:r>
            <w:r>
              <w:rPr>
                <w:rFonts w:hint="eastAsia" w:asciiTheme="minorEastAsia" w:hAnsiTheme="minorEastAsia" w:eastAsiaTheme="minorEastAsia" w:cstheme="minorEastAsia"/>
                <w:spacing w:val="-2"/>
                <w:sz w:val="21"/>
                <w:szCs w:val="21"/>
                <w:highlight w:val="none"/>
              </w:rPr>
              <w:t>的车辆，不得使用汽车渡船。</w:t>
            </w:r>
          </w:p>
          <w:p w14:paraId="595752DB">
            <w:pPr>
              <w:keepNext w:val="0"/>
              <w:keepLines w:val="0"/>
              <w:pageBreakBefore w:val="0"/>
              <w:wordWrap/>
              <w:overflowPunct/>
              <w:topLinePunct w:val="0"/>
              <w:bidi w:val="0"/>
              <w:spacing w:line="239" w:lineRule="auto"/>
              <w:ind w:left="0" w:right="0" w:firstLine="16"/>
              <w:jc w:val="both"/>
              <w:rPr>
                <w:rFonts w:hint="eastAsia" w:asciiTheme="minorEastAsia" w:hAnsiTheme="minorEastAsia" w:eastAsiaTheme="minorEastAsia" w:cstheme="minorEastAsia"/>
                <w:spacing w:val="-2"/>
                <w:sz w:val="21"/>
                <w:szCs w:val="21"/>
                <w:highlight w:val="none"/>
              </w:rPr>
            </w:pPr>
            <w:r>
              <w:rPr>
                <w:rFonts w:hint="eastAsia" w:asciiTheme="minorEastAsia" w:hAnsiTheme="minorEastAsia" w:eastAsiaTheme="minorEastAsia" w:cstheme="minorEastAsia"/>
                <w:b/>
                <w:bCs/>
                <w:sz w:val="21"/>
                <w:szCs w:val="21"/>
                <w:highlight w:val="none"/>
              </w:rPr>
              <w:t>第六十四条</w:t>
            </w:r>
            <w:r>
              <w:rPr>
                <w:rFonts w:hint="eastAsia" w:asciiTheme="minorEastAsia" w:hAnsiTheme="minorEastAsia" w:eastAsiaTheme="minorEastAsia" w:cstheme="minorEastAsia"/>
                <w:sz w:val="21"/>
                <w:szCs w:val="21"/>
                <w:highlight w:val="none"/>
              </w:rPr>
              <w:t>违反本条例的规定，在公路上行驶的车辆，</w:t>
            </w:r>
            <w:r>
              <w:rPr>
                <w:rFonts w:hint="eastAsia" w:asciiTheme="minorEastAsia" w:hAnsiTheme="minorEastAsia" w:eastAsiaTheme="minorEastAsia" w:cstheme="minorEastAsia"/>
                <w:spacing w:val="1"/>
                <w:sz w:val="21"/>
                <w:szCs w:val="21"/>
                <w:highlight w:val="none"/>
              </w:rPr>
              <w:t>车货总体的外廓尺寸、轴荷或者总质量超过公路、公路桥梁、公路隧道、汽车渡船限定标准的，由公路管理机构责</w:t>
            </w:r>
            <w:r>
              <w:rPr>
                <w:rFonts w:hint="eastAsia" w:asciiTheme="minorEastAsia" w:hAnsiTheme="minorEastAsia" w:eastAsiaTheme="minorEastAsia" w:cstheme="minorEastAsia"/>
                <w:spacing w:val="-1"/>
                <w:sz w:val="21"/>
                <w:szCs w:val="21"/>
                <w:highlight w:val="none"/>
              </w:rPr>
              <w:t>令改正，可以处3万元以下的罚款。</w:t>
            </w:r>
          </w:p>
          <w:p w14:paraId="26929E78">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2"/>
                <w:sz w:val="21"/>
                <w:szCs w:val="21"/>
                <w:highlight w:val="none"/>
              </w:rPr>
              <w:t>《超限运输车辆行驶公路管理规定》</w:t>
            </w:r>
          </w:p>
          <w:p w14:paraId="1B1FAAF1">
            <w:pPr>
              <w:keepNext w:val="0"/>
              <w:keepLines w:val="0"/>
              <w:pageBreakBefore w:val="0"/>
              <w:wordWrap/>
              <w:overflowPunct/>
              <w:topLinePunct w:val="0"/>
              <w:bidi w:val="0"/>
              <w:spacing w:line="238" w:lineRule="auto"/>
              <w:ind w:left="0" w:right="0" w:hanging="14"/>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第二十七条</w:t>
            </w:r>
            <w:r>
              <w:rPr>
                <w:rFonts w:hint="eastAsia" w:asciiTheme="minorEastAsia" w:hAnsiTheme="minorEastAsia" w:eastAsiaTheme="minorEastAsia" w:cstheme="minorEastAsia"/>
                <w:sz w:val="21"/>
                <w:szCs w:val="21"/>
                <w:highlight w:val="none"/>
              </w:rPr>
              <w:t>载运可分载物品的超限运输（以下称违法超</w:t>
            </w:r>
            <w:r>
              <w:rPr>
                <w:rFonts w:hint="eastAsia" w:asciiTheme="minorEastAsia" w:hAnsiTheme="minorEastAsia" w:eastAsiaTheme="minorEastAsia" w:cstheme="minorEastAsia"/>
                <w:spacing w:val="-3"/>
                <w:sz w:val="21"/>
                <w:szCs w:val="21"/>
                <w:highlight w:val="none"/>
              </w:rPr>
              <w:t>限运输）车辆，禁止行驶公路。</w:t>
            </w:r>
          </w:p>
          <w:p w14:paraId="1B30347E">
            <w:pPr>
              <w:keepNext w:val="0"/>
              <w:keepLines w:val="0"/>
              <w:pageBreakBefore w:val="0"/>
              <w:wordWrap/>
              <w:overflowPunct/>
              <w:topLinePunct w:val="0"/>
              <w:bidi w:val="0"/>
              <w:ind w:left="0" w:right="0" w:firstLine="4"/>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pacing w:val="1"/>
                <w:sz w:val="21"/>
                <w:szCs w:val="21"/>
                <w:highlight w:val="none"/>
              </w:rPr>
              <w:t>在公路上行驶的车辆，其车货总体的外廓尺寸或者总质量</w:t>
            </w:r>
            <w:r>
              <w:rPr>
                <w:rFonts w:hint="eastAsia" w:asciiTheme="minorEastAsia" w:hAnsiTheme="minorEastAsia" w:eastAsiaTheme="minorEastAsia" w:cstheme="minorEastAsia"/>
                <w:color w:val="auto"/>
                <w:spacing w:val="1"/>
                <w:sz w:val="21"/>
                <w:szCs w:val="21"/>
                <w:highlight w:val="none"/>
              </w:rPr>
              <w:t>未超过本规定第三条规定的限定标准，但超过相关公路、公路桥梁、公路隧道限载、限高、限宽、限长标准的，不</w:t>
            </w:r>
            <w:r>
              <w:rPr>
                <w:rFonts w:hint="eastAsia" w:asciiTheme="minorEastAsia" w:hAnsiTheme="minorEastAsia" w:eastAsiaTheme="minorEastAsia" w:cstheme="minorEastAsia"/>
                <w:color w:val="auto"/>
                <w:spacing w:val="-1"/>
                <w:sz w:val="21"/>
                <w:szCs w:val="21"/>
                <w:highlight w:val="none"/>
              </w:rPr>
              <w:t>得在该公路、公路桥梁或者公路隧道行驶。</w:t>
            </w:r>
          </w:p>
          <w:p w14:paraId="191947B1">
            <w:pPr>
              <w:keepNext w:val="0"/>
              <w:keepLines w:val="0"/>
              <w:pageBreakBefore w:val="0"/>
              <w:wordWrap/>
              <w:overflowPunct/>
              <w:topLinePunct w:val="0"/>
              <w:bidi w:val="0"/>
              <w:spacing w:line="239" w:lineRule="auto"/>
              <w:ind w:left="0" w:right="0" w:firstLine="1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sz w:val="21"/>
                <w:szCs w:val="21"/>
                <w:highlight w:val="none"/>
              </w:rPr>
              <w:t>第四十三条</w:t>
            </w:r>
            <w:r>
              <w:rPr>
                <w:rFonts w:hint="eastAsia" w:asciiTheme="minorEastAsia" w:hAnsiTheme="minorEastAsia" w:eastAsiaTheme="minorEastAsia" w:cstheme="minorEastAsia"/>
                <w:sz w:val="21"/>
                <w:szCs w:val="21"/>
                <w:highlight w:val="none"/>
              </w:rPr>
              <w:t>车辆违法超限运输的，由公路管理机构根据</w:t>
            </w:r>
            <w:r>
              <w:rPr>
                <w:rFonts w:hint="eastAsia" w:asciiTheme="minorEastAsia" w:hAnsiTheme="minorEastAsia" w:eastAsiaTheme="minorEastAsia" w:cstheme="minorEastAsia"/>
                <w:spacing w:val="1"/>
                <w:sz w:val="21"/>
                <w:szCs w:val="21"/>
                <w:highlight w:val="none"/>
              </w:rPr>
              <w:t>违法行为的性质、情节和危害程度，按下列规定给予处罚</w:t>
            </w:r>
            <w:r>
              <w:rPr>
                <w:rFonts w:hint="eastAsia" w:asciiTheme="minorEastAsia" w:hAnsiTheme="minorEastAsia" w:eastAsiaTheme="minorEastAsia" w:cstheme="minorEastAsia"/>
                <w:sz w:val="21"/>
                <w:szCs w:val="21"/>
                <w:highlight w:val="none"/>
              </w:rPr>
              <w:t>:</w:t>
            </w:r>
            <w:r>
              <w:rPr>
                <w:rFonts w:hint="eastAsia" w:asciiTheme="minorEastAsia" w:hAnsiTheme="minorEastAsia" w:eastAsiaTheme="minorEastAsia" w:cstheme="minorEastAsia"/>
                <w:spacing w:val="-4"/>
                <w:sz w:val="21"/>
                <w:szCs w:val="21"/>
                <w:highlight w:val="none"/>
              </w:rPr>
              <w:t>（一）车货总高度从地面算起未超过4.2米、总宽度未超过</w:t>
            </w:r>
            <w:r>
              <w:rPr>
                <w:rFonts w:hint="eastAsia" w:asciiTheme="minorEastAsia" w:hAnsiTheme="minorEastAsia" w:eastAsiaTheme="minorEastAsia" w:cstheme="minorEastAsia"/>
                <w:spacing w:val="1"/>
                <w:sz w:val="21"/>
                <w:szCs w:val="21"/>
                <w:highlight w:val="none"/>
              </w:rPr>
              <w:t>3米且总长度未超过20米的，可以处200元以下罚款；车货</w:t>
            </w:r>
            <w:r>
              <w:rPr>
                <w:rFonts w:hint="eastAsia" w:asciiTheme="minorEastAsia" w:hAnsiTheme="minorEastAsia" w:eastAsiaTheme="minorEastAsia" w:cstheme="minorEastAsia"/>
                <w:spacing w:val="-4"/>
                <w:sz w:val="21"/>
                <w:szCs w:val="21"/>
                <w:highlight w:val="none"/>
              </w:rPr>
              <w:t>总高度从地面算起未超过4.5米、总宽度未超过3.75米且总长度未超过28米的，处200元以上1000元以下罚款；车货总高度从地面算起超过4.5米、总宽度超过3.75米或者总长度</w:t>
            </w:r>
            <w:r>
              <w:rPr>
                <w:rFonts w:hint="eastAsia" w:asciiTheme="minorEastAsia" w:hAnsiTheme="minorEastAsia" w:eastAsiaTheme="minorEastAsia" w:cstheme="minorEastAsia"/>
                <w:color w:val="auto"/>
                <w:sz w:val="21"/>
                <w:szCs w:val="21"/>
                <w:highlight w:val="none"/>
              </w:rPr>
              <w:t>超过28米的，处1000元以上3000元以</w:t>
            </w:r>
            <w:r>
              <w:rPr>
                <w:rFonts w:hint="eastAsia" w:asciiTheme="minorEastAsia" w:hAnsiTheme="minorEastAsia" w:eastAsiaTheme="minorEastAsia" w:cstheme="minorEastAsia"/>
                <w:color w:val="auto"/>
                <w:spacing w:val="-1"/>
                <w:sz w:val="21"/>
                <w:szCs w:val="21"/>
                <w:highlight w:val="none"/>
              </w:rPr>
              <w:t>下的罚款；</w:t>
            </w:r>
          </w:p>
          <w:p w14:paraId="7F13C890">
            <w:pPr>
              <w:keepNext w:val="0"/>
              <w:keepLines w:val="0"/>
              <w:pageBreakBefore w:val="0"/>
              <w:numPr>
                <w:ilvl w:val="0"/>
                <w:numId w:val="1"/>
              </w:numPr>
              <w:wordWrap/>
              <w:overflowPunct/>
              <w:topLinePunct w:val="0"/>
              <w:bidi w:val="0"/>
              <w:spacing w:line="239" w:lineRule="auto"/>
              <w:ind w:left="0" w:right="0" w:hanging="13"/>
              <w:jc w:val="both"/>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1"/>
                <w:sz w:val="21"/>
                <w:szCs w:val="21"/>
                <w:highlight w:val="none"/>
              </w:rPr>
              <w:t>车货总质量超过本规定第三条第一款第四项至第八项规定的限定标准，但未超过1000千克的，予以警告；超</w:t>
            </w:r>
            <w:r>
              <w:rPr>
                <w:rFonts w:hint="eastAsia" w:asciiTheme="minorEastAsia" w:hAnsiTheme="minorEastAsia" w:eastAsiaTheme="minorEastAsia" w:cstheme="minorEastAsia"/>
                <w:color w:val="auto"/>
                <w:spacing w:val="5"/>
                <w:sz w:val="21"/>
                <w:szCs w:val="21"/>
                <w:highlight w:val="none"/>
              </w:rPr>
              <w:t>过1000千克的，每超1000千克罚款500元，最高不得超过</w:t>
            </w:r>
            <w:r>
              <w:rPr>
                <w:rFonts w:hint="eastAsia" w:asciiTheme="minorEastAsia" w:hAnsiTheme="minorEastAsia" w:eastAsiaTheme="minorEastAsia" w:cstheme="minorEastAsia"/>
                <w:color w:val="auto"/>
                <w:spacing w:val="-2"/>
                <w:sz w:val="21"/>
                <w:szCs w:val="21"/>
                <w:highlight w:val="none"/>
              </w:rPr>
              <w:t>30000元。</w:t>
            </w:r>
            <w:r>
              <w:rPr>
                <w:rFonts w:hint="eastAsia" w:asciiTheme="minorEastAsia" w:hAnsiTheme="minorEastAsia" w:eastAsiaTheme="minorEastAsia" w:cstheme="minorEastAsia"/>
                <w:color w:val="auto"/>
                <w:spacing w:val="1"/>
                <w:sz w:val="21"/>
                <w:szCs w:val="21"/>
                <w:highlight w:val="none"/>
              </w:rPr>
              <w:t>有前款所列多项违法行为的，相应违法行为的罚款数额应</w:t>
            </w:r>
            <w:r>
              <w:rPr>
                <w:rFonts w:hint="eastAsia" w:asciiTheme="minorEastAsia" w:hAnsiTheme="minorEastAsia" w:eastAsiaTheme="minorEastAsia" w:cstheme="minorEastAsia"/>
                <w:color w:val="auto"/>
                <w:spacing w:val="-2"/>
                <w:sz w:val="21"/>
                <w:szCs w:val="21"/>
                <w:highlight w:val="none"/>
              </w:rPr>
              <w:t>当累计，但累计罚款数额最高不得超过30000元。</w:t>
            </w:r>
          </w:p>
          <w:p w14:paraId="1B715519">
            <w:pPr>
              <w:keepNext w:val="0"/>
              <w:keepLines w:val="0"/>
              <w:pageBreakBefore w:val="0"/>
              <w:numPr>
                <w:ilvl w:val="0"/>
                <w:numId w:val="0"/>
              </w:numPr>
              <w:kinsoku w:val="0"/>
              <w:wordWrap/>
              <w:overflowPunct/>
              <w:topLinePunct w:val="0"/>
              <w:autoSpaceDE w:val="0"/>
              <w:autoSpaceDN w:val="0"/>
              <w:bidi w:val="0"/>
              <w:adjustRightInd w:val="0"/>
              <w:snapToGrid w:val="0"/>
              <w:spacing w:line="239" w:lineRule="auto"/>
              <w:ind w:left="0" w:right="0" w:rightChars="0"/>
              <w:jc w:val="both"/>
              <w:textAlignment w:val="baseline"/>
              <w:rPr>
                <w:rFonts w:hint="eastAsia" w:asciiTheme="minorEastAsia" w:hAnsiTheme="minorEastAsia" w:eastAsiaTheme="minorEastAsia" w:cstheme="minorEastAsia"/>
                <w:color w:val="auto"/>
                <w:spacing w:val="-2"/>
                <w:sz w:val="21"/>
                <w:szCs w:val="21"/>
                <w:highlight w:val="none"/>
              </w:rPr>
            </w:pPr>
          </w:p>
        </w:tc>
        <w:tc>
          <w:tcPr>
            <w:tcW w:w="229" w:type="pct"/>
            <w:vAlign w:val="center"/>
          </w:tcPr>
          <w:p w14:paraId="5EF696A3">
            <w:pPr>
              <w:keepNext w:val="0"/>
              <w:keepLines w:val="0"/>
              <w:pageBreakBefore w:val="0"/>
              <w:wordWrap/>
              <w:overflowPunct/>
              <w:topLinePunct w:val="0"/>
              <w:bidi w:val="0"/>
              <w:spacing w:line="237" w:lineRule="auto"/>
              <w:ind w:left="0" w:right="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10"/>
                <w:sz w:val="21"/>
                <w:szCs w:val="21"/>
                <w:highlight w:val="none"/>
              </w:rPr>
              <w:t>★★★</w:t>
            </w:r>
          </w:p>
        </w:tc>
        <w:tc>
          <w:tcPr>
            <w:tcW w:w="748" w:type="pct"/>
            <w:vAlign w:val="center"/>
          </w:tcPr>
          <w:p w14:paraId="712319B6">
            <w:pPr>
              <w:keepNext w:val="0"/>
              <w:keepLines w:val="0"/>
              <w:pageBreakBefore w:val="0"/>
              <w:wordWrap/>
              <w:overflowPunct/>
              <w:topLinePunct w:val="0"/>
              <w:bidi w:val="0"/>
              <w:ind w:left="0" w:right="0" w:rightChars="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3"/>
                <w:sz w:val="21"/>
                <w:szCs w:val="21"/>
                <w:highlight w:val="none"/>
                <w:lang w:val="en-US" w:eastAsia="zh-CN"/>
              </w:rPr>
              <w:t>超过公路、公路桥梁、公路隧道或者汽车渡船的限载、限高、限宽、限长标准的车辆，不得在有限定标准的公路、公路桥梁上或者公路隧道内行驶，不得使用汽车渡船。</w:t>
            </w:r>
          </w:p>
        </w:tc>
        <w:tc>
          <w:tcPr>
            <w:tcW w:w="435" w:type="pct"/>
            <w:vAlign w:val="center"/>
          </w:tcPr>
          <w:p w14:paraId="3347F350">
            <w:pPr>
              <w:pStyle w:val="6"/>
              <w:keepNext w:val="0"/>
              <w:keepLines w:val="0"/>
              <w:pageBreakBefore w:val="0"/>
              <w:wordWrap/>
              <w:overflowPunct/>
              <w:topLinePunct w:val="0"/>
              <w:bidi w:val="0"/>
              <w:spacing w:line="248" w:lineRule="auto"/>
              <w:ind w:left="0" w:right="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18"/>
                <w:sz w:val="21"/>
                <w:szCs w:val="21"/>
                <w:highlight w:val="none"/>
                <w:lang w:eastAsia="zh-CN"/>
              </w:rPr>
              <w:t>荣成市交通运输综合执法大队</w:t>
            </w:r>
            <w:r>
              <w:rPr>
                <w:rFonts w:hint="eastAsia" w:asciiTheme="minorEastAsia" w:hAnsiTheme="minorEastAsia" w:eastAsiaTheme="minorEastAsia" w:cstheme="minorEastAsia"/>
                <w:spacing w:val="-18"/>
                <w:sz w:val="21"/>
                <w:szCs w:val="21"/>
                <w:highlight w:val="none"/>
                <w:lang w:val="en-US" w:eastAsia="zh-CN"/>
              </w:rPr>
              <w:t>0631-7584776</w:t>
            </w:r>
          </w:p>
          <w:p w14:paraId="22A9514E">
            <w:pPr>
              <w:pStyle w:val="6"/>
              <w:keepNext w:val="0"/>
              <w:keepLines w:val="0"/>
              <w:pageBreakBefore w:val="0"/>
              <w:wordWrap/>
              <w:overflowPunct/>
              <w:topLinePunct w:val="0"/>
              <w:bidi w:val="0"/>
              <w:spacing w:line="248" w:lineRule="auto"/>
              <w:ind w:left="0" w:right="0"/>
              <w:jc w:val="center"/>
              <w:rPr>
                <w:rFonts w:hint="eastAsia" w:asciiTheme="minorEastAsia" w:hAnsiTheme="minorEastAsia" w:eastAsiaTheme="minorEastAsia" w:cstheme="minorEastAsia"/>
                <w:sz w:val="21"/>
                <w:szCs w:val="21"/>
                <w:highlight w:val="none"/>
              </w:rPr>
            </w:pPr>
          </w:p>
          <w:p w14:paraId="1D500BC1">
            <w:pPr>
              <w:keepNext w:val="0"/>
              <w:keepLines w:val="0"/>
              <w:pageBreakBefore w:val="0"/>
              <w:wordWrap/>
              <w:overflowPunct/>
              <w:topLinePunct w:val="0"/>
              <w:bidi w:val="0"/>
              <w:ind w:left="0" w:right="0" w:firstLine="22"/>
              <w:jc w:val="center"/>
              <w:rPr>
                <w:rFonts w:hint="default" w:asciiTheme="minorEastAsia" w:hAnsiTheme="minorEastAsia" w:eastAsiaTheme="minorEastAsia" w:cstheme="minorEastAsia"/>
                <w:sz w:val="21"/>
                <w:szCs w:val="21"/>
                <w:highlight w:val="none"/>
                <w:lang w:val="en-US" w:eastAsia="zh-CN"/>
              </w:rPr>
            </w:pPr>
          </w:p>
        </w:tc>
      </w:tr>
      <w:tr w14:paraId="482C3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7" w:hRule="atLeast"/>
        </w:trPr>
        <w:tc>
          <w:tcPr>
            <w:tcW w:w="168" w:type="pct"/>
            <w:vAlign w:val="center"/>
          </w:tcPr>
          <w:p w14:paraId="0CC5D873">
            <w:pPr>
              <w:keepNext w:val="0"/>
              <w:keepLines w:val="0"/>
              <w:pageBreakBefore w:val="0"/>
              <w:wordWrap/>
              <w:overflowPunct/>
              <w:topLinePunct w:val="0"/>
              <w:bidi w:val="0"/>
              <w:spacing w:line="216" w:lineRule="auto"/>
              <w:ind w:left="0" w:right="0"/>
              <w:jc w:val="center"/>
              <w:rPr>
                <w:rFonts w:hint="eastAsia" w:asciiTheme="minorEastAsia" w:hAnsiTheme="minorEastAsia" w:eastAsiaTheme="minorEastAsia" w:cstheme="minorEastAsia"/>
                <w:position w:val="1"/>
                <w:sz w:val="21"/>
                <w:szCs w:val="21"/>
                <w:highlight w:val="none"/>
                <w:lang w:val="en-US" w:eastAsia="zh-CN"/>
              </w:rPr>
            </w:pPr>
            <w:r>
              <w:rPr>
                <w:rFonts w:hint="eastAsia" w:asciiTheme="minorEastAsia" w:hAnsiTheme="minorEastAsia" w:eastAsiaTheme="minorEastAsia" w:cstheme="minorEastAsia"/>
                <w:position w:val="1"/>
                <w:sz w:val="21"/>
                <w:szCs w:val="21"/>
                <w:highlight w:val="none"/>
                <w:lang w:val="en-US" w:eastAsia="zh-CN"/>
              </w:rPr>
              <w:t>2</w:t>
            </w:r>
          </w:p>
        </w:tc>
        <w:tc>
          <w:tcPr>
            <w:tcW w:w="432" w:type="pct"/>
            <w:vAlign w:val="center"/>
          </w:tcPr>
          <w:p w14:paraId="3AD5D8A3">
            <w:pPr>
              <w:keepNext w:val="0"/>
              <w:keepLines w:val="0"/>
              <w:pageBreakBefore w:val="0"/>
              <w:wordWrap/>
              <w:overflowPunct/>
              <w:topLinePunct w:val="0"/>
              <w:bidi w:val="0"/>
              <w:spacing w:line="239" w:lineRule="auto"/>
              <w:ind w:left="0" w:right="0" w:rightChars="0"/>
              <w:jc w:val="both"/>
              <w:rPr>
                <w:rFonts w:hint="eastAsia" w:asciiTheme="minorEastAsia" w:hAnsiTheme="minorEastAsia" w:eastAsiaTheme="minorEastAsia" w:cstheme="minorEastAsia"/>
                <w:b w:val="0"/>
                <w:bCs/>
                <w:snapToGrid/>
                <w:color w:val="000000" w:themeColor="text1"/>
                <w:kern w:val="0"/>
                <w:sz w:val="21"/>
                <w:szCs w:val="21"/>
                <w:highlight w:val="none"/>
                <w:vertAlign w:val="baseline"/>
                <w:lang w:val="en-US" w:eastAsia="zh-CN" w:bidi="ar"/>
                <w14:textFill>
                  <w14:solidFill>
                    <w14:schemeClr w14:val="tx1"/>
                  </w14:solidFill>
                </w14:textFill>
              </w:rPr>
            </w:pPr>
            <w:r>
              <w:rPr>
                <w:rFonts w:hint="eastAsia" w:asciiTheme="minorEastAsia" w:hAnsiTheme="minorEastAsia" w:eastAsiaTheme="minorEastAsia" w:cstheme="minorEastAsia"/>
                <w:b w:val="0"/>
                <w:bCs/>
                <w:snapToGrid/>
                <w:color w:val="000000" w:themeColor="text1"/>
                <w:kern w:val="0"/>
                <w:sz w:val="21"/>
                <w:szCs w:val="21"/>
                <w:highlight w:val="none"/>
                <w:vertAlign w:val="baseline"/>
                <w:lang w:val="en-US" w:eastAsia="zh-CN" w:bidi="ar"/>
                <w14:textFill>
                  <w14:solidFill>
                    <w14:schemeClr w14:val="tx1"/>
                  </w14:solidFill>
                </w14:textFill>
              </w:rPr>
              <w:t>道路运输企业</w:t>
            </w:r>
            <w:r>
              <w:rPr>
                <w:rFonts w:hint="eastAsia" w:asciiTheme="minorEastAsia" w:hAnsiTheme="minorEastAsia" w:eastAsiaTheme="minorEastAsia" w:cstheme="minorEastAsia"/>
                <w:spacing w:val="-3"/>
                <w:sz w:val="21"/>
                <w:szCs w:val="21"/>
                <w:highlight w:val="none"/>
                <w:lang w:val="en-US" w:eastAsia="zh-CN"/>
              </w:rPr>
              <w:t>应当合法合规运输，不得违法超限运输。</w:t>
            </w:r>
          </w:p>
        </w:tc>
        <w:tc>
          <w:tcPr>
            <w:tcW w:w="414" w:type="pct"/>
            <w:vAlign w:val="center"/>
          </w:tcPr>
          <w:p w14:paraId="23C10911">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3"/>
                <w:sz w:val="21"/>
                <w:szCs w:val="21"/>
                <w:highlight w:val="none"/>
                <w:lang w:val="en-US" w:eastAsia="zh-CN"/>
              </w:rPr>
            </w:pPr>
            <w:r>
              <w:rPr>
                <w:rFonts w:hint="eastAsia" w:asciiTheme="minorEastAsia" w:hAnsiTheme="minorEastAsia" w:eastAsiaTheme="minorEastAsia" w:cstheme="minorEastAsia"/>
                <w:snapToGrid w:val="0"/>
                <w:color w:val="000000"/>
                <w:spacing w:val="-5"/>
                <w:kern w:val="0"/>
                <w:sz w:val="21"/>
                <w:szCs w:val="21"/>
                <w:highlight w:val="none"/>
                <w:lang w:val="en-US" w:eastAsia="en-US" w:bidi="ar-SA"/>
              </w:rPr>
              <w:t>道路运输企业1年内违法超限运输的货运车辆超过本单位货运车辆总数10%</w:t>
            </w:r>
          </w:p>
        </w:tc>
        <w:tc>
          <w:tcPr>
            <w:tcW w:w="2570" w:type="pct"/>
            <w:vAlign w:val="center"/>
          </w:tcPr>
          <w:p w14:paraId="6799F42A">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b/>
                <w:bCs/>
                <w:color w:val="auto"/>
                <w:spacing w:val="-1"/>
                <w:sz w:val="21"/>
                <w:szCs w:val="21"/>
                <w:highlight w:val="none"/>
                <w:lang w:val="en-US" w:eastAsia="en-US"/>
              </w:rPr>
            </w:pPr>
            <w:r>
              <w:rPr>
                <w:rFonts w:hint="eastAsia" w:asciiTheme="minorEastAsia" w:hAnsiTheme="minorEastAsia" w:eastAsiaTheme="minorEastAsia" w:cstheme="minorEastAsia"/>
                <w:b/>
                <w:bCs/>
                <w:color w:val="auto"/>
                <w:spacing w:val="-1"/>
                <w:sz w:val="21"/>
                <w:szCs w:val="21"/>
                <w:highlight w:val="none"/>
                <w:lang w:val="en-US" w:eastAsia="en-US"/>
              </w:rPr>
              <w:t>《公路安全保护条例》</w:t>
            </w:r>
          </w:p>
          <w:p w14:paraId="766CFD3D">
            <w:pPr>
              <w:keepNext w:val="0"/>
              <w:keepLines w:val="0"/>
              <w:pageBreakBefore w:val="0"/>
              <w:wordWrap/>
              <w:overflowPunct/>
              <w:topLinePunct w:val="0"/>
              <w:bidi w:val="0"/>
              <w:spacing w:line="228" w:lineRule="auto"/>
              <w:ind w:left="0" w:leftChars="0" w:right="0" w:rightChars="0" w:firstLine="29" w:firstLineChars="0"/>
              <w:jc w:val="both"/>
              <w:rPr>
                <w:rFonts w:hint="eastAsia" w:asciiTheme="minorEastAsia" w:hAnsiTheme="minorEastAsia" w:eastAsiaTheme="minorEastAsia" w:cstheme="minorEastAsia"/>
                <w:snapToGrid w:val="0"/>
                <w:color w:val="auto"/>
                <w:spacing w:val="-3"/>
                <w:kern w:val="0"/>
                <w:sz w:val="21"/>
                <w:szCs w:val="21"/>
                <w:highlight w:val="none"/>
                <w:lang w:val="en-US" w:eastAsia="en-US" w:bidi="ar-SA"/>
              </w:rPr>
            </w:pPr>
            <w:r>
              <w:rPr>
                <w:rFonts w:hint="eastAsia" w:asciiTheme="minorEastAsia" w:hAnsiTheme="minorEastAsia" w:eastAsiaTheme="minorEastAsia" w:cstheme="minorEastAsia"/>
                <w:b/>
                <w:bCs/>
                <w:color w:val="auto"/>
                <w:spacing w:val="-1"/>
                <w:sz w:val="21"/>
                <w:szCs w:val="21"/>
                <w:highlight w:val="none"/>
                <w:lang w:val="en-US" w:eastAsia="en-US"/>
              </w:rPr>
              <w:t>第六十六条</w:t>
            </w:r>
            <w:r>
              <w:rPr>
                <w:rFonts w:hint="eastAsia" w:asciiTheme="minorEastAsia" w:hAnsiTheme="minorEastAsia" w:eastAsiaTheme="minorEastAsia" w:cstheme="minorEastAsia"/>
                <w:snapToGrid w:val="0"/>
                <w:color w:val="auto"/>
                <w:spacing w:val="-3"/>
                <w:kern w:val="0"/>
                <w:sz w:val="21"/>
                <w:szCs w:val="21"/>
                <w:highlight w:val="none"/>
                <w:lang w:val="en-US" w:eastAsia="en-US" w:bidi="ar-SA"/>
              </w:rPr>
              <w:t>对1年内违法超限运输超过3次的货运车辆，由道路运输管理机构吊销其车辆营运证；对1年内违法超限运输超过3次的货运车辆驾驶人，由道路运输管理机构责令其停止从事营业性运输；道路运输企业1年内违法超限运输的货运车辆超过本单位货运车辆总数10%的，由道路运输管理机构责令道路运输企业停业整顿；情节严重的，吊销其道路运输经营许可证，并向社会公告。</w:t>
            </w:r>
          </w:p>
          <w:p w14:paraId="6538F25B">
            <w:pPr>
              <w:keepNext w:val="0"/>
              <w:keepLines w:val="0"/>
              <w:pageBreakBefore w:val="0"/>
              <w:wordWrap/>
              <w:overflowPunct/>
              <w:topLinePunct w:val="0"/>
              <w:bidi w:val="0"/>
              <w:spacing w:line="228" w:lineRule="auto"/>
              <w:ind w:left="0" w:right="0" w:rightChars="0"/>
              <w:jc w:val="both"/>
              <w:rPr>
                <w:rFonts w:hint="eastAsia" w:asciiTheme="minorEastAsia" w:hAnsiTheme="minorEastAsia" w:eastAsiaTheme="minorEastAsia" w:cstheme="minorEastAsia"/>
                <w:b/>
                <w:bCs/>
                <w:color w:val="auto"/>
                <w:spacing w:val="-1"/>
                <w:sz w:val="21"/>
                <w:szCs w:val="21"/>
                <w:highlight w:val="none"/>
                <w:lang w:val="en-US" w:eastAsia="en-US"/>
              </w:rPr>
            </w:pPr>
            <w:r>
              <w:rPr>
                <w:rFonts w:hint="eastAsia" w:asciiTheme="minorEastAsia" w:hAnsiTheme="minorEastAsia" w:eastAsiaTheme="minorEastAsia" w:cstheme="minorEastAsia"/>
                <w:b/>
                <w:bCs/>
                <w:color w:val="auto"/>
                <w:spacing w:val="-1"/>
                <w:sz w:val="21"/>
                <w:szCs w:val="21"/>
                <w:highlight w:val="none"/>
                <w:lang w:val="en-US" w:eastAsia="en-US"/>
              </w:rPr>
              <w:t>《超限运输车辆行驶公路管理规定》</w:t>
            </w:r>
          </w:p>
          <w:p w14:paraId="12333861">
            <w:pPr>
              <w:keepNext w:val="0"/>
              <w:keepLines w:val="0"/>
              <w:pageBreakBefore w:val="0"/>
              <w:wordWrap/>
              <w:overflowPunct/>
              <w:topLinePunct w:val="0"/>
              <w:bidi w:val="0"/>
              <w:spacing w:line="228" w:lineRule="auto"/>
              <w:ind w:left="0" w:leftChars="0" w:right="0" w:rightChars="0" w:firstLine="29" w:firstLineChars="0"/>
              <w:jc w:val="both"/>
              <w:rPr>
                <w:rFonts w:hint="eastAsia" w:asciiTheme="minorEastAsia" w:hAnsiTheme="minorEastAsia" w:eastAsiaTheme="minorEastAsia" w:cstheme="minorEastAsia"/>
                <w:snapToGrid w:val="0"/>
                <w:color w:val="auto"/>
                <w:spacing w:val="-3"/>
                <w:kern w:val="0"/>
                <w:sz w:val="21"/>
                <w:szCs w:val="21"/>
                <w:highlight w:val="none"/>
                <w:lang w:val="en-US" w:eastAsia="en-US" w:bidi="ar-SA"/>
              </w:rPr>
            </w:pPr>
            <w:r>
              <w:rPr>
                <w:rFonts w:hint="eastAsia" w:asciiTheme="minorEastAsia" w:hAnsiTheme="minorEastAsia" w:eastAsiaTheme="minorEastAsia" w:cstheme="minorEastAsia"/>
                <w:b/>
                <w:bCs/>
                <w:color w:val="auto"/>
                <w:spacing w:val="-1"/>
                <w:sz w:val="21"/>
                <w:szCs w:val="21"/>
                <w:highlight w:val="none"/>
                <w:lang w:val="en-US" w:eastAsia="en-US"/>
              </w:rPr>
              <w:t>第四十六条</w:t>
            </w:r>
            <w:r>
              <w:rPr>
                <w:rFonts w:hint="eastAsia" w:asciiTheme="minorEastAsia" w:hAnsiTheme="minorEastAsia" w:eastAsiaTheme="minorEastAsia" w:cstheme="minorEastAsia"/>
                <w:snapToGrid w:val="0"/>
                <w:color w:val="auto"/>
                <w:spacing w:val="-3"/>
                <w:kern w:val="0"/>
                <w:sz w:val="21"/>
                <w:szCs w:val="21"/>
                <w:highlight w:val="none"/>
                <w:lang w:val="en-US" w:eastAsia="en-US" w:bidi="ar-SA"/>
              </w:rPr>
              <w:t>对1年内违法超限运输超过3次的货运车辆和驾驶人，以及违法超限运输的货运车辆超过本单位货运车辆总数10%的道路运输企业，由道路运输管理机构依照《公路安全保护条例》第六十六条予以处理。</w:t>
            </w:r>
          </w:p>
          <w:p w14:paraId="338A67B8">
            <w:pPr>
              <w:keepNext w:val="0"/>
              <w:keepLines w:val="0"/>
              <w:pageBreakBefore w:val="0"/>
              <w:wordWrap/>
              <w:overflowPunct/>
              <w:topLinePunct w:val="0"/>
              <w:bidi w:val="0"/>
              <w:spacing w:line="228" w:lineRule="auto"/>
              <w:ind w:left="0" w:leftChars="0" w:right="0" w:rightChars="0" w:firstLine="29" w:firstLineChars="0"/>
              <w:jc w:val="both"/>
              <w:rPr>
                <w:rFonts w:hint="eastAsia" w:asciiTheme="minorEastAsia" w:hAnsiTheme="minorEastAsia" w:eastAsiaTheme="minorEastAsia" w:cstheme="minorEastAsia"/>
                <w:snapToGrid w:val="0"/>
                <w:color w:val="000000"/>
                <w:spacing w:val="-3"/>
                <w:kern w:val="0"/>
                <w:sz w:val="21"/>
                <w:szCs w:val="21"/>
                <w:highlight w:val="none"/>
                <w:lang w:val="en-US" w:eastAsia="en-US" w:bidi="ar-SA"/>
              </w:rPr>
            </w:pPr>
          </w:p>
        </w:tc>
        <w:tc>
          <w:tcPr>
            <w:tcW w:w="229" w:type="pct"/>
            <w:vAlign w:val="center"/>
          </w:tcPr>
          <w:p w14:paraId="695A7817">
            <w:pPr>
              <w:keepNext w:val="0"/>
              <w:keepLines w:val="0"/>
              <w:pageBreakBefore w:val="0"/>
              <w:wordWrap/>
              <w:overflowPunct/>
              <w:topLinePunct w:val="0"/>
              <w:bidi w:val="0"/>
              <w:spacing w:line="216" w:lineRule="auto"/>
              <w:ind w:left="0" w:right="0"/>
              <w:jc w:val="center"/>
              <w:rPr>
                <w:rFonts w:hint="eastAsia" w:asciiTheme="minorEastAsia" w:hAnsiTheme="minorEastAsia" w:eastAsiaTheme="minorEastAsia" w:cstheme="minorEastAsia"/>
                <w:spacing w:val="-10"/>
                <w:sz w:val="21"/>
                <w:szCs w:val="21"/>
                <w:highlight w:val="none"/>
              </w:rPr>
            </w:pPr>
            <w:r>
              <w:rPr>
                <w:rFonts w:hint="eastAsia" w:asciiTheme="minorEastAsia" w:hAnsiTheme="minorEastAsia" w:eastAsiaTheme="minorEastAsia" w:cstheme="minorEastAsia"/>
                <w:spacing w:val="-10"/>
                <w:sz w:val="21"/>
                <w:szCs w:val="21"/>
                <w:highlight w:val="none"/>
              </w:rPr>
              <w:t>★★★</w:t>
            </w:r>
          </w:p>
        </w:tc>
        <w:tc>
          <w:tcPr>
            <w:tcW w:w="748" w:type="pct"/>
            <w:vAlign w:val="center"/>
          </w:tcPr>
          <w:p w14:paraId="6F6A65C3">
            <w:pPr>
              <w:keepNext w:val="0"/>
              <w:keepLines w:val="0"/>
              <w:pageBreakBefore w:val="0"/>
              <w:wordWrap/>
              <w:overflowPunct/>
              <w:topLinePunct w:val="0"/>
              <w:bidi w:val="0"/>
              <w:spacing w:line="222" w:lineRule="auto"/>
              <w:ind w:left="0" w:right="0" w:rightChars="0"/>
              <w:jc w:val="both"/>
              <w:rPr>
                <w:rFonts w:hint="eastAsia"/>
                <w:lang w:val="en-US" w:eastAsia="zh-CN"/>
              </w:rPr>
            </w:pPr>
            <w:r>
              <w:rPr>
                <w:rFonts w:hint="eastAsia" w:asciiTheme="minorEastAsia" w:hAnsiTheme="minorEastAsia" w:eastAsiaTheme="minorEastAsia" w:cstheme="minorEastAsia"/>
                <w:spacing w:val="-3"/>
                <w:sz w:val="21"/>
                <w:szCs w:val="21"/>
                <w:highlight w:val="none"/>
                <w:lang w:val="en-US" w:eastAsia="zh-CN"/>
              </w:rPr>
              <w:t>道路运输企业应当加强对货运车辆驾驶人的教育和管理，督促其合法运输，按照有关规定加强对车辆装载及运行全过程监控，防止驾驶人违法超限运输。</w:t>
            </w:r>
          </w:p>
        </w:tc>
        <w:tc>
          <w:tcPr>
            <w:tcW w:w="435" w:type="pct"/>
            <w:vAlign w:val="center"/>
          </w:tcPr>
          <w:p w14:paraId="36F19A5B">
            <w:pPr>
              <w:keepNext w:val="0"/>
              <w:keepLines w:val="0"/>
              <w:pageBreakBefore w:val="0"/>
              <w:wordWrap/>
              <w:overflowPunct/>
              <w:topLinePunct w:val="0"/>
              <w:bidi w:val="0"/>
              <w:spacing w:line="216" w:lineRule="auto"/>
              <w:ind w:left="0" w:right="0"/>
              <w:jc w:val="center"/>
              <w:rPr>
                <w:rFonts w:hint="eastAsia" w:asciiTheme="minorEastAsia" w:hAnsiTheme="minorEastAsia" w:eastAsiaTheme="minorEastAsia" w:cstheme="minorEastAsia"/>
                <w:spacing w:val="-18"/>
                <w:sz w:val="21"/>
                <w:szCs w:val="21"/>
                <w:highlight w:val="none"/>
                <w:lang w:eastAsia="zh-CN"/>
              </w:rPr>
            </w:pPr>
            <w:r>
              <w:rPr>
                <w:rFonts w:hint="eastAsia" w:asciiTheme="minorEastAsia" w:hAnsiTheme="minorEastAsia" w:eastAsiaTheme="minorEastAsia" w:cstheme="minorEastAsia"/>
                <w:spacing w:val="-18"/>
                <w:sz w:val="21"/>
                <w:szCs w:val="21"/>
                <w:highlight w:val="none"/>
                <w:lang w:eastAsia="zh-CN"/>
              </w:rPr>
              <w:t>荣成市交通运输综合执法大队</w:t>
            </w:r>
            <w:r>
              <w:rPr>
                <w:rFonts w:hint="eastAsia" w:asciiTheme="minorEastAsia" w:hAnsiTheme="minorEastAsia" w:eastAsiaTheme="minorEastAsia" w:cstheme="minorEastAsia"/>
                <w:spacing w:val="-18"/>
                <w:sz w:val="21"/>
                <w:szCs w:val="21"/>
                <w:highlight w:val="none"/>
                <w:lang w:val="en-US" w:eastAsia="zh-CN"/>
              </w:rPr>
              <w:t>0631-7584776</w:t>
            </w:r>
          </w:p>
        </w:tc>
      </w:tr>
      <w:tr w14:paraId="6C51C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168" w:type="pct"/>
            <w:vAlign w:val="center"/>
          </w:tcPr>
          <w:p w14:paraId="5E9462A3">
            <w:pPr>
              <w:keepNext w:val="0"/>
              <w:keepLines w:val="0"/>
              <w:pageBreakBefore w:val="0"/>
              <w:wordWrap/>
              <w:overflowPunct/>
              <w:topLinePunct w:val="0"/>
              <w:bidi w:val="0"/>
              <w:spacing w:line="369" w:lineRule="exact"/>
              <w:ind w:left="0" w:right="0"/>
              <w:jc w:val="center"/>
              <w:rPr>
                <w:rFonts w:hint="eastAsia" w:asciiTheme="minorEastAsia" w:hAnsiTheme="minorEastAsia" w:eastAsiaTheme="minorEastAsia" w:cstheme="minorEastAsia"/>
                <w:position w:val="1"/>
                <w:sz w:val="21"/>
                <w:szCs w:val="21"/>
              </w:rPr>
            </w:pPr>
            <w:r>
              <w:rPr>
                <w:rFonts w:hint="eastAsia" w:asciiTheme="minorEastAsia" w:hAnsiTheme="minorEastAsia" w:eastAsiaTheme="minorEastAsia" w:cstheme="minorEastAsia"/>
                <w:color w:val="auto"/>
                <w:spacing w:val="-14"/>
                <w:position w:val="1"/>
                <w:sz w:val="21"/>
                <w:szCs w:val="21"/>
                <w:lang w:val="en-US" w:eastAsia="zh-CN"/>
              </w:rPr>
              <w:t>3</w:t>
            </w:r>
          </w:p>
        </w:tc>
        <w:tc>
          <w:tcPr>
            <w:tcW w:w="432" w:type="pct"/>
            <w:vAlign w:val="center"/>
          </w:tcPr>
          <w:p w14:paraId="0088B2E9">
            <w:pPr>
              <w:keepNext w:val="0"/>
              <w:keepLines w:val="0"/>
              <w:pageBreakBefore w:val="0"/>
              <w:wordWrap/>
              <w:overflowPunct/>
              <w:topLinePunct w:val="0"/>
              <w:bidi w:val="0"/>
              <w:spacing w:line="239" w:lineRule="auto"/>
              <w:ind w:left="0" w:right="0" w:rightChars="0"/>
              <w:jc w:val="both"/>
              <w:rPr>
                <w:rFonts w:hint="eastAsia" w:asciiTheme="minorEastAsia" w:hAnsiTheme="minorEastAsia" w:eastAsiaTheme="minorEastAsia" w:cstheme="minorEastAsia"/>
                <w:b w:val="0"/>
                <w:bCs/>
                <w:snapToGrid/>
                <w:color w:val="000000" w:themeColor="text1"/>
                <w:kern w:val="0"/>
                <w:sz w:val="21"/>
                <w:szCs w:val="21"/>
                <w:vertAlign w:val="baseline"/>
                <w:lang w:val="en-US" w:eastAsia="zh-CN" w:bidi="ar"/>
                <w14:textFill>
                  <w14:solidFill>
                    <w14:schemeClr w14:val="tx1"/>
                  </w14:solidFill>
                </w14:textFill>
              </w:rPr>
            </w:pPr>
            <w:r>
              <w:rPr>
                <w:rFonts w:hint="eastAsia" w:asciiTheme="minorEastAsia" w:hAnsiTheme="minorEastAsia" w:eastAsiaTheme="minorEastAsia" w:cstheme="minorEastAsia"/>
                <w:color w:val="auto"/>
                <w:spacing w:val="-3"/>
                <w:sz w:val="21"/>
                <w:szCs w:val="21"/>
              </w:rPr>
              <w:t>道路运输车</w:t>
            </w:r>
            <w:r>
              <w:rPr>
                <w:rFonts w:hint="eastAsia" w:asciiTheme="minorEastAsia" w:hAnsiTheme="minorEastAsia" w:eastAsiaTheme="minorEastAsia" w:cstheme="minorEastAsia"/>
                <w:color w:val="auto"/>
                <w:spacing w:val="-2"/>
                <w:sz w:val="21"/>
                <w:szCs w:val="21"/>
              </w:rPr>
              <w:t>辆应当按照国家规定参加年度审验</w:t>
            </w:r>
          </w:p>
        </w:tc>
        <w:tc>
          <w:tcPr>
            <w:tcW w:w="414" w:type="pct"/>
            <w:vAlign w:val="center"/>
          </w:tcPr>
          <w:p w14:paraId="1FD8FB30">
            <w:pPr>
              <w:keepNext w:val="0"/>
              <w:keepLines w:val="0"/>
              <w:pageBreakBefore w:val="0"/>
              <w:wordWrap/>
              <w:overflowPunct/>
              <w:topLinePunct w:val="0"/>
              <w:bidi w:val="0"/>
              <w:ind w:left="0" w:right="0" w:rightChars="0"/>
              <w:jc w:val="both"/>
              <w:rPr>
                <w:rFonts w:hint="eastAsia" w:asciiTheme="minorEastAsia" w:hAnsiTheme="minorEastAsia" w:eastAsiaTheme="minorEastAsia" w:cstheme="minorEastAsia"/>
                <w:b w:val="0"/>
                <w:bCs/>
                <w:snapToGrid/>
                <w:color w:val="000000" w:themeColor="text1"/>
                <w:kern w:val="0"/>
                <w:sz w:val="21"/>
                <w:szCs w:val="21"/>
                <w:vertAlign w:val="baseline"/>
                <w:lang w:val="en-US" w:eastAsia="zh-CN" w:bidi="ar"/>
                <w14:textFill>
                  <w14:solidFill>
                    <w14:schemeClr w14:val="tx1"/>
                  </w14:solidFill>
                </w14:textFill>
              </w:rPr>
            </w:pPr>
            <w:r>
              <w:rPr>
                <w:rFonts w:hint="eastAsia" w:asciiTheme="minorEastAsia" w:hAnsiTheme="minorEastAsia" w:eastAsiaTheme="minorEastAsia" w:cstheme="minorEastAsia"/>
                <w:color w:val="auto"/>
                <w:spacing w:val="-3"/>
                <w:sz w:val="21"/>
                <w:szCs w:val="21"/>
              </w:rPr>
              <w:t>道路运输车</w:t>
            </w:r>
            <w:r>
              <w:rPr>
                <w:rFonts w:hint="eastAsia" w:asciiTheme="minorEastAsia" w:hAnsiTheme="minorEastAsia" w:eastAsiaTheme="minorEastAsia" w:cstheme="minorEastAsia"/>
                <w:color w:val="auto"/>
                <w:spacing w:val="-2"/>
                <w:sz w:val="21"/>
                <w:szCs w:val="21"/>
              </w:rPr>
              <w:t>辆逾期未参加年度审验</w:t>
            </w:r>
          </w:p>
        </w:tc>
        <w:tc>
          <w:tcPr>
            <w:tcW w:w="2570" w:type="pct"/>
            <w:vAlign w:val="center"/>
          </w:tcPr>
          <w:p w14:paraId="737B4956">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2"/>
                <w:sz w:val="21"/>
                <w:szCs w:val="21"/>
              </w:rPr>
              <w:t>《山东省道路运输条例》</w:t>
            </w:r>
          </w:p>
          <w:p w14:paraId="431DFAA6">
            <w:pPr>
              <w:keepNext w:val="0"/>
              <w:keepLines w:val="0"/>
              <w:pageBreakBefore w:val="0"/>
              <w:wordWrap/>
              <w:overflowPunct/>
              <w:topLinePunct w:val="0"/>
              <w:bidi w:val="0"/>
              <w:spacing w:line="239" w:lineRule="auto"/>
              <w:ind w:left="0" w:right="0" w:firstLine="10"/>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第五十四条</w:t>
            </w:r>
            <w:r>
              <w:rPr>
                <w:rFonts w:hint="eastAsia" w:asciiTheme="minorEastAsia" w:hAnsiTheme="minorEastAsia" w:eastAsiaTheme="minorEastAsia" w:cstheme="minorEastAsia"/>
                <w:color w:val="auto"/>
                <w:sz w:val="21"/>
                <w:szCs w:val="21"/>
              </w:rPr>
              <w:t>县级以上人民政府交通运输主管部门应当按</w:t>
            </w:r>
            <w:r>
              <w:rPr>
                <w:rFonts w:hint="eastAsia" w:asciiTheme="minorEastAsia" w:hAnsiTheme="minorEastAsia" w:eastAsiaTheme="minorEastAsia" w:cstheme="minorEastAsia"/>
                <w:color w:val="auto"/>
                <w:spacing w:val="1"/>
                <w:sz w:val="21"/>
                <w:szCs w:val="21"/>
              </w:rPr>
              <w:t>照国家规定对道路运输车辆进行年度审验。对审验不合格的，交通运输主管部门应当责令经营者限期整改。经营者</w:t>
            </w:r>
            <w:r>
              <w:rPr>
                <w:rFonts w:hint="eastAsia" w:asciiTheme="minorEastAsia" w:hAnsiTheme="minorEastAsia" w:eastAsiaTheme="minorEastAsia" w:cstheme="minorEastAsia"/>
                <w:color w:val="auto"/>
                <w:spacing w:val="-1"/>
                <w:sz w:val="21"/>
                <w:szCs w:val="21"/>
              </w:rPr>
              <w:t>在整改期间不得从事相关经营活动。</w:t>
            </w:r>
          </w:p>
          <w:p w14:paraId="3E898E83">
            <w:pPr>
              <w:keepNext w:val="0"/>
              <w:keepLines w:val="0"/>
              <w:pageBreakBefore w:val="0"/>
              <w:wordWrap/>
              <w:overflowPunct/>
              <w:topLinePunct w:val="0"/>
              <w:bidi w:val="0"/>
              <w:spacing w:line="239" w:lineRule="auto"/>
              <w:ind w:left="0" w:right="0" w:firstLine="7"/>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第六十五条</w:t>
            </w:r>
            <w:r>
              <w:rPr>
                <w:rFonts w:hint="eastAsia" w:asciiTheme="minorEastAsia" w:hAnsiTheme="minorEastAsia" w:eastAsiaTheme="minorEastAsia" w:cstheme="minorEastAsia"/>
                <w:b/>
                <w:bCs/>
                <w:color w:val="auto"/>
                <w:sz w:val="21"/>
                <w:szCs w:val="21"/>
                <w:lang w:eastAsia="zh-CN"/>
              </w:rPr>
              <w:t>第六项</w:t>
            </w:r>
            <w:r>
              <w:rPr>
                <w:rFonts w:hint="eastAsia" w:asciiTheme="minorEastAsia" w:hAnsiTheme="minorEastAsia" w:eastAsiaTheme="minorEastAsia" w:cstheme="minorEastAsia"/>
                <w:color w:val="auto"/>
                <w:sz w:val="21"/>
                <w:szCs w:val="21"/>
              </w:rPr>
              <w:t>违反本条例规定，有下列行为之一的，由县</w:t>
            </w:r>
            <w:r>
              <w:rPr>
                <w:rFonts w:hint="eastAsia" w:asciiTheme="minorEastAsia" w:hAnsiTheme="minorEastAsia" w:eastAsiaTheme="minorEastAsia" w:cstheme="minorEastAsia"/>
                <w:color w:val="auto"/>
                <w:spacing w:val="1"/>
                <w:sz w:val="21"/>
                <w:szCs w:val="21"/>
              </w:rPr>
              <w:t>级以上人民政府交通运输主管部门责令改正，处一千元以</w:t>
            </w:r>
            <w:r>
              <w:rPr>
                <w:rFonts w:hint="eastAsia" w:asciiTheme="minorEastAsia" w:hAnsiTheme="minorEastAsia" w:eastAsiaTheme="minorEastAsia" w:cstheme="minorEastAsia"/>
                <w:color w:val="auto"/>
                <w:spacing w:val="-1"/>
                <w:sz w:val="21"/>
                <w:szCs w:val="21"/>
              </w:rPr>
              <w:t>上三千元以下罚款，有违法所得的，没收违法所得：</w:t>
            </w:r>
          </w:p>
          <w:p w14:paraId="38E6B724">
            <w:pPr>
              <w:keepNext w:val="0"/>
              <w:keepLines w:val="0"/>
              <w:pageBreakBefore w:val="0"/>
              <w:wordWrap/>
              <w:overflowPunct/>
              <w:topLinePunct w:val="0"/>
              <w:bidi w:val="0"/>
              <w:spacing w:line="213" w:lineRule="auto"/>
              <w:ind w:left="0" w:leftChars="0" w:right="0"/>
              <w:jc w:val="both"/>
              <w:rPr>
                <w:rFonts w:hint="eastAsia" w:asciiTheme="minorEastAsia" w:hAnsiTheme="minorEastAsia" w:eastAsiaTheme="minorEastAsia" w:cstheme="minorEastAsia"/>
                <w:spacing w:val="1"/>
                <w:sz w:val="21"/>
                <w:szCs w:val="21"/>
              </w:rPr>
            </w:pPr>
            <w:r>
              <w:rPr>
                <w:rFonts w:hint="eastAsia" w:asciiTheme="minorEastAsia" w:hAnsiTheme="minorEastAsia" w:eastAsiaTheme="minorEastAsia" w:cstheme="minorEastAsia"/>
                <w:color w:val="auto"/>
                <w:sz w:val="21"/>
                <w:szCs w:val="21"/>
              </w:rPr>
              <w:t>（六）道路运输车辆逾期未参加年度审验的。</w:t>
            </w:r>
          </w:p>
        </w:tc>
        <w:tc>
          <w:tcPr>
            <w:tcW w:w="229" w:type="pct"/>
            <w:vAlign w:val="center"/>
          </w:tcPr>
          <w:p w14:paraId="0FB1E4FE">
            <w:pPr>
              <w:keepNext w:val="0"/>
              <w:keepLines w:val="0"/>
              <w:pageBreakBefore w:val="0"/>
              <w:wordWrap/>
              <w:overflowPunct/>
              <w:topLinePunct w:val="0"/>
              <w:bidi w:val="0"/>
              <w:spacing w:line="237" w:lineRule="auto"/>
              <w:ind w:left="0" w:right="0"/>
              <w:jc w:val="center"/>
              <w:rPr>
                <w:rFonts w:hint="eastAsia" w:asciiTheme="minorEastAsia" w:hAnsiTheme="minorEastAsia" w:eastAsiaTheme="minorEastAsia" w:cstheme="minorEastAsia"/>
                <w:spacing w:val="-10"/>
                <w:sz w:val="21"/>
                <w:szCs w:val="21"/>
              </w:rPr>
            </w:pPr>
            <w:r>
              <w:rPr>
                <w:rFonts w:hint="eastAsia" w:asciiTheme="minorEastAsia" w:hAnsiTheme="minorEastAsia" w:eastAsiaTheme="minorEastAsia" w:cstheme="minorEastAsia"/>
                <w:color w:val="auto"/>
                <w:spacing w:val="-10"/>
                <w:sz w:val="21"/>
                <w:szCs w:val="21"/>
              </w:rPr>
              <w:t>★★★</w:t>
            </w:r>
          </w:p>
        </w:tc>
        <w:tc>
          <w:tcPr>
            <w:tcW w:w="748" w:type="pct"/>
            <w:vAlign w:val="center"/>
          </w:tcPr>
          <w:p w14:paraId="585F2A8F">
            <w:pPr>
              <w:keepNext w:val="0"/>
              <w:keepLines w:val="0"/>
              <w:pageBreakBefore w:val="0"/>
              <w:wordWrap/>
              <w:overflowPunct/>
              <w:topLinePunct w:val="0"/>
              <w:bidi w:val="0"/>
              <w:ind w:left="0" w:right="0" w:rightChars="0"/>
              <w:jc w:val="both"/>
              <w:rPr>
                <w:rFonts w:hint="eastAsia" w:asciiTheme="minorEastAsia" w:hAnsiTheme="minorEastAsia" w:eastAsiaTheme="minorEastAsia" w:cstheme="minorEastAsia"/>
                <w:spacing w:val="-2"/>
                <w:sz w:val="21"/>
                <w:szCs w:val="21"/>
              </w:rPr>
            </w:pPr>
            <w:r>
              <w:rPr>
                <w:rFonts w:hint="eastAsia" w:asciiTheme="minorEastAsia" w:hAnsiTheme="minorEastAsia" w:eastAsiaTheme="minorEastAsia" w:cstheme="minorEastAsia"/>
                <w:color w:val="auto"/>
                <w:spacing w:val="-3"/>
                <w:sz w:val="21"/>
                <w:szCs w:val="21"/>
                <w:highlight w:val="none"/>
              </w:rPr>
              <w:t>道路货物运输经营者</w:t>
            </w:r>
            <w:r>
              <w:rPr>
                <w:rFonts w:hint="eastAsia" w:asciiTheme="minorEastAsia" w:hAnsiTheme="minorEastAsia" w:eastAsiaTheme="minorEastAsia" w:cstheme="minorEastAsia"/>
                <w:color w:val="auto"/>
                <w:spacing w:val="-3"/>
                <w:sz w:val="21"/>
                <w:szCs w:val="21"/>
                <w:highlight w:val="none"/>
                <w:lang w:eastAsia="zh-CN"/>
              </w:rPr>
              <w:t>应当按照规定参加年度审验，对审验不合格的，交通运输主管部门应当责令经营者限期整改。经营者在整改期间不得从事相关经营活动。</w:t>
            </w:r>
          </w:p>
        </w:tc>
        <w:tc>
          <w:tcPr>
            <w:tcW w:w="435" w:type="pct"/>
            <w:vAlign w:val="center"/>
          </w:tcPr>
          <w:p w14:paraId="7837606F">
            <w:pPr>
              <w:keepNext w:val="0"/>
              <w:keepLines w:val="0"/>
              <w:pageBreakBefore w:val="0"/>
              <w:wordWrap/>
              <w:overflowPunct/>
              <w:topLinePunct w:val="0"/>
              <w:bidi w:val="0"/>
              <w:ind w:left="0" w:right="0"/>
              <w:jc w:val="center"/>
              <w:rPr>
                <w:rFonts w:hint="eastAsia" w:asciiTheme="minorEastAsia" w:hAnsiTheme="minorEastAsia" w:eastAsiaTheme="minorEastAsia" w:cstheme="minorEastAsia"/>
                <w:spacing w:val="-18"/>
                <w:sz w:val="21"/>
                <w:szCs w:val="21"/>
                <w:lang w:eastAsia="zh-CN"/>
              </w:rPr>
            </w:pPr>
            <w:r>
              <w:rPr>
                <w:rFonts w:hint="eastAsia" w:asciiTheme="minorEastAsia" w:hAnsiTheme="minorEastAsia" w:eastAsiaTheme="minorEastAsia" w:cstheme="minorEastAsia"/>
                <w:spacing w:val="-18"/>
                <w:sz w:val="21"/>
                <w:szCs w:val="21"/>
                <w:lang w:eastAsia="zh-CN"/>
              </w:rPr>
              <w:t>荣成市交通运输综合执法大队</w:t>
            </w:r>
            <w:r>
              <w:rPr>
                <w:rFonts w:hint="eastAsia" w:asciiTheme="minorEastAsia" w:hAnsiTheme="minorEastAsia" w:eastAsiaTheme="minorEastAsia" w:cstheme="minorEastAsia"/>
                <w:spacing w:val="-18"/>
                <w:sz w:val="21"/>
                <w:szCs w:val="21"/>
                <w:lang w:val="en-US" w:eastAsia="zh-CN"/>
              </w:rPr>
              <w:t>0631-7584776</w:t>
            </w:r>
          </w:p>
        </w:tc>
      </w:tr>
      <w:tr w14:paraId="6C6D0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5" w:hRule="atLeast"/>
        </w:trPr>
        <w:tc>
          <w:tcPr>
            <w:tcW w:w="168" w:type="pct"/>
            <w:vAlign w:val="center"/>
          </w:tcPr>
          <w:p w14:paraId="46937DC7">
            <w:pPr>
              <w:keepNext w:val="0"/>
              <w:keepLines w:val="0"/>
              <w:pageBreakBefore w:val="0"/>
              <w:wordWrap/>
              <w:overflowPunct/>
              <w:topLinePunct w:val="0"/>
              <w:bidi w:val="0"/>
              <w:spacing w:line="373" w:lineRule="exact"/>
              <w:ind w:left="0" w:right="0"/>
              <w:jc w:val="center"/>
              <w:rPr>
                <w:rFonts w:hint="eastAsia" w:asciiTheme="minorEastAsia" w:hAnsiTheme="minorEastAsia" w:eastAsiaTheme="minorEastAsia" w:cstheme="minorEastAsia"/>
                <w:color w:val="auto"/>
                <w:spacing w:val="-14"/>
                <w:position w:val="1"/>
                <w:sz w:val="21"/>
                <w:szCs w:val="21"/>
                <w:lang w:val="en-US" w:eastAsia="zh-CN"/>
              </w:rPr>
            </w:pPr>
            <w:r>
              <w:rPr>
                <w:rFonts w:hint="eastAsia" w:asciiTheme="minorEastAsia" w:hAnsiTheme="minorEastAsia" w:eastAsiaTheme="minorEastAsia" w:cstheme="minorEastAsia"/>
                <w:color w:val="auto"/>
                <w:position w:val="1"/>
                <w:sz w:val="21"/>
                <w:szCs w:val="21"/>
                <w:lang w:val="en-US" w:eastAsia="zh-CN"/>
              </w:rPr>
              <w:t>4</w:t>
            </w:r>
          </w:p>
        </w:tc>
        <w:tc>
          <w:tcPr>
            <w:tcW w:w="432" w:type="pct"/>
            <w:vAlign w:val="center"/>
          </w:tcPr>
          <w:p w14:paraId="7C034FFA">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color w:val="auto"/>
                <w:spacing w:val="-3"/>
                <w:sz w:val="21"/>
                <w:szCs w:val="21"/>
              </w:rPr>
            </w:pPr>
            <w:r>
              <w:rPr>
                <w:rFonts w:hint="eastAsia" w:asciiTheme="minorEastAsia" w:hAnsiTheme="minorEastAsia" w:eastAsiaTheme="minorEastAsia" w:cstheme="minorEastAsia"/>
                <w:snapToGrid w:val="0"/>
                <w:color w:val="auto"/>
                <w:spacing w:val="-5"/>
                <w:kern w:val="0"/>
                <w:sz w:val="21"/>
                <w:szCs w:val="21"/>
                <w:lang w:val="en-US" w:eastAsia="en-US" w:bidi="ar-SA"/>
              </w:rPr>
              <w:t>货运经营者应当加强对车辆的维护和检测，确保车辆符合国家规定的技术标准</w:t>
            </w:r>
          </w:p>
        </w:tc>
        <w:tc>
          <w:tcPr>
            <w:tcW w:w="414" w:type="pct"/>
            <w:vAlign w:val="center"/>
          </w:tcPr>
          <w:p w14:paraId="5D70AC38">
            <w:pPr>
              <w:keepNext w:val="0"/>
              <w:keepLines w:val="0"/>
              <w:pageBreakBefore w:val="0"/>
              <w:wordWrap/>
              <w:overflowPunct/>
              <w:topLinePunct w:val="0"/>
              <w:bidi w:val="0"/>
              <w:ind w:left="0" w:right="0" w:rightChars="0"/>
              <w:jc w:val="both"/>
              <w:rPr>
                <w:rFonts w:hint="eastAsia" w:asciiTheme="minorEastAsia" w:hAnsiTheme="minorEastAsia" w:eastAsiaTheme="minorEastAsia" w:cstheme="minorEastAsia"/>
                <w:color w:val="auto"/>
                <w:spacing w:val="-3"/>
                <w:sz w:val="21"/>
                <w:szCs w:val="21"/>
              </w:rPr>
            </w:pPr>
            <w:r>
              <w:rPr>
                <w:rFonts w:hint="eastAsia" w:asciiTheme="minorEastAsia" w:hAnsiTheme="minorEastAsia" w:eastAsiaTheme="minorEastAsia" w:cstheme="minorEastAsia"/>
                <w:color w:val="auto"/>
                <w:spacing w:val="-3"/>
                <w:sz w:val="21"/>
                <w:szCs w:val="21"/>
                <w:lang w:val="en-US" w:eastAsia="en-US"/>
              </w:rPr>
              <w:t>道路普通货物运输经营者未按照规定的周期和频次进行车辆检验检测</w:t>
            </w:r>
          </w:p>
        </w:tc>
        <w:tc>
          <w:tcPr>
            <w:tcW w:w="2570" w:type="pct"/>
            <w:vAlign w:val="center"/>
          </w:tcPr>
          <w:p w14:paraId="4A12A5CC">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2"/>
                <w:sz w:val="21"/>
                <w:szCs w:val="21"/>
              </w:rPr>
              <w:t>《中华人民共和国道路运输条例》</w:t>
            </w:r>
          </w:p>
          <w:p w14:paraId="651BD017">
            <w:pPr>
              <w:keepNext w:val="0"/>
              <w:keepLines w:val="0"/>
              <w:pageBreakBefore w:val="0"/>
              <w:wordWrap/>
              <w:overflowPunct/>
              <w:topLinePunct w:val="0"/>
              <w:bidi w:val="0"/>
              <w:spacing w:line="239" w:lineRule="auto"/>
              <w:ind w:left="0" w:right="0" w:firstLine="7"/>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第三十条</w:t>
            </w:r>
            <w:r>
              <w:rPr>
                <w:rFonts w:hint="eastAsia" w:asciiTheme="minorEastAsia" w:hAnsiTheme="minorEastAsia" w:eastAsiaTheme="minorEastAsia" w:cstheme="minorEastAsia"/>
                <w:color w:val="auto"/>
                <w:sz w:val="21"/>
                <w:szCs w:val="21"/>
              </w:rPr>
              <w:t>客运经营者、货运经营者应当加强对车辆的维</w:t>
            </w:r>
            <w:r>
              <w:rPr>
                <w:rFonts w:hint="eastAsia" w:asciiTheme="minorEastAsia" w:hAnsiTheme="minorEastAsia" w:eastAsiaTheme="minorEastAsia" w:cstheme="minorEastAsia"/>
                <w:color w:val="auto"/>
                <w:spacing w:val="1"/>
                <w:sz w:val="21"/>
                <w:szCs w:val="21"/>
              </w:rPr>
              <w:t>护和检测，确保车辆符合国家规定的技术标准；不得使用报废的、擅自改装的和其他不符合国家规定的车辆从事道</w:t>
            </w:r>
            <w:r>
              <w:rPr>
                <w:rFonts w:hint="eastAsia" w:asciiTheme="minorEastAsia" w:hAnsiTheme="minorEastAsia" w:eastAsiaTheme="minorEastAsia" w:cstheme="minorEastAsia"/>
                <w:color w:val="auto"/>
                <w:spacing w:val="-3"/>
                <w:sz w:val="21"/>
                <w:szCs w:val="21"/>
              </w:rPr>
              <w:t>路运输经营。</w:t>
            </w:r>
          </w:p>
          <w:p w14:paraId="74FFB151">
            <w:pPr>
              <w:keepNext w:val="0"/>
              <w:keepLines w:val="0"/>
              <w:pageBreakBefore w:val="0"/>
              <w:wordWrap/>
              <w:overflowPunct/>
              <w:topLinePunct w:val="0"/>
              <w:bidi w:val="0"/>
              <w:spacing w:line="239" w:lineRule="auto"/>
              <w:ind w:left="0" w:right="0" w:firstLine="12"/>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第六十九条</w:t>
            </w:r>
            <w:r>
              <w:rPr>
                <w:rFonts w:hint="eastAsia" w:asciiTheme="minorEastAsia" w:hAnsiTheme="minorEastAsia" w:eastAsiaTheme="minorEastAsia" w:cstheme="minorEastAsia"/>
                <w:b/>
                <w:bCs/>
                <w:color w:val="auto"/>
                <w:sz w:val="21"/>
                <w:szCs w:val="21"/>
                <w:lang w:eastAsia="zh-CN"/>
              </w:rPr>
              <w:t>第一款</w:t>
            </w:r>
            <w:r>
              <w:rPr>
                <w:rFonts w:hint="eastAsia" w:asciiTheme="minorEastAsia" w:hAnsiTheme="minorEastAsia" w:eastAsiaTheme="minorEastAsia" w:cstheme="minorEastAsia"/>
                <w:color w:val="auto"/>
                <w:sz w:val="21"/>
                <w:szCs w:val="21"/>
              </w:rPr>
              <w:t>违反本条例的规定，客运经营者、货运经营</w:t>
            </w:r>
            <w:r>
              <w:rPr>
                <w:rFonts w:hint="eastAsia" w:asciiTheme="minorEastAsia" w:hAnsiTheme="minorEastAsia" w:eastAsiaTheme="minorEastAsia" w:cstheme="minorEastAsia"/>
                <w:color w:val="auto"/>
                <w:spacing w:val="1"/>
                <w:sz w:val="21"/>
                <w:szCs w:val="21"/>
              </w:rPr>
              <w:t>者不按规定维护和检测运输车辆的，由县级以上地方人民政府交通运输主管部门责令改正，处1000元以上5000元以</w:t>
            </w:r>
            <w:r>
              <w:rPr>
                <w:rFonts w:hint="eastAsia" w:asciiTheme="minorEastAsia" w:hAnsiTheme="minorEastAsia" w:eastAsiaTheme="minorEastAsia" w:cstheme="minorEastAsia"/>
                <w:color w:val="auto"/>
                <w:spacing w:val="-3"/>
                <w:sz w:val="21"/>
                <w:szCs w:val="21"/>
              </w:rPr>
              <w:t>下的罚款。</w:t>
            </w:r>
          </w:p>
          <w:p w14:paraId="2C6579E2">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pacing w:val="-2"/>
                <w:sz w:val="21"/>
                <w:szCs w:val="21"/>
              </w:rPr>
              <w:t>《道路运输车辆技术管理规定》</w:t>
            </w:r>
          </w:p>
          <w:p w14:paraId="6C71EE25">
            <w:pPr>
              <w:keepNext w:val="0"/>
              <w:keepLines w:val="0"/>
              <w:pageBreakBefore w:val="0"/>
              <w:wordWrap/>
              <w:overflowPunct/>
              <w:topLinePunct w:val="0"/>
              <w:bidi w:val="0"/>
              <w:ind w:left="0" w:leftChars="0" w:right="0" w:rightChars="0" w:firstLine="15" w:firstLineChars="0"/>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第三十一条</w:t>
            </w:r>
            <w:r>
              <w:rPr>
                <w:rFonts w:hint="eastAsia" w:asciiTheme="minorEastAsia" w:hAnsiTheme="minorEastAsia" w:eastAsiaTheme="minorEastAsia" w:cstheme="minorEastAsia"/>
                <w:color w:val="auto"/>
                <w:sz w:val="21"/>
                <w:szCs w:val="21"/>
              </w:rPr>
              <w:t>违反本规定，道路运输经营者未按照规定的</w:t>
            </w:r>
            <w:r>
              <w:rPr>
                <w:rFonts w:hint="eastAsia" w:asciiTheme="minorEastAsia" w:hAnsiTheme="minorEastAsia" w:eastAsiaTheme="minorEastAsia" w:cstheme="minorEastAsia"/>
                <w:color w:val="auto"/>
                <w:spacing w:val="1"/>
                <w:sz w:val="21"/>
                <w:szCs w:val="21"/>
              </w:rPr>
              <w:t>周期和频次进行车辆检验检测或者未按规定维护道路运输车辆的，交通运输主管部门应当责令改正，处1000元以上</w:t>
            </w:r>
            <w:r>
              <w:rPr>
                <w:rFonts w:hint="eastAsia" w:asciiTheme="minorEastAsia" w:hAnsiTheme="minorEastAsia" w:eastAsiaTheme="minorEastAsia" w:cstheme="minorEastAsia"/>
                <w:color w:val="auto"/>
                <w:spacing w:val="-1"/>
                <w:sz w:val="21"/>
                <w:szCs w:val="21"/>
              </w:rPr>
              <w:t>5000元以下罚款。</w:t>
            </w:r>
          </w:p>
        </w:tc>
        <w:tc>
          <w:tcPr>
            <w:tcW w:w="229" w:type="pct"/>
            <w:vAlign w:val="center"/>
          </w:tcPr>
          <w:p w14:paraId="3F8440EF">
            <w:pPr>
              <w:keepNext w:val="0"/>
              <w:keepLines w:val="0"/>
              <w:pageBreakBefore w:val="0"/>
              <w:wordWrap/>
              <w:overflowPunct/>
              <w:topLinePunct w:val="0"/>
              <w:bidi w:val="0"/>
              <w:spacing w:line="237" w:lineRule="auto"/>
              <w:ind w:left="0" w:right="0"/>
              <w:jc w:val="center"/>
              <w:rPr>
                <w:rFonts w:hint="eastAsia" w:asciiTheme="minorEastAsia" w:hAnsiTheme="minorEastAsia" w:eastAsiaTheme="minorEastAsia" w:cstheme="minorEastAsia"/>
                <w:color w:val="auto"/>
                <w:spacing w:val="-10"/>
                <w:sz w:val="21"/>
                <w:szCs w:val="21"/>
              </w:rPr>
            </w:pPr>
            <w:r>
              <w:rPr>
                <w:rFonts w:hint="eastAsia" w:asciiTheme="minorEastAsia" w:hAnsiTheme="minorEastAsia" w:eastAsiaTheme="minorEastAsia" w:cstheme="minorEastAsia"/>
                <w:color w:val="auto"/>
                <w:spacing w:val="-10"/>
                <w:sz w:val="21"/>
                <w:szCs w:val="21"/>
              </w:rPr>
              <w:t>★★★</w:t>
            </w:r>
          </w:p>
        </w:tc>
        <w:tc>
          <w:tcPr>
            <w:tcW w:w="748" w:type="pct"/>
            <w:vAlign w:val="center"/>
          </w:tcPr>
          <w:p w14:paraId="0DDDE009">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color w:val="auto"/>
                <w:spacing w:val="-3"/>
                <w:sz w:val="21"/>
                <w:szCs w:val="21"/>
                <w:lang w:eastAsia="zh-CN"/>
              </w:rPr>
            </w:pPr>
            <w:r>
              <w:rPr>
                <w:rFonts w:hint="eastAsia" w:asciiTheme="minorEastAsia" w:hAnsiTheme="minorEastAsia" w:eastAsiaTheme="minorEastAsia" w:cstheme="minorEastAsia"/>
                <w:color w:val="auto"/>
                <w:spacing w:val="-3"/>
                <w:sz w:val="21"/>
                <w:szCs w:val="21"/>
                <w:lang w:val="en-US" w:eastAsia="en-US"/>
              </w:rPr>
              <w:t>道路运输经营者应当自道路运输车辆首次取得道路运输证当月起，按照下列周期和频次进行检验检测和技术等级评定：（一)客车自首次经国家机动车登记主管部门注册登记不满60个月的，每12个月进行1次检验检测和技术等级评定；超过60个月的,每6个月进行1次检验检测和技术等级评定。（二）其他道路运输车辆自首次经国家机动车登记主管部门注册登记不满120个月的，每12个月进行1次检验检测和技术等级评定；超过120个月的，每6个月进行1次检验检测和技术等级评定。</w:t>
            </w:r>
          </w:p>
        </w:tc>
        <w:tc>
          <w:tcPr>
            <w:tcW w:w="435" w:type="pct"/>
            <w:vAlign w:val="center"/>
          </w:tcPr>
          <w:p w14:paraId="67D7D19B">
            <w:pPr>
              <w:keepNext w:val="0"/>
              <w:keepLines w:val="0"/>
              <w:pageBreakBefore w:val="0"/>
              <w:wordWrap/>
              <w:overflowPunct/>
              <w:topLinePunct w:val="0"/>
              <w:bidi w:val="0"/>
              <w:ind w:left="0" w:right="0" w:rightChars="0"/>
              <w:jc w:val="center"/>
              <w:rPr>
                <w:rFonts w:hint="eastAsia" w:asciiTheme="minorEastAsia" w:hAnsiTheme="minorEastAsia" w:eastAsiaTheme="minorEastAsia" w:cstheme="minorEastAsia"/>
                <w:spacing w:val="-18"/>
                <w:sz w:val="21"/>
                <w:szCs w:val="21"/>
                <w:lang w:eastAsia="zh-CN"/>
              </w:rPr>
            </w:pPr>
            <w:r>
              <w:rPr>
                <w:rFonts w:hint="eastAsia" w:asciiTheme="minorEastAsia" w:hAnsiTheme="minorEastAsia" w:eastAsiaTheme="minorEastAsia" w:cstheme="minorEastAsia"/>
                <w:color w:val="auto"/>
                <w:spacing w:val="-18"/>
                <w:sz w:val="21"/>
                <w:szCs w:val="21"/>
                <w:lang w:eastAsia="zh-CN"/>
              </w:rPr>
              <w:t>荣成市交通运输综合执法大队</w:t>
            </w:r>
            <w:r>
              <w:rPr>
                <w:rFonts w:hint="eastAsia" w:asciiTheme="minorEastAsia" w:hAnsiTheme="minorEastAsia" w:eastAsiaTheme="minorEastAsia" w:cstheme="minorEastAsia"/>
                <w:color w:val="auto"/>
                <w:spacing w:val="-18"/>
                <w:sz w:val="21"/>
                <w:szCs w:val="21"/>
                <w:lang w:val="en-US" w:eastAsia="zh-CN"/>
              </w:rPr>
              <w:t>0631-7584776</w:t>
            </w:r>
          </w:p>
        </w:tc>
      </w:tr>
      <w:tr w14:paraId="3983FF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3" w:hRule="atLeast"/>
        </w:trPr>
        <w:tc>
          <w:tcPr>
            <w:tcW w:w="168" w:type="pct"/>
            <w:vAlign w:val="center"/>
          </w:tcPr>
          <w:p w14:paraId="463EEBAB">
            <w:pPr>
              <w:keepNext w:val="0"/>
              <w:keepLines w:val="0"/>
              <w:pageBreakBefore w:val="0"/>
              <w:wordWrap/>
              <w:overflowPunct/>
              <w:topLinePunct w:val="0"/>
              <w:bidi w:val="0"/>
              <w:spacing w:line="368" w:lineRule="exac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position w:val="1"/>
                <w:sz w:val="21"/>
                <w:szCs w:val="21"/>
                <w:lang w:val="en-US" w:eastAsia="zh-CN"/>
              </w:rPr>
              <w:t>5</w:t>
            </w:r>
          </w:p>
        </w:tc>
        <w:tc>
          <w:tcPr>
            <w:tcW w:w="432" w:type="pct"/>
            <w:vAlign w:val="center"/>
          </w:tcPr>
          <w:p w14:paraId="4AB00715">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spacing w:val="-5"/>
                <w:sz w:val="21"/>
                <w:szCs w:val="21"/>
                <w:lang w:val="en-US" w:eastAsia="en-US"/>
              </w:rPr>
              <w:t>取得道路货物运输经营许可的道路货物运输经营者应当使用有道路运输证的车辆参加普通货物运输</w:t>
            </w:r>
          </w:p>
        </w:tc>
        <w:tc>
          <w:tcPr>
            <w:tcW w:w="414" w:type="pct"/>
            <w:vAlign w:val="center"/>
          </w:tcPr>
          <w:p w14:paraId="241470B0">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snapToGrid w:val="0"/>
                <w:color w:val="000000"/>
                <w:spacing w:val="-5"/>
                <w:kern w:val="0"/>
                <w:sz w:val="21"/>
                <w:szCs w:val="21"/>
                <w:lang w:val="en-US" w:eastAsia="en-US" w:bidi="ar-SA"/>
              </w:rPr>
              <w:t>取得道路货物运输经营许可的道路货物运输经营者使用无道路运输证的车辆参加普通货物运输</w:t>
            </w:r>
          </w:p>
        </w:tc>
        <w:tc>
          <w:tcPr>
            <w:tcW w:w="2570" w:type="pct"/>
            <w:vAlign w:val="center"/>
          </w:tcPr>
          <w:p w14:paraId="1208BA9C">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pacing w:val="-2"/>
                <w:sz w:val="21"/>
                <w:szCs w:val="21"/>
              </w:rPr>
              <w:t>《道路货物运输及站场管理规定》</w:t>
            </w:r>
          </w:p>
          <w:p w14:paraId="1E6B8397">
            <w:pPr>
              <w:keepNext w:val="0"/>
              <w:keepLines w:val="0"/>
              <w:pageBreakBefore w:val="0"/>
              <w:wordWrap/>
              <w:overflowPunct/>
              <w:topLinePunct w:val="0"/>
              <w:bidi w:val="0"/>
              <w:spacing w:line="239" w:lineRule="auto"/>
              <w:ind w:left="0" w:right="0" w:firstLine="13"/>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第十四条</w:t>
            </w:r>
            <w:r>
              <w:rPr>
                <w:rFonts w:hint="eastAsia" w:asciiTheme="minorEastAsia" w:hAnsiTheme="minorEastAsia" w:eastAsiaTheme="minorEastAsia" w:cstheme="minorEastAsia"/>
                <w:sz w:val="21"/>
                <w:szCs w:val="21"/>
              </w:rPr>
              <w:t>被许可人应当按照承诺书的要求投入运输车辆</w:t>
            </w:r>
            <w:r>
              <w:rPr>
                <w:rFonts w:hint="eastAsia" w:asciiTheme="minorEastAsia" w:hAnsiTheme="minorEastAsia" w:eastAsiaTheme="minorEastAsia" w:cstheme="minorEastAsia"/>
                <w:spacing w:val="1"/>
                <w:sz w:val="21"/>
                <w:szCs w:val="21"/>
              </w:rPr>
              <w:t>。购置车辆或者已有车辆经交通运输主管部门核实并符合条件的，交通运输主管部门向投入运输的车辆配发《道路</w:t>
            </w:r>
            <w:r>
              <w:rPr>
                <w:rFonts w:hint="eastAsia" w:asciiTheme="minorEastAsia" w:hAnsiTheme="minorEastAsia" w:eastAsiaTheme="minorEastAsia" w:cstheme="minorEastAsia"/>
                <w:spacing w:val="-3"/>
                <w:sz w:val="21"/>
                <w:szCs w:val="21"/>
              </w:rPr>
              <w:t>运输证》。</w:t>
            </w:r>
          </w:p>
          <w:p w14:paraId="638E0ADA">
            <w:pPr>
              <w:keepNext w:val="0"/>
              <w:keepLines w:val="0"/>
              <w:pageBreakBefore w:val="0"/>
              <w:wordWrap/>
              <w:overflowPunct/>
              <w:topLinePunct w:val="0"/>
              <w:bidi w:val="0"/>
              <w:spacing w:line="239" w:lineRule="auto"/>
              <w:ind w:left="0" w:leftChars="0" w:right="0" w:rightChars="0" w:firstLine="10" w:firstLineChars="0"/>
              <w:jc w:val="both"/>
              <w:rPr>
                <w:rFonts w:hint="eastAsia" w:asciiTheme="minorEastAsia" w:hAnsiTheme="minorEastAsia" w:eastAsiaTheme="minorEastAsia" w:cstheme="minorEastAsia"/>
                <w:spacing w:val="-2"/>
                <w:sz w:val="21"/>
                <w:szCs w:val="21"/>
              </w:rPr>
            </w:pPr>
            <w:r>
              <w:rPr>
                <w:rFonts w:hint="eastAsia" w:asciiTheme="minorEastAsia" w:hAnsiTheme="minorEastAsia" w:eastAsiaTheme="minorEastAsia" w:cstheme="minorEastAsia"/>
                <w:b/>
                <w:bCs/>
                <w:sz w:val="21"/>
                <w:szCs w:val="21"/>
              </w:rPr>
              <w:t>第六十三条</w:t>
            </w:r>
            <w:r>
              <w:rPr>
                <w:rFonts w:hint="eastAsia" w:asciiTheme="minorEastAsia" w:hAnsiTheme="minorEastAsia" w:eastAsiaTheme="minorEastAsia" w:cstheme="minorEastAsia"/>
                <w:b/>
                <w:bCs/>
                <w:sz w:val="21"/>
                <w:szCs w:val="21"/>
                <w:lang w:eastAsia="zh-CN"/>
              </w:rPr>
              <w:t>第一款</w:t>
            </w:r>
            <w:r>
              <w:rPr>
                <w:rFonts w:hint="eastAsia" w:asciiTheme="minorEastAsia" w:hAnsiTheme="minorEastAsia" w:eastAsiaTheme="minorEastAsia" w:cstheme="minorEastAsia"/>
                <w:sz w:val="21"/>
                <w:szCs w:val="21"/>
              </w:rPr>
              <w:t>违反本规定，取得道路货物运输经营许可的</w:t>
            </w:r>
            <w:r>
              <w:rPr>
                <w:rFonts w:hint="eastAsia" w:asciiTheme="minorEastAsia" w:hAnsiTheme="minorEastAsia" w:eastAsiaTheme="minorEastAsia" w:cstheme="minorEastAsia"/>
                <w:spacing w:val="1"/>
                <w:sz w:val="21"/>
                <w:szCs w:val="21"/>
              </w:rPr>
              <w:t>道路货物运输经营者使用无《道路运输证》的车辆参加普通货物运输的，由交通运输主管部门责令改正，处1000元</w:t>
            </w:r>
            <w:r>
              <w:rPr>
                <w:rFonts w:hint="eastAsia" w:asciiTheme="minorEastAsia" w:hAnsiTheme="minorEastAsia" w:eastAsiaTheme="minorEastAsia" w:cstheme="minorEastAsia"/>
                <w:spacing w:val="-2"/>
                <w:sz w:val="21"/>
                <w:szCs w:val="21"/>
              </w:rPr>
              <w:t>以上3000元以下的罚款。</w:t>
            </w:r>
          </w:p>
          <w:p w14:paraId="2B21772C">
            <w:pPr>
              <w:keepNext w:val="0"/>
              <w:keepLines w:val="0"/>
              <w:pageBreakBefore w:val="0"/>
              <w:wordWrap/>
              <w:overflowPunct/>
              <w:topLinePunct w:val="0"/>
              <w:bidi w:val="0"/>
              <w:spacing w:line="239" w:lineRule="auto"/>
              <w:ind w:left="0" w:leftChars="0" w:right="0" w:rightChars="0" w:firstLine="10" w:firstLineChars="0"/>
              <w:jc w:val="both"/>
              <w:rPr>
                <w:rFonts w:hint="eastAsia" w:asciiTheme="minorEastAsia" w:hAnsiTheme="minorEastAsia" w:eastAsiaTheme="minorEastAsia" w:cstheme="minorEastAsia"/>
                <w:color w:val="auto"/>
                <w:sz w:val="21"/>
                <w:szCs w:val="21"/>
              </w:rPr>
            </w:pPr>
          </w:p>
        </w:tc>
        <w:tc>
          <w:tcPr>
            <w:tcW w:w="229" w:type="pct"/>
            <w:vAlign w:val="center"/>
          </w:tcPr>
          <w:p w14:paraId="6ED88266">
            <w:pPr>
              <w:keepNext w:val="0"/>
              <w:keepLines w:val="0"/>
              <w:pageBreakBefore w:val="0"/>
              <w:wordWrap/>
              <w:overflowPunct/>
              <w:topLinePunct w:val="0"/>
              <w:bidi w:val="0"/>
              <w:spacing w:line="237" w:lineRule="auto"/>
              <w:ind w:left="0" w:right="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spacing w:val="-10"/>
                <w:sz w:val="21"/>
                <w:szCs w:val="21"/>
              </w:rPr>
              <w:t>★★★</w:t>
            </w:r>
          </w:p>
        </w:tc>
        <w:tc>
          <w:tcPr>
            <w:tcW w:w="748" w:type="pct"/>
            <w:vAlign w:val="center"/>
          </w:tcPr>
          <w:p w14:paraId="40C5DC09">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spacing w:val="-3"/>
                <w:sz w:val="21"/>
                <w:szCs w:val="21"/>
                <w:lang w:val="en-US" w:eastAsia="en-US"/>
              </w:rPr>
              <w:t>取得道路货物运输经营许可的道路货物运输经营者应当按照承诺书的要求投入运输车辆。购置车辆或者已有车辆经交通运输主管部门核实并符合条件的，向交通运输主管部门申请向投入运输的车辆配发《道路运输证》。</w:t>
            </w:r>
          </w:p>
        </w:tc>
        <w:tc>
          <w:tcPr>
            <w:tcW w:w="435" w:type="pct"/>
            <w:vAlign w:val="center"/>
          </w:tcPr>
          <w:p w14:paraId="116C9371">
            <w:pPr>
              <w:keepNext w:val="0"/>
              <w:keepLines w:val="0"/>
              <w:pageBreakBefore w:val="0"/>
              <w:wordWrap/>
              <w:overflowPunct/>
              <w:topLinePunct w:val="0"/>
              <w:bidi w:val="0"/>
              <w:ind w:left="0" w:right="0" w:rightChars="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spacing w:val="-18"/>
                <w:sz w:val="21"/>
                <w:szCs w:val="21"/>
                <w:lang w:eastAsia="zh-CN"/>
              </w:rPr>
              <w:t>荣成市交通运输综合执法大队</w:t>
            </w:r>
            <w:r>
              <w:rPr>
                <w:rFonts w:hint="eastAsia" w:asciiTheme="minorEastAsia" w:hAnsiTheme="minorEastAsia" w:eastAsiaTheme="minorEastAsia" w:cstheme="minorEastAsia"/>
                <w:spacing w:val="-18"/>
                <w:sz w:val="21"/>
                <w:szCs w:val="21"/>
                <w:lang w:val="en-US" w:eastAsia="zh-CN"/>
              </w:rPr>
              <w:t>0631-7584776</w:t>
            </w:r>
          </w:p>
        </w:tc>
      </w:tr>
      <w:tr w14:paraId="19FCF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6" w:hRule="atLeast"/>
        </w:trPr>
        <w:tc>
          <w:tcPr>
            <w:tcW w:w="168" w:type="pct"/>
            <w:vAlign w:val="center"/>
          </w:tcPr>
          <w:p w14:paraId="6B6DE74F">
            <w:pPr>
              <w:keepNext w:val="0"/>
              <w:keepLines w:val="0"/>
              <w:pageBreakBefore w:val="0"/>
              <w:wordWrap/>
              <w:overflowPunct/>
              <w:topLinePunct w:val="0"/>
              <w:bidi w:val="0"/>
              <w:spacing w:line="369" w:lineRule="exact"/>
              <w:ind w:left="0" w:right="0"/>
              <w:jc w:val="center"/>
              <w:rPr>
                <w:rFonts w:hint="eastAsia" w:asciiTheme="minorEastAsia" w:hAnsiTheme="minorEastAsia" w:eastAsiaTheme="minorEastAsia" w:cstheme="minorEastAsia"/>
                <w:position w:val="1"/>
                <w:sz w:val="21"/>
                <w:szCs w:val="21"/>
                <w:lang w:val="en-US" w:eastAsia="zh-CN"/>
              </w:rPr>
            </w:pPr>
            <w:r>
              <w:rPr>
                <w:rFonts w:hint="eastAsia" w:asciiTheme="minorEastAsia" w:hAnsiTheme="minorEastAsia" w:eastAsiaTheme="minorEastAsia" w:cstheme="minorEastAsia"/>
                <w:position w:val="1"/>
                <w:sz w:val="21"/>
                <w:szCs w:val="21"/>
                <w:lang w:val="en-US" w:eastAsia="zh-CN"/>
              </w:rPr>
              <w:t>6</w:t>
            </w:r>
          </w:p>
        </w:tc>
        <w:tc>
          <w:tcPr>
            <w:tcW w:w="432" w:type="pct"/>
            <w:vAlign w:val="center"/>
          </w:tcPr>
          <w:p w14:paraId="2F19BB18">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napToGrid w:val="0"/>
                <w:color w:val="000000"/>
                <w:spacing w:val="-5"/>
                <w:kern w:val="0"/>
                <w:sz w:val="21"/>
                <w:szCs w:val="21"/>
                <w:lang w:val="en-US" w:eastAsia="en-US" w:bidi="ar-SA"/>
              </w:rPr>
            </w:pPr>
            <w:r>
              <w:rPr>
                <w:rFonts w:hint="eastAsia" w:asciiTheme="minorEastAsia" w:hAnsiTheme="minorEastAsia" w:eastAsiaTheme="minorEastAsia" w:cstheme="minorEastAsia"/>
                <w:spacing w:val="-5"/>
                <w:sz w:val="21"/>
                <w:szCs w:val="21"/>
                <w:lang w:eastAsia="zh-CN"/>
              </w:rPr>
              <w:t>道路货物运输经营者</w:t>
            </w:r>
            <w:r>
              <w:rPr>
                <w:rFonts w:hint="eastAsia" w:asciiTheme="minorEastAsia" w:hAnsiTheme="minorEastAsia" w:eastAsiaTheme="minorEastAsia" w:cstheme="minorEastAsia"/>
                <w:spacing w:val="-5"/>
                <w:sz w:val="21"/>
                <w:szCs w:val="21"/>
              </w:rPr>
              <w:t>应当采取必要措施防止货物脱落、扬撒</w:t>
            </w:r>
          </w:p>
        </w:tc>
        <w:tc>
          <w:tcPr>
            <w:tcW w:w="414" w:type="pct"/>
            <w:vAlign w:val="center"/>
          </w:tcPr>
          <w:p w14:paraId="436BD041">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napToGrid w:val="0"/>
                <w:color w:val="000000"/>
                <w:spacing w:val="-5"/>
                <w:kern w:val="0"/>
                <w:sz w:val="21"/>
                <w:szCs w:val="21"/>
                <w:lang w:val="en-US" w:eastAsia="en-US" w:bidi="ar-SA"/>
              </w:rPr>
            </w:pPr>
            <w:r>
              <w:rPr>
                <w:rFonts w:hint="eastAsia" w:asciiTheme="minorEastAsia" w:hAnsiTheme="minorEastAsia" w:eastAsiaTheme="minorEastAsia" w:cstheme="minorEastAsia"/>
                <w:spacing w:val="-5"/>
                <w:sz w:val="21"/>
                <w:szCs w:val="21"/>
                <w:lang w:eastAsia="zh-CN"/>
              </w:rPr>
              <w:t>道路货物运输</w:t>
            </w:r>
            <w:r>
              <w:rPr>
                <w:rFonts w:hint="eastAsia" w:asciiTheme="minorEastAsia" w:hAnsiTheme="minorEastAsia" w:eastAsiaTheme="minorEastAsia" w:cstheme="minorEastAsia"/>
                <w:spacing w:val="-5"/>
                <w:sz w:val="21"/>
                <w:szCs w:val="21"/>
              </w:rPr>
              <w:t>经营者</w:t>
            </w:r>
            <w:r>
              <w:rPr>
                <w:rFonts w:hint="eastAsia" w:asciiTheme="minorEastAsia" w:hAnsiTheme="minorEastAsia" w:eastAsiaTheme="minorEastAsia" w:cstheme="minorEastAsia"/>
                <w:spacing w:val="-5"/>
                <w:sz w:val="21"/>
                <w:szCs w:val="21"/>
                <w:lang w:eastAsia="zh-CN"/>
              </w:rPr>
              <w:t>没有</w:t>
            </w:r>
            <w:r>
              <w:rPr>
                <w:rFonts w:hint="eastAsia" w:asciiTheme="minorEastAsia" w:hAnsiTheme="minorEastAsia" w:eastAsiaTheme="minorEastAsia" w:cstheme="minorEastAsia"/>
                <w:spacing w:val="-5"/>
                <w:sz w:val="21"/>
                <w:szCs w:val="21"/>
              </w:rPr>
              <w:t>采取必要措施防止货物脱落、扬撒</w:t>
            </w:r>
          </w:p>
        </w:tc>
        <w:tc>
          <w:tcPr>
            <w:tcW w:w="2570" w:type="pct"/>
            <w:vAlign w:val="center"/>
          </w:tcPr>
          <w:p w14:paraId="60A013F6">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pacing w:val="-2"/>
                <w:sz w:val="21"/>
                <w:szCs w:val="21"/>
              </w:rPr>
              <w:t>《中华人民共和国道路运输条例》</w:t>
            </w:r>
          </w:p>
          <w:p w14:paraId="475DF2FF">
            <w:pPr>
              <w:keepNext w:val="0"/>
              <w:keepLines w:val="0"/>
              <w:pageBreakBefore w:val="0"/>
              <w:wordWrap/>
              <w:overflowPunct/>
              <w:topLinePunct w:val="0"/>
              <w:bidi w:val="0"/>
              <w:spacing w:line="239" w:lineRule="auto"/>
              <w:ind w:left="0" w:right="0" w:firstLine="14"/>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第二十六条</w:t>
            </w:r>
            <w:r>
              <w:rPr>
                <w:rFonts w:hint="eastAsia" w:asciiTheme="minorEastAsia" w:hAnsiTheme="minorEastAsia" w:eastAsiaTheme="minorEastAsia" w:cstheme="minorEastAsia"/>
                <w:sz w:val="21"/>
                <w:szCs w:val="21"/>
              </w:rPr>
              <w:t>国家鼓励货运经营者实行封闭式运输，保证</w:t>
            </w:r>
            <w:r>
              <w:rPr>
                <w:rFonts w:hint="eastAsia" w:asciiTheme="minorEastAsia" w:hAnsiTheme="minorEastAsia" w:eastAsiaTheme="minorEastAsia" w:cstheme="minorEastAsia"/>
                <w:spacing w:val="1"/>
                <w:sz w:val="21"/>
                <w:szCs w:val="21"/>
              </w:rPr>
              <w:t>环境卫生和货物运输安全。货运经营者应当采取必要措施</w:t>
            </w:r>
            <w:r>
              <w:rPr>
                <w:rFonts w:hint="eastAsia" w:asciiTheme="minorEastAsia" w:hAnsiTheme="minorEastAsia" w:eastAsiaTheme="minorEastAsia" w:cstheme="minorEastAsia"/>
                <w:spacing w:val="-10"/>
                <w:sz w:val="21"/>
                <w:szCs w:val="21"/>
              </w:rPr>
              <w:t>,防止货物脱落、扬撒等。</w:t>
            </w:r>
          </w:p>
          <w:p w14:paraId="777D97B5">
            <w:pPr>
              <w:keepNext w:val="0"/>
              <w:keepLines w:val="0"/>
              <w:pageBreakBefore w:val="0"/>
              <w:wordWrap/>
              <w:overflowPunct/>
              <w:topLinePunct w:val="0"/>
              <w:bidi w:val="0"/>
              <w:spacing w:line="233" w:lineRule="auto"/>
              <w:ind w:left="0" w:leftChars="0" w:right="0" w:rightChars="0" w:firstLine="16" w:firstLineChars="0"/>
              <w:jc w:val="both"/>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第六十八条</w:t>
            </w:r>
            <w:r>
              <w:rPr>
                <w:rFonts w:hint="eastAsia" w:asciiTheme="minorEastAsia" w:hAnsiTheme="minorEastAsia" w:eastAsiaTheme="minorEastAsia" w:cstheme="minorEastAsia"/>
                <w:sz w:val="21"/>
                <w:szCs w:val="21"/>
              </w:rPr>
              <w:t>客运经营者强行招揽旅客，货运经营者强行</w:t>
            </w:r>
            <w:r>
              <w:rPr>
                <w:rFonts w:hint="eastAsia" w:asciiTheme="minorEastAsia" w:hAnsiTheme="minorEastAsia" w:eastAsiaTheme="minorEastAsia" w:cstheme="minorEastAsia"/>
                <w:spacing w:val="1"/>
                <w:sz w:val="21"/>
                <w:szCs w:val="21"/>
              </w:rPr>
              <w:t>招揽货物或者没有采取必要措施防止货物脱落、扬撒等的</w:t>
            </w:r>
            <w:r>
              <w:rPr>
                <w:rFonts w:hint="eastAsia" w:asciiTheme="minorEastAsia" w:hAnsiTheme="minorEastAsia" w:eastAsiaTheme="minorEastAsia" w:cstheme="minorEastAsia"/>
                <w:spacing w:val="-3"/>
                <w:sz w:val="21"/>
                <w:szCs w:val="21"/>
              </w:rPr>
              <w:t>,由县级以上地方人民政府交通运输主管部门</w:t>
            </w:r>
            <w:r>
              <w:rPr>
                <w:rFonts w:hint="eastAsia" w:asciiTheme="minorEastAsia" w:hAnsiTheme="minorEastAsia" w:eastAsiaTheme="minorEastAsia" w:cstheme="minorEastAsia"/>
                <w:spacing w:val="-4"/>
                <w:sz w:val="21"/>
                <w:szCs w:val="21"/>
              </w:rPr>
              <w:t>责令改正，</w:t>
            </w:r>
            <w:r>
              <w:rPr>
                <w:rFonts w:hint="eastAsia" w:asciiTheme="minorEastAsia" w:hAnsiTheme="minorEastAsia" w:eastAsiaTheme="minorEastAsia" w:cstheme="minorEastAsia"/>
                <w:spacing w:val="1"/>
                <w:sz w:val="21"/>
                <w:szCs w:val="21"/>
              </w:rPr>
              <w:t>处1000元以上3000元以下的罚款；情节严重的，由原许可</w:t>
            </w:r>
            <w:r>
              <w:rPr>
                <w:rFonts w:hint="eastAsia" w:asciiTheme="minorEastAsia" w:hAnsiTheme="minorEastAsia" w:eastAsiaTheme="minorEastAsia" w:cstheme="minorEastAsia"/>
                <w:spacing w:val="-1"/>
                <w:sz w:val="21"/>
                <w:szCs w:val="21"/>
              </w:rPr>
              <w:t>机关吊销道路运输经营许可证。</w:t>
            </w:r>
          </w:p>
        </w:tc>
        <w:tc>
          <w:tcPr>
            <w:tcW w:w="229" w:type="pct"/>
            <w:vAlign w:val="center"/>
          </w:tcPr>
          <w:p w14:paraId="4E776877">
            <w:pPr>
              <w:keepNext w:val="0"/>
              <w:keepLines w:val="0"/>
              <w:pageBreakBefore w:val="0"/>
              <w:wordWrap/>
              <w:overflowPunct/>
              <w:topLinePunct w:val="0"/>
              <w:bidi w:val="0"/>
              <w:spacing w:line="237" w:lineRule="auto"/>
              <w:ind w:left="0" w:right="0"/>
              <w:jc w:val="center"/>
              <w:rPr>
                <w:rFonts w:hint="eastAsia" w:asciiTheme="minorEastAsia" w:hAnsiTheme="minorEastAsia" w:eastAsiaTheme="minorEastAsia" w:cstheme="minorEastAsia"/>
                <w:spacing w:val="-10"/>
                <w:sz w:val="21"/>
                <w:szCs w:val="21"/>
              </w:rPr>
            </w:pPr>
            <w:r>
              <w:rPr>
                <w:rFonts w:hint="eastAsia" w:asciiTheme="minorEastAsia" w:hAnsiTheme="minorEastAsia" w:eastAsiaTheme="minorEastAsia" w:cstheme="minorEastAsia"/>
                <w:spacing w:val="-10"/>
                <w:sz w:val="21"/>
                <w:szCs w:val="21"/>
              </w:rPr>
              <w:t>★★</w:t>
            </w:r>
          </w:p>
        </w:tc>
        <w:tc>
          <w:tcPr>
            <w:tcW w:w="748" w:type="pct"/>
            <w:vAlign w:val="center"/>
          </w:tcPr>
          <w:p w14:paraId="4A3B67B9">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napToGrid w:val="0"/>
                <w:color w:val="000000"/>
                <w:spacing w:val="-3"/>
                <w:kern w:val="0"/>
                <w:sz w:val="21"/>
                <w:szCs w:val="21"/>
                <w:lang w:val="en-US" w:eastAsia="en-US" w:bidi="ar-SA"/>
              </w:rPr>
            </w:pPr>
            <w:r>
              <w:rPr>
                <w:rFonts w:hint="eastAsia" w:asciiTheme="minorEastAsia" w:hAnsiTheme="minorEastAsia" w:eastAsiaTheme="minorEastAsia" w:cstheme="minorEastAsia"/>
                <w:spacing w:val="-3"/>
                <w:sz w:val="21"/>
                <w:szCs w:val="21"/>
                <w:lang w:val="en-US" w:eastAsia="en-US"/>
              </w:rPr>
              <w:t>货运经营者在运输货物时应当采取必要的措施防止货物脱落、扬撒。</w:t>
            </w:r>
          </w:p>
        </w:tc>
        <w:tc>
          <w:tcPr>
            <w:tcW w:w="435" w:type="pct"/>
            <w:vAlign w:val="center"/>
          </w:tcPr>
          <w:p w14:paraId="5A14D3EF">
            <w:pPr>
              <w:keepNext w:val="0"/>
              <w:keepLines w:val="0"/>
              <w:pageBreakBefore w:val="0"/>
              <w:wordWrap/>
              <w:overflowPunct/>
              <w:topLinePunct w:val="0"/>
              <w:bidi w:val="0"/>
              <w:ind w:left="0" w:right="0" w:rightChars="0"/>
              <w:jc w:val="center"/>
              <w:rPr>
                <w:rFonts w:hint="eastAsia" w:asciiTheme="minorEastAsia" w:hAnsiTheme="minorEastAsia" w:eastAsiaTheme="minorEastAsia" w:cstheme="minorEastAsia"/>
                <w:spacing w:val="-18"/>
                <w:sz w:val="21"/>
                <w:szCs w:val="21"/>
                <w:lang w:eastAsia="zh-CN"/>
              </w:rPr>
            </w:pPr>
            <w:r>
              <w:rPr>
                <w:rFonts w:hint="eastAsia" w:asciiTheme="minorEastAsia" w:hAnsiTheme="minorEastAsia" w:eastAsiaTheme="minorEastAsia" w:cstheme="minorEastAsia"/>
                <w:spacing w:val="-18"/>
                <w:sz w:val="21"/>
                <w:szCs w:val="21"/>
                <w:lang w:eastAsia="zh-CN"/>
              </w:rPr>
              <w:t>荣成市交通运输综合执法大队</w:t>
            </w:r>
            <w:r>
              <w:rPr>
                <w:rFonts w:hint="eastAsia" w:asciiTheme="minorEastAsia" w:hAnsiTheme="minorEastAsia" w:eastAsiaTheme="minorEastAsia" w:cstheme="minorEastAsia"/>
                <w:spacing w:val="-18"/>
                <w:sz w:val="21"/>
                <w:szCs w:val="21"/>
                <w:lang w:val="en-US" w:eastAsia="zh-CN"/>
              </w:rPr>
              <w:t>0631-7584776</w:t>
            </w:r>
          </w:p>
        </w:tc>
      </w:tr>
      <w:tr w14:paraId="150636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8" w:type="pct"/>
            <w:vAlign w:val="center"/>
          </w:tcPr>
          <w:p w14:paraId="2970BDBA">
            <w:pPr>
              <w:keepNext w:val="0"/>
              <w:keepLines w:val="0"/>
              <w:pageBreakBefore w:val="0"/>
              <w:wordWrap/>
              <w:overflowPunct/>
              <w:topLinePunct w:val="0"/>
              <w:bidi w:val="0"/>
              <w:spacing w:line="216" w:lineRule="auto"/>
              <w:ind w:left="0" w:right="0"/>
              <w:jc w:val="center"/>
              <w:rPr>
                <w:rFonts w:hint="eastAsia" w:asciiTheme="minorEastAsia" w:hAnsiTheme="minorEastAsia" w:eastAsiaTheme="minorEastAsia" w:cstheme="minorEastAsia"/>
                <w:position w:val="1"/>
                <w:sz w:val="21"/>
                <w:szCs w:val="21"/>
                <w:lang w:val="en-US" w:eastAsia="zh-CN"/>
              </w:rPr>
            </w:pPr>
            <w:r>
              <w:rPr>
                <w:rFonts w:hint="eastAsia" w:asciiTheme="minorEastAsia" w:hAnsiTheme="minorEastAsia" w:eastAsiaTheme="minorEastAsia" w:cstheme="minorEastAsia"/>
                <w:spacing w:val="-5"/>
                <w:sz w:val="21"/>
                <w:szCs w:val="21"/>
                <w:lang w:val="en-US" w:eastAsia="zh-CN"/>
              </w:rPr>
              <w:t>7</w:t>
            </w:r>
          </w:p>
        </w:tc>
        <w:tc>
          <w:tcPr>
            <w:tcW w:w="432" w:type="pct"/>
            <w:vAlign w:val="center"/>
          </w:tcPr>
          <w:p w14:paraId="58A205D6">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pacing w:val="-5"/>
                <w:sz w:val="21"/>
                <w:szCs w:val="21"/>
                <w:lang w:val="en-US" w:eastAsia="zh-CN"/>
              </w:rPr>
              <w:t>车辆装载物易掉落、遗洒或者飘散的应当采取厢式密闭措施方可在公路上行驶</w:t>
            </w:r>
          </w:p>
        </w:tc>
        <w:tc>
          <w:tcPr>
            <w:tcW w:w="414" w:type="pct"/>
            <w:vAlign w:val="center"/>
          </w:tcPr>
          <w:p w14:paraId="20CF5D75">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pacing w:val="-5"/>
                <w:sz w:val="21"/>
                <w:szCs w:val="21"/>
                <w:lang w:val="en-US" w:eastAsia="zh-CN"/>
              </w:rPr>
              <w:t>车辆装载物触地拖行、掉落、遗洒或者飘散</w:t>
            </w:r>
          </w:p>
        </w:tc>
        <w:tc>
          <w:tcPr>
            <w:tcW w:w="2570" w:type="pct"/>
            <w:vAlign w:val="center"/>
          </w:tcPr>
          <w:p w14:paraId="2DFF1AEB">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b/>
                <w:bCs/>
                <w:spacing w:val="-2"/>
                <w:sz w:val="21"/>
                <w:szCs w:val="21"/>
                <w:lang w:val="en-US" w:eastAsia="zh-CN"/>
              </w:rPr>
            </w:pPr>
            <w:r>
              <w:rPr>
                <w:rFonts w:hint="eastAsia" w:asciiTheme="minorEastAsia" w:hAnsiTheme="minorEastAsia" w:eastAsiaTheme="minorEastAsia" w:cstheme="minorEastAsia"/>
                <w:b/>
                <w:bCs/>
                <w:spacing w:val="-2"/>
                <w:sz w:val="21"/>
                <w:szCs w:val="21"/>
                <w:lang w:val="en-US" w:eastAsia="zh-CN"/>
              </w:rPr>
              <w:t>《公路安全保护条例》</w:t>
            </w:r>
          </w:p>
          <w:p w14:paraId="597750C7">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spacing w:val="-5"/>
                <w:sz w:val="21"/>
                <w:szCs w:val="21"/>
              </w:rPr>
            </w:pPr>
            <w:r>
              <w:rPr>
                <w:rFonts w:hint="eastAsia" w:asciiTheme="minorEastAsia" w:hAnsiTheme="minorEastAsia" w:eastAsiaTheme="minorEastAsia" w:cstheme="minorEastAsia"/>
                <w:b/>
                <w:bCs/>
                <w:spacing w:val="-2"/>
                <w:sz w:val="21"/>
                <w:szCs w:val="21"/>
                <w:lang w:val="en-US" w:eastAsia="zh-CN"/>
              </w:rPr>
              <w:t>第四十三条第一款</w:t>
            </w:r>
            <w:r>
              <w:rPr>
                <w:rFonts w:hint="eastAsia" w:asciiTheme="minorEastAsia" w:hAnsiTheme="minorEastAsia" w:eastAsiaTheme="minorEastAsia" w:cstheme="minorEastAsia"/>
                <w:spacing w:val="-5"/>
                <w:sz w:val="21"/>
                <w:szCs w:val="21"/>
                <w:lang w:val="en-US" w:eastAsia="zh-CN"/>
              </w:rPr>
              <w:t>车辆应当规范装载，装载物不得触地拖行。车辆装载物易掉落、遗洒或者飘散的，应当采取厢式密闭等有效防护措施方可在公路上行驶。</w:t>
            </w:r>
          </w:p>
          <w:p w14:paraId="25127715">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pacing w:val="-2"/>
                <w:sz w:val="21"/>
                <w:szCs w:val="21"/>
                <w:lang w:val="en-US" w:eastAsia="zh-CN"/>
              </w:rPr>
              <w:t>第六十九条</w:t>
            </w:r>
            <w:r>
              <w:rPr>
                <w:rFonts w:hint="eastAsia" w:asciiTheme="minorEastAsia" w:hAnsiTheme="minorEastAsia" w:eastAsiaTheme="minorEastAsia" w:cstheme="minorEastAsia"/>
                <w:spacing w:val="-5"/>
                <w:sz w:val="21"/>
                <w:szCs w:val="21"/>
                <w:lang w:val="en-US" w:eastAsia="zh-CN"/>
              </w:rPr>
              <w:t>车辆装载物触地拖行、掉落、遗洒或者飘散的，造成公路路面损坏、污染的，由公路管理机构责令改正，处5000元以下的罚款。</w:t>
            </w:r>
          </w:p>
        </w:tc>
        <w:tc>
          <w:tcPr>
            <w:tcW w:w="229" w:type="pct"/>
            <w:vAlign w:val="center"/>
          </w:tcPr>
          <w:p w14:paraId="4932BB72">
            <w:pPr>
              <w:keepNext w:val="0"/>
              <w:keepLines w:val="0"/>
              <w:pageBreakBefore w:val="0"/>
              <w:wordWrap/>
              <w:overflowPunct/>
              <w:topLinePunct w:val="0"/>
              <w:bidi w:val="0"/>
              <w:spacing w:line="237" w:lineRule="auto"/>
              <w:ind w:left="0" w:right="0"/>
              <w:jc w:val="center"/>
              <w:rPr>
                <w:rFonts w:hint="eastAsia" w:asciiTheme="minorEastAsia" w:hAnsiTheme="minorEastAsia" w:eastAsiaTheme="minorEastAsia" w:cstheme="minorEastAsia"/>
                <w:spacing w:val="-10"/>
                <w:sz w:val="21"/>
                <w:szCs w:val="21"/>
              </w:rPr>
            </w:pPr>
            <w:r>
              <w:rPr>
                <w:rFonts w:hint="eastAsia" w:asciiTheme="minorEastAsia" w:hAnsiTheme="minorEastAsia" w:eastAsiaTheme="minorEastAsia" w:cstheme="minorEastAsia"/>
                <w:spacing w:val="-10"/>
                <w:sz w:val="21"/>
                <w:szCs w:val="21"/>
              </w:rPr>
              <w:t>★★</w:t>
            </w:r>
          </w:p>
        </w:tc>
        <w:tc>
          <w:tcPr>
            <w:tcW w:w="748" w:type="pct"/>
            <w:vAlign w:val="center"/>
          </w:tcPr>
          <w:p w14:paraId="01CA9E05">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3"/>
                <w:sz w:val="21"/>
                <w:szCs w:val="21"/>
                <w:lang w:val="en-US" w:eastAsia="en-US"/>
              </w:rPr>
            </w:pPr>
            <w:r>
              <w:rPr>
                <w:rFonts w:hint="eastAsia" w:asciiTheme="minorEastAsia" w:hAnsiTheme="minorEastAsia" w:eastAsiaTheme="minorEastAsia" w:cstheme="minorEastAsia"/>
                <w:spacing w:val="-5"/>
                <w:sz w:val="21"/>
                <w:szCs w:val="21"/>
                <w:lang w:val="en-US" w:eastAsia="zh-CN"/>
              </w:rPr>
              <w:t>车辆装载物易掉落、遗洒或者飘散的应当采取厢式密闭等有效防护措施方可在公路上行驶。</w:t>
            </w:r>
          </w:p>
        </w:tc>
        <w:tc>
          <w:tcPr>
            <w:tcW w:w="435" w:type="pct"/>
            <w:vAlign w:val="center"/>
          </w:tcPr>
          <w:p w14:paraId="25B18431">
            <w:pPr>
              <w:keepNext w:val="0"/>
              <w:keepLines w:val="0"/>
              <w:pageBreakBefore w:val="0"/>
              <w:wordWrap/>
              <w:overflowPunct/>
              <w:topLinePunct w:val="0"/>
              <w:bidi w:val="0"/>
              <w:ind w:left="0" w:right="0" w:rightChars="0"/>
              <w:jc w:val="center"/>
              <w:rPr>
                <w:rFonts w:hint="eastAsia" w:asciiTheme="minorEastAsia" w:hAnsiTheme="minorEastAsia" w:eastAsiaTheme="minorEastAsia" w:cstheme="minorEastAsia"/>
                <w:spacing w:val="-18"/>
                <w:sz w:val="21"/>
                <w:szCs w:val="21"/>
                <w:lang w:eastAsia="zh-CN"/>
              </w:rPr>
            </w:pPr>
            <w:r>
              <w:rPr>
                <w:rFonts w:hint="eastAsia" w:asciiTheme="minorEastAsia" w:hAnsiTheme="minorEastAsia" w:eastAsiaTheme="minorEastAsia" w:cstheme="minorEastAsia"/>
                <w:spacing w:val="-18"/>
                <w:sz w:val="21"/>
                <w:szCs w:val="21"/>
                <w:lang w:eastAsia="zh-CN"/>
              </w:rPr>
              <w:t>荣成市交通运输综合执法大队</w:t>
            </w:r>
            <w:r>
              <w:rPr>
                <w:rFonts w:hint="eastAsia" w:asciiTheme="minorEastAsia" w:hAnsiTheme="minorEastAsia" w:eastAsiaTheme="minorEastAsia" w:cstheme="minorEastAsia"/>
                <w:spacing w:val="-18"/>
                <w:sz w:val="21"/>
                <w:szCs w:val="21"/>
                <w:lang w:val="en-US" w:eastAsia="zh-CN"/>
              </w:rPr>
              <w:t>0631-7584776</w:t>
            </w:r>
          </w:p>
        </w:tc>
      </w:tr>
      <w:tr w14:paraId="6C7876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8" w:type="pct"/>
            <w:vAlign w:val="center"/>
          </w:tcPr>
          <w:p w14:paraId="36910935">
            <w:pPr>
              <w:keepNext w:val="0"/>
              <w:keepLines w:val="0"/>
              <w:pageBreakBefore w:val="0"/>
              <w:wordWrap/>
              <w:overflowPunct/>
              <w:topLinePunct w:val="0"/>
              <w:bidi w:val="0"/>
              <w:spacing w:line="369" w:lineRule="exact"/>
              <w:ind w:left="0" w:right="0"/>
              <w:jc w:val="center"/>
              <w:rPr>
                <w:rFonts w:hint="eastAsia" w:asciiTheme="minorEastAsia" w:hAnsiTheme="minorEastAsia" w:eastAsiaTheme="minorEastAsia" w:cstheme="minorEastAsia"/>
                <w:position w:val="1"/>
                <w:sz w:val="21"/>
                <w:szCs w:val="21"/>
                <w:lang w:val="en-US" w:eastAsia="zh-CN"/>
              </w:rPr>
            </w:pPr>
            <w:r>
              <w:rPr>
                <w:rFonts w:hint="eastAsia" w:asciiTheme="minorEastAsia" w:hAnsiTheme="minorEastAsia" w:eastAsiaTheme="minorEastAsia" w:cstheme="minorEastAsia"/>
                <w:color w:val="auto"/>
                <w:position w:val="1"/>
                <w:sz w:val="21"/>
                <w:szCs w:val="21"/>
                <w:highlight w:val="none"/>
                <w:lang w:val="en-US" w:eastAsia="zh-CN"/>
              </w:rPr>
              <w:t>8</w:t>
            </w:r>
          </w:p>
        </w:tc>
        <w:tc>
          <w:tcPr>
            <w:tcW w:w="432" w:type="pct"/>
            <w:vAlign w:val="center"/>
          </w:tcPr>
          <w:p w14:paraId="06F98305">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color w:val="auto"/>
                <w:spacing w:val="-5"/>
                <w:sz w:val="21"/>
                <w:szCs w:val="21"/>
                <w:highlight w:val="none"/>
                <w:lang w:val="en-US" w:eastAsia="zh-CN"/>
              </w:rPr>
              <w:t>从事道路旅客运输经营的，应当取得道路运输经营许可</w:t>
            </w:r>
          </w:p>
        </w:tc>
        <w:tc>
          <w:tcPr>
            <w:tcW w:w="414" w:type="pct"/>
            <w:vAlign w:val="center"/>
          </w:tcPr>
          <w:p w14:paraId="4DBBAC50">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napToGrid w:val="0"/>
                <w:color w:val="auto"/>
                <w:spacing w:val="-5"/>
                <w:kern w:val="0"/>
                <w:sz w:val="21"/>
                <w:szCs w:val="21"/>
                <w:highlight w:val="none"/>
                <w:lang w:val="en-US" w:eastAsia="zh-CN" w:bidi="ar-SA"/>
              </w:rPr>
              <w:t>未取得道路运输经营许可，擅自从事客运经营</w:t>
            </w:r>
          </w:p>
        </w:tc>
        <w:tc>
          <w:tcPr>
            <w:tcW w:w="2570" w:type="pct"/>
            <w:vAlign w:val="center"/>
          </w:tcPr>
          <w:p w14:paraId="5D39EF25">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pacing w:val="-2"/>
                <w:sz w:val="21"/>
                <w:szCs w:val="21"/>
                <w:highlight w:val="none"/>
              </w:rPr>
              <w:t>《中华人民共和国道路运输条例》</w:t>
            </w:r>
          </w:p>
          <w:p w14:paraId="33D392B3">
            <w:pPr>
              <w:keepNext w:val="0"/>
              <w:keepLines w:val="0"/>
              <w:pageBreakBefore w:val="0"/>
              <w:wordWrap/>
              <w:overflowPunct/>
              <w:topLinePunct w:val="0"/>
              <w:bidi w:val="0"/>
              <w:spacing w:line="239" w:lineRule="auto"/>
              <w:ind w:left="0" w:right="0" w:firstLine="14"/>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pacing w:val="-4"/>
                <w:sz w:val="21"/>
                <w:szCs w:val="21"/>
                <w:highlight w:val="none"/>
              </w:rPr>
              <w:t>第十条</w:t>
            </w:r>
            <w:r>
              <w:rPr>
                <w:rFonts w:hint="eastAsia" w:asciiTheme="minorEastAsia" w:hAnsiTheme="minorEastAsia" w:eastAsiaTheme="minorEastAsia" w:cstheme="minorEastAsia"/>
                <w:color w:val="auto"/>
                <w:spacing w:val="-4"/>
                <w:sz w:val="21"/>
                <w:szCs w:val="21"/>
                <w:highlight w:val="none"/>
              </w:rPr>
              <w:t>申请从事客运经营的，应当依法向市场监督管理</w:t>
            </w:r>
            <w:r>
              <w:rPr>
                <w:rFonts w:hint="eastAsia" w:asciiTheme="minorEastAsia" w:hAnsiTheme="minorEastAsia" w:eastAsiaTheme="minorEastAsia" w:cstheme="minorEastAsia"/>
                <w:color w:val="auto"/>
                <w:spacing w:val="-3"/>
                <w:sz w:val="21"/>
                <w:szCs w:val="21"/>
                <w:highlight w:val="none"/>
              </w:rPr>
              <w:t>部门办理有关登记手续后，按照下列规定提出申请并提交</w:t>
            </w:r>
            <w:r>
              <w:rPr>
                <w:rFonts w:hint="eastAsia" w:asciiTheme="minorEastAsia" w:hAnsiTheme="minorEastAsia" w:eastAsiaTheme="minorEastAsia" w:cstheme="minorEastAsia"/>
                <w:color w:val="auto"/>
                <w:spacing w:val="-1"/>
                <w:sz w:val="21"/>
                <w:szCs w:val="21"/>
                <w:highlight w:val="none"/>
              </w:rPr>
              <w:t>符合本条例第八条规定条件的相关材料：</w:t>
            </w:r>
          </w:p>
          <w:p w14:paraId="18FFBA89">
            <w:pPr>
              <w:keepNext w:val="0"/>
              <w:keepLines w:val="0"/>
              <w:pageBreakBefore w:val="0"/>
              <w:wordWrap/>
              <w:overflowPunct/>
              <w:topLinePunct w:val="0"/>
              <w:bidi w:val="0"/>
              <w:spacing w:line="238" w:lineRule="auto"/>
              <w:ind w:left="0" w:right="0" w:hanging="34"/>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（一）从事县级行政区域内和毗邻县行政区域间客运经营</w:t>
            </w:r>
            <w:r>
              <w:rPr>
                <w:rFonts w:hint="eastAsia" w:asciiTheme="minorEastAsia" w:hAnsiTheme="minorEastAsia" w:eastAsiaTheme="minorEastAsia" w:cstheme="minorEastAsia"/>
                <w:color w:val="auto"/>
                <w:spacing w:val="-5"/>
                <w:sz w:val="21"/>
                <w:szCs w:val="21"/>
                <w:highlight w:val="none"/>
              </w:rPr>
              <w:t>的，向所在地县级人民政府交通运输主管部门提出申请；</w:t>
            </w:r>
          </w:p>
          <w:p w14:paraId="56B46EEC">
            <w:pPr>
              <w:keepNext w:val="0"/>
              <w:keepLines w:val="0"/>
              <w:pageBreakBefore w:val="0"/>
              <w:wordWrap/>
              <w:overflowPunct/>
              <w:topLinePunct w:val="0"/>
              <w:bidi w:val="0"/>
              <w:spacing w:line="239" w:lineRule="auto"/>
              <w:ind w:left="0" w:right="0" w:hanging="1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（二）从事省际、市际、县际（除毗邻县行政区域间外）</w:t>
            </w:r>
            <w:r>
              <w:rPr>
                <w:rFonts w:hint="eastAsia" w:asciiTheme="minorEastAsia" w:hAnsiTheme="minorEastAsia" w:eastAsiaTheme="minorEastAsia" w:cstheme="minorEastAsia"/>
                <w:color w:val="auto"/>
                <w:spacing w:val="-5"/>
                <w:sz w:val="21"/>
                <w:szCs w:val="21"/>
                <w:highlight w:val="none"/>
              </w:rPr>
              <w:t>客运经营的，向所在地设区的市级人民政府交通</w:t>
            </w:r>
            <w:r>
              <w:rPr>
                <w:rFonts w:hint="eastAsia" w:asciiTheme="minorEastAsia" w:hAnsiTheme="minorEastAsia" w:eastAsiaTheme="minorEastAsia" w:cstheme="minorEastAsia"/>
                <w:color w:val="auto"/>
                <w:spacing w:val="-6"/>
                <w:sz w:val="21"/>
                <w:szCs w:val="21"/>
                <w:highlight w:val="none"/>
              </w:rPr>
              <w:t>运输主管</w:t>
            </w:r>
            <w:r>
              <w:rPr>
                <w:rFonts w:hint="eastAsia" w:asciiTheme="minorEastAsia" w:hAnsiTheme="minorEastAsia" w:eastAsiaTheme="minorEastAsia" w:cstheme="minorEastAsia"/>
                <w:color w:val="auto"/>
                <w:spacing w:val="-4"/>
                <w:sz w:val="21"/>
                <w:szCs w:val="21"/>
                <w:highlight w:val="none"/>
              </w:rPr>
              <w:t>部门提出申请；</w:t>
            </w:r>
          </w:p>
          <w:p w14:paraId="73662DE7">
            <w:pPr>
              <w:keepNext w:val="0"/>
              <w:keepLines w:val="0"/>
              <w:pageBreakBefore w:val="0"/>
              <w:wordWrap/>
              <w:overflowPunct/>
              <w:topLinePunct w:val="0"/>
              <w:bidi w:val="0"/>
              <w:spacing w:line="238" w:lineRule="auto"/>
              <w:ind w:left="0" w:right="0" w:hanging="48"/>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（三）在直辖市申请从事客运经营的，向所在地直辖市人民政府确定的交通运输主管部门提出申请。</w:t>
            </w:r>
          </w:p>
          <w:p w14:paraId="6BF38E4F">
            <w:pPr>
              <w:keepNext w:val="0"/>
              <w:keepLines w:val="0"/>
              <w:pageBreakBefore w:val="0"/>
              <w:wordWrap/>
              <w:overflowPunct/>
              <w:topLinePunct w:val="0"/>
              <w:bidi w:val="0"/>
              <w:spacing w:line="239" w:lineRule="auto"/>
              <w:ind w:left="0" w:right="0" w:firstLine="10"/>
              <w:jc w:val="both"/>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pacing w:val="-4"/>
                <w:sz w:val="21"/>
                <w:szCs w:val="21"/>
                <w:highlight w:val="none"/>
              </w:rPr>
              <w:t>第六十三条</w:t>
            </w:r>
            <w:r>
              <w:rPr>
                <w:rFonts w:hint="eastAsia" w:asciiTheme="minorEastAsia" w:hAnsiTheme="minorEastAsia" w:eastAsiaTheme="minorEastAsia" w:cstheme="minorEastAsia"/>
                <w:b/>
                <w:bCs/>
                <w:color w:val="auto"/>
                <w:spacing w:val="-4"/>
                <w:sz w:val="21"/>
                <w:szCs w:val="21"/>
                <w:highlight w:val="none"/>
                <w:lang w:eastAsia="zh-CN"/>
              </w:rPr>
              <w:t>第二项</w:t>
            </w:r>
            <w:r>
              <w:rPr>
                <w:rFonts w:hint="eastAsia" w:asciiTheme="minorEastAsia" w:hAnsiTheme="minorEastAsia" w:eastAsiaTheme="minorEastAsia" w:cstheme="minorEastAsia"/>
                <w:color w:val="auto"/>
                <w:spacing w:val="-4"/>
                <w:sz w:val="21"/>
                <w:szCs w:val="21"/>
                <w:highlight w:val="none"/>
              </w:rPr>
              <w:t>违反本条例的规定，有下列情形之一的，由</w:t>
            </w:r>
            <w:r>
              <w:rPr>
                <w:rFonts w:hint="eastAsia" w:asciiTheme="minorEastAsia" w:hAnsiTheme="minorEastAsia" w:eastAsiaTheme="minorEastAsia" w:cstheme="minorEastAsia"/>
                <w:color w:val="auto"/>
                <w:spacing w:val="8"/>
                <w:sz w:val="21"/>
                <w:szCs w:val="21"/>
                <w:highlight w:val="none"/>
              </w:rPr>
              <w:t>县级以上地方人民政府交通运输主管部门责令停止经营</w:t>
            </w:r>
            <w:r>
              <w:rPr>
                <w:rFonts w:hint="eastAsia" w:asciiTheme="minorEastAsia" w:hAnsiTheme="minorEastAsia" w:eastAsiaTheme="minorEastAsia" w:cstheme="minorEastAsia"/>
                <w:color w:val="auto"/>
                <w:spacing w:val="-5"/>
                <w:sz w:val="21"/>
                <w:szCs w:val="21"/>
                <w:highlight w:val="none"/>
              </w:rPr>
              <w:t>,并处罚款；构成犯罪的，依法追究刑事责任：</w:t>
            </w:r>
          </w:p>
          <w:p w14:paraId="54F93277">
            <w:pPr>
              <w:keepNext w:val="0"/>
              <w:keepLines w:val="0"/>
              <w:pageBreakBefore w:val="0"/>
              <w:numPr>
                <w:ilvl w:val="0"/>
                <w:numId w:val="2"/>
              </w:numPr>
              <w:wordWrap/>
              <w:overflowPunct/>
              <w:topLinePunct w:val="0"/>
              <w:bidi w:val="0"/>
              <w:spacing w:line="231" w:lineRule="auto"/>
              <w:ind w:left="0" w:leftChars="0" w:right="0" w:rightChars="0" w:hanging="25" w:firstLineChars="0"/>
              <w:jc w:val="both"/>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color w:val="auto"/>
                <w:spacing w:val="-3"/>
                <w:sz w:val="21"/>
                <w:szCs w:val="21"/>
                <w:highlight w:val="none"/>
              </w:rPr>
              <w:t>未取得道路运输经营许可，擅自从事道路客运经营</w:t>
            </w:r>
            <w:r>
              <w:rPr>
                <w:rFonts w:hint="eastAsia" w:asciiTheme="minorEastAsia" w:hAnsiTheme="minorEastAsia" w:eastAsiaTheme="minorEastAsia" w:cstheme="minorEastAsia"/>
                <w:color w:val="auto"/>
                <w:spacing w:val="-6"/>
                <w:sz w:val="21"/>
                <w:szCs w:val="21"/>
                <w:highlight w:val="none"/>
              </w:rPr>
              <w:t>,违法所得超过2万元的，没收违法所得，处违法所得2倍</w:t>
            </w:r>
            <w:r>
              <w:rPr>
                <w:rFonts w:hint="eastAsia" w:asciiTheme="minorEastAsia" w:hAnsiTheme="minorEastAsia" w:eastAsiaTheme="minorEastAsia" w:cstheme="minorEastAsia"/>
                <w:color w:val="auto"/>
                <w:spacing w:val="2"/>
                <w:sz w:val="21"/>
                <w:szCs w:val="21"/>
                <w:highlight w:val="none"/>
              </w:rPr>
              <w:t>以上10倍以下的罚款；没有违法所得或者违法所得不足2</w:t>
            </w:r>
            <w:r>
              <w:rPr>
                <w:rFonts w:hint="eastAsia" w:asciiTheme="minorEastAsia" w:hAnsiTheme="minorEastAsia" w:eastAsiaTheme="minorEastAsia" w:cstheme="minorEastAsia"/>
                <w:color w:val="auto"/>
                <w:spacing w:val="-2"/>
                <w:sz w:val="21"/>
                <w:szCs w:val="21"/>
                <w:highlight w:val="none"/>
              </w:rPr>
              <w:t>万元的，处1万元以上10万元以下的罚款。</w:t>
            </w:r>
          </w:p>
        </w:tc>
        <w:tc>
          <w:tcPr>
            <w:tcW w:w="229" w:type="pct"/>
            <w:vAlign w:val="center"/>
          </w:tcPr>
          <w:p w14:paraId="7DFDE2E5">
            <w:pPr>
              <w:keepNext w:val="0"/>
              <w:keepLines w:val="0"/>
              <w:pageBreakBefore w:val="0"/>
              <w:wordWrap/>
              <w:overflowPunct/>
              <w:topLinePunct w:val="0"/>
              <w:bidi w:val="0"/>
              <w:spacing w:line="237" w:lineRule="auto"/>
              <w:ind w:left="0" w:right="0"/>
              <w:jc w:val="center"/>
              <w:rPr>
                <w:rFonts w:hint="eastAsia" w:asciiTheme="minorEastAsia" w:hAnsiTheme="minorEastAsia" w:eastAsiaTheme="minorEastAsia" w:cstheme="minorEastAsia"/>
                <w:spacing w:val="-10"/>
                <w:sz w:val="21"/>
                <w:szCs w:val="21"/>
              </w:rPr>
            </w:pPr>
            <w:r>
              <w:rPr>
                <w:rFonts w:hint="eastAsia" w:asciiTheme="minorEastAsia" w:hAnsiTheme="minorEastAsia" w:eastAsiaTheme="minorEastAsia" w:cstheme="minorEastAsia"/>
                <w:color w:val="auto"/>
                <w:spacing w:val="-15"/>
                <w:sz w:val="21"/>
                <w:szCs w:val="21"/>
                <w:highlight w:val="none"/>
              </w:rPr>
              <w:t>★</w:t>
            </w:r>
          </w:p>
        </w:tc>
        <w:tc>
          <w:tcPr>
            <w:tcW w:w="748" w:type="pct"/>
            <w:vAlign w:val="center"/>
          </w:tcPr>
          <w:p w14:paraId="56865492">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3"/>
                <w:sz w:val="21"/>
                <w:szCs w:val="21"/>
                <w:lang w:val="en-US" w:eastAsia="en-US"/>
              </w:rPr>
            </w:pPr>
            <w:r>
              <w:rPr>
                <w:rFonts w:hint="eastAsia" w:asciiTheme="minorEastAsia" w:hAnsiTheme="minorEastAsia" w:eastAsiaTheme="minorEastAsia" w:cstheme="minorEastAsia"/>
                <w:color w:val="auto"/>
                <w:spacing w:val="-5"/>
                <w:sz w:val="21"/>
                <w:szCs w:val="21"/>
                <w:highlight w:val="none"/>
                <w:lang w:val="en-US" w:eastAsia="en-US"/>
              </w:rPr>
              <w:t>拟从事道路</w:t>
            </w:r>
            <w:r>
              <w:rPr>
                <w:rFonts w:hint="eastAsia" w:asciiTheme="minorEastAsia" w:hAnsiTheme="minorEastAsia" w:eastAsiaTheme="minorEastAsia" w:cstheme="minorEastAsia"/>
                <w:color w:val="auto"/>
                <w:spacing w:val="-5"/>
                <w:sz w:val="21"/>
                <w:szCs w:val="21"/>
                <w:highlight w:val="none"/>
                <w:lang w:val="en-US" w:eastAsia="zh-CN"/>
              </w:rPr>
              <w:t>旅客</w:t>
            </w:r>
            <w:r>
              <w:rPr>
                <w:rFonts w:hint="eastAsia" w:asciiTheme="minorEastAsia" w:hAnsiTheme="minorEastAsia" w:eastAsiaTheme="minorEastAsia" w:cstheme="minorEastAsia"/>
                <w:color w:val="auto"/>
                <w:spacing w:val="-5"/>
                <w:sz w:val="21"/>
                <w:szCs w:val="21"/>
                <w:highlight w:val="none"/>
                <w:lang w:val="en-US" w:eastAsia="en-US"/>
              </w:rPr>
              <w:t>运输经营活动的，</w:t>
            </w:r>
            <w:r>
              <w:rPr>
                <w:rFonts w:hint="eastAsia" w:asciiTheme="minorEastAsia" w:hAnsiTheme="minorEastAsia" w:eastAsiaTheme="minorEastAsia" w:cstheme="minorEastAsia"/>
                <w:color w:val="auto"/>
                <w:spacing w:val="-5"/>
                <w:sz w:val="21"/>
                <w:szCs w:val="21"/>
                <w:highlight w:val="none"/>
                <w:lang w:val="en-US" w:eastAsia="zh-CN"/>
              </w:rPr>
              <w:t>应当</w:t>
            </w:r>
            <w:r>
              <w:rPr>
                <w:rFonts w:hint="eastAsia" w:asciiTheme="minorEastAsia" w:hAnsiTheme="minorEastAsia" w:eastAsiaTheme="minorEastAsia" w:cstheme="minorEastAsia"/>
                <w:color w:val="auto"/>
                <w:spacing w:val="-3"/>
                <w:sz w:val="21"/>
                <w:szCs w:val="21"/>
                <w:highlight w:val="none"/>
              </w:rPr>
              <w:t>取得道路运输经营许可，</w:t>
            </w:r>
            <w:r>
              <w:rPr>
                <w:rFonts w:hint="eastAsia" w:asciiTheme="minorEastAsia" w:hAnsiTheme="minorEastAsia" w:eastAsiaTheme="minorEastAsia" w:cstheme="minorEastAsia"/>
                <w:color w:val="auto"/>
                <w:spacing w:val="-3"/>
                <w:sz w:val="21"/>
                <w:szCs w:val="21"/>
                <w:highlight w:val="none"/>
                <w:lang w:eastAsia="zh-CN"/>
              </w:rPr>
              <w:t>不得未经许可</w:t>
            </w:r>
            <w:r>
              <w:rPr>
                <w:rFonts w:hint="eastAsia" w:asciiTheme="minorEastAsia" w:hAnsiTheme="minorEastAsia" w:eastAsiaTheme="minorEastAsia" w:cstheme="minorEastAsia"/>
                <w:color w:val="auto"/>
                <w:spacing w:val="-3"/>
                <w:sz w:val="21"/>
                <w:szCs w:val="21"/>
                <w:highlight w:val="none"/>
              </w:rPr>
              <w:t>擅自从事道路客运经营</w:t>
            </w:r>
            <w:r>
              <w:rPr>
                <w:rFonts w:hint="eastAsia" w:asciiTheme="minorEastAsia" w:hAnsiTheme="minorEastAsia" w:eastAsiaTheme="minorEastAsia" w:cstheme="minorEastAsia"/>
                <w:color w:val="auto"/>
                <w:spacing w:val="-3"/>
                <w:sz w:val="21"/>
                <w:szCs w:val="21"/>
                <w:highlight w:val="none"/>
                <w:lang w:eastAsia="zh-CN"/>
              </w:rPr>
              <w:t>。</w:t>
            </w:r>
          </w:p>
        </w:tc>
        <w:tc>
          <w:tcPr>
            <w:tcW w:w="435" w:type="pct"/>
            <w:vAlign w:val="center"/>
          </w:tcPr>
          <w:p w14:paraId="72E5707C">
            <w:pPr>
              <w:keepNext w:val="0"/>
              <w:keepLines w:val="0"/>
              <w:pageBreakBefore w:val="0"/>
              <w:wordWrap/>
              <w:overflowPunct/>
              <w:topLinePunct w:val="0"/>
              <w:bidi w:val="0"/>
              <w:ind w:left="0" w:right="0" w:rightChars="0"/>
              <w:jc w:val="center"/>
              <w:rPr>
                <w:rFonts w:hint="eastAsia" w:asciiTheme="minorEastAsia" w:hAnsiTheme="minorEastAsia" w:eastAsiaTheme="minorEastAsia" w:cstheme="minorEastAsia"/>
                <w:spacing w:val="-18"/>
                <w:sz w:val="21"/>
                <w:szCs w:val="21"/>
                <w:lang w:eastAsia="zh-CN"/>
              </w:rPr>
            </w:pPr>
            <w:r>
              <w:rPr>
                <w:rFonts w:hint="eastAsia" w:asciiTheme="minorEastAsia" w:hAnsiTheme="minorEastAsia" w:eastAsiaTheme="minorEastAsia" w:cstheme="minorEastAsia"/>
                <w:color w:val="auto"/>
                <w:spacing w:val="-18"/>
                <w:sz w:val="21"/>
                <w:szCs w:val="21"/>
                <w:highlight w:val="none"/>
                <w:lang w:eastAsia="zh-CN"/>
              </w:rPr>
              <w:t>荣成市交通运输综合执法大队</w:t>
            </w:r>
            <w:r>
              <w:rPr>
                <w:rFonts w:hint="eastAsia" w:asciiTheme="minorEastAsia" w:hAnsiTheme="minorEastAsia" w:eastAsiaTheme="minorEastAsia" w:cstheme="minorEastAsia"/>
                <w:color w:val="auto"/>
                <w:spacing w:val="-18"/>
                <w:sz w:val="21"/>
                <w:szCs w:val="21"/>
                <w:highlight w:val="none"/>
                <w:lang w:val="en-US" w:eastAsia="zh-CN"/>
              </w:rPr>
              <w:t>0631-7584776</w:t>
            </w:r>
          </w:p>
        </w:tc>
      </w:tr>
      <w:tr w14:paraId="63E74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2" w:hRule="atLeast"/>
        </w:trPr>
        <w:tc>
          <w:tcPr>
            <w:tcW w:w="168" w:type="pct"/>
            <w:vAlign w:val="center"/>
          </w:tcPr>
          <w:p w14:paraId="0A5A69C1">
            <w:pPr>
              <w:keepNext w:val="0"/>
              <w:keepLines w:val="0"/>
              <w:pageBreakBefore w:val="0"/>
              <w:wordWrap/>
              <w:overflowPunct/>
              <w:topLinePunct w:val="0"/>
              <w:bidi w:val="0"/>
              <w:spacing w:line="369" w:lineRule="exact"/>
              <w:ind w:left="0" w:right="0"/>
              <w:jc w:val="center"/>
              <w:rPr>
                <w:rFonts w:hint="eastAsia" w:asciiTheme="minorEastAsia" w:hAnsiTheme="minorEastAsia" w:eastAsiaTheme="minorEastAsia" w:cstheme="minorEastAsia"/>
                <w:position w:val="1"/>
                <w:sz w:val="21"/>
                <w:szCs w:val="21"/>
                <w:lang w:val="en-US" w:eastAsia="zh-CN"/>
              </w:rPr>
            </w:pPr>
            <w:r>
              <w:rPr>
                <w:rFonts w:hint="eastAsia" w:asciiTheme="minorEastAsia" w:hAnsiTheme="minorEastAsia" w:eastAsiaTheme="minorEastAsia" w:cstheme="minorEastAsia"/>
                <w:position w:val="1"/>
                <w:sz w:val="21"/>
                <w:szCs w:val="21"/>
                <w:lang w:val="en-US" w:eastAsia="zh-CN"/>
              </w:rPr>
              <w:t>9</w:t>
            </w:r>
          </w:p>
        </w:tc>
        <w:tc>
          <w:tcPr>
            <w:tcW w:w="432" w:type="pct"/>
            <w:vAlign w:val="center"/>
          </w:tcPr>
          <w:p w14:paraId="0FAA996E">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napToGrid w:val="0"/>
                <w:color w:val="000000"/>
                <w:spacing w:val="-5"/>
                <w:kern w:val="0"/>
                <w:sz w:val="21"/>
                <w:szCs w:val="21"/>
                <w:lang w:val="en-US" w:eastAsia="en-US" w:bidi="ar-SA"/>
              </w:rPr>
              <w:t>客运包车</w:t>
            </w:r>
            <w:r>
              <w:rPr>
                <w:rFonts w:hint="eastAsia" w:asciiTheme="minorEastAsia" w:hAnsiTheme="minorEastAsia" w:eastAsiaTheme="minorEastAsia" w:cstheme="minorEastAsia"/>
                <w:snapToGrid w:val="0"/>
                <w:color w:val="000000"/>
                <w:spacing w:val="-5"/>
                <w:kern w:val="0"/>
                <w:sz w:val="21"/>
                <w:szCs w:val="21"/>
                <w:lang w:val="en-US" w:eastAsia="zh-CN" w:bidi="ar-SA"/>
              </w:rPr>
              <w:t>应</w:t>
            </w:r>
            <w:r>
              <w:rPr>
                <w:rFonts w:hint="eastAsia" w:asciiTheme="minorEastAsia" w:hAnsiTheme="minorEastAsia" w:eastAsiaTheme="minorEastAsia" w:cstheme="minorEastAsia"/>
                <w:snapToGrid w:val="0"/>
                <w:color w:val="000000"/>
                <w:spacing w:val="-5"/>
                <w:kern w:val="0"/>
                <w:sz w:val="21"/>
                <w:szCs w:val="21"/>
                <w:lang w:val="en-US" w:eastAsia="en-US" w:bidi="ar-SA"/>
              </w:rPr>
              <w:t>持有效的包车客运标志牌进行经营</w:t>
            </w:r>
            <w:r>
              <w:rPr>
                <w:rFonts w:hint="eastAsia" w:asciiTheme="minorEastAsia" w:hAnsiTheme="minorEastAsia" w:eastAsiaTheme="minorEastAsia" w:cstheme="minorEastAsia"/>
                <w:snapToGrid w:val="0"/>
                <w:color w:val="000000"/>
                <w:spacing w:val="-5"/>
                <w:kern w:val="0"/>
                <w:sz w:val="21"/>
                <w:szCs w:val="21"/>
                <w:lang w:val="en-US" w:eastAsia="zh-CN" w:bidi="ar-SA"/>
              </w:rPr>
              <w:t>并按照包车客运标志牌载明的事项运行，不得</w:t>
            </w:r>
            <w:r>
              <w:rPr>
                <w:rFonts w:hint="eastAsia" w:asciiTheme="minorEastAsia" w:hAnsiTheme="minorEastAsia" w:eastAsiaTheme="minorEastAsia" w:cstheme="minorEastAsia"/>
                <w:snapToGrid w:val="0"/>
                <w:color w:val="000000"/>
                <w:spacing w:val="-5"/>
                <w:kern w:val="0"/>
                <w:sz w:val="21"/>
                <w:szCs w:val="21"/>
                <w:lang w:val="en-US" w:eastAsia="en-US" w:bidi="ar-SA"/>
              </w:rPr>
              <w:t>招揽包车合同以外的旅客乘车</w:t>
            </w:r>
          </w:p>
        </w:tc>
        <w:tc>
          <w:tcPr>
            <w:tcW w:w="414" w:type="pct"/>
            <w:vAlign w:val="center"/>
          </w:tcPr>
          <w:p w14:paraId="0C4997CA">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napToGrid w:val="0"/>
                <w:color w:val="000000"/>
                <w:spacing w:val="-5"/>
                <w:kern w:val="0"/>
                <w:sz w:val="21"/>
                <w:szCs w:val="21"/>
                <w:lang w:val="en-US" w:eastAsia="en-US" w:bidi="ar-SA"/>
              </w:rPr>
              <w:t>客运包车未持有效的包车客运标志牌进行经营</w:t>
            </w:r>
            <w:r>
              <w:rPr>
                <w:rFonts w:hint="eastAsia" w:asciiTheme="minorEastAsia" w:hAnsiTheme="minorEastAsia" w:eastAsiaTheme="minorEastAsia" w:cstheme="minorEastAsia"/>
                <w:snapToGrid w:val="0"/>
                <w:color w:val="000000"/>
                <w:spacing w:val="-5"/>
                <w:kern w:val="0"/>
                <w:sz w:val="21"/>
                <w:szCs w:val="21"/>
                <w:lang w:val="en-US" w:eastAsia="zh-CN" w:bidi="ar-SA"/>
              </w:rPr>
              <w:t>、不按照包车客运标志牌载明的事项运行、</w:t>
            </w:r>
            <w:r>
              <w:rPr>
                <w:rFonts w:hint="eastAsia" w:asciiTheme="minorEastAsia" w:hAnsiTheme="minorEastAsia" w:eastAsiaTheme="minorEastAsia" w:cstheme="minorEastAsia"/>
                <w:snapToGrid w:val="0"/>
                <w:color w:val="000000"/>
                <w:spacing w:val="-5"/>
                <w:kern w:val="0"/>
                <w:sz w:val="21"/>
                <w:szCs w:val="21"/>
                <w:lang w:val="en-US" w:eastAsia="en-US" w:bidi="ar-SA"/>
              </w:rPr>
              <w:t>线路两端均不在车籍所在地</w:t>
            </w:r>
            <w:r>
              <w:rPr>
                <w:rFonts w:hint="eastAsia" w:asciiTheme="minorEastAsia" w:hAnsiTheme="minorEastAsia" w:eastAsiaTheme="minorEastAsia" w:cstheme="minorEastAsia"/>
                <w:snapToGrid w:val="0"/>
                <w:color w:val="000000"/>
                <w:spacing w:val="-5"/>
                <w:kern w:val="0"/>
                <w:sz w:val="21"/>
                <w:szCs w:val="21"/>
                <w:lang w:val="en-US" w:eastAsia="zh-CN" w:bidi="ar-SA"/>
              </w:rPr>
              <w:t>、</w:t>
            </w:r>
            <w:r>
              <w:rPr>
                <w:rFonts w:hint="eastAsia" w:asciiTheme="minorEastAsia" w:hAnsiTheme="minorEastAsia" w:eastAsiaTheme="minorEastAsia" w:cstheme="minorEastAsia"/>
                <w:snapToGrid w:val="0"/>
                <w:color w:val="000000"/>
                <w:spacing w:val="-5"/>
                <w:kern w:val="0"/>
                <w:sz w:val="21"/>
                <w:szCs w:val="21"/>
                <w:lang w:val="en-US" w:eastAsia="en-US" w:bidi="ar-SA"/>
              </w:rPr>
              <w:t>招揽包车合同以外的旅客乘车</w:t>
            </w:r>
          </w:p>
        </w:tc>
        <w:tc>
          <w:tcPr>
            <w:tcW w:w="2570" w:type="pct"/>
            <w:vAlign w:val="center"/>
          </w:tcPr>
          <w:p w14:paraId="709972A4">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b/>
                <w:bCs/>
                <w:spacing w:val="-2"/>
                <w:sz w:val="21"/>
                <w:szCs w:val="21"/>
                <w:lang w:val="en-US" w:eastAsia="en-US"/>
              </w:rPr>
            </w:pPr>
            <w:r>
              <w:rPr>
                <w:rFonts w:hint="eastAsia" w:asciiTheme="minorEastAsia" w:hAnsiTheme="minorEastAsia" w:eastAsiaTheme="minorEastAsia" w:cstheme="minorEastAsia"/>
                <w:b/>
                <w:bCs/>
                <w:spacing w:val="-2"/>
                <w:sz w:val="21"/>
                <w:szCs w:val="21"/>
                <w:lang w:val="en-US" w:eastAsia="en-US"/>
              </w:rPr>
              <w:t>《道路旅客运输及客运站管理规定》</w:t>
            </w:r>
          </w:p>
          <w:p w14:paraId="46EDBE62">
            <w:pPr>
              <w:keepNext w:val="0"/>
              <w:keepLines w:val="0"/>
              <w:pageBreakBefore w:val="0"/>
              <w:wordWrap/>
              <w:overflowPunct/>
              <w:topLinePunct w:val="0"/>
              <w:bidi w:val="0"/>
              <w:spacing w:line="239" w:lineRule="auto"/>
              <w:ind w:left="0" w:right="0" w:firstLine="10"/>
              <w:jc w:val="both"/>
              <w:rPr>
                <w:rFonts w:hint="eastAsia"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b/>
                <w:bCs/>
                <w:spacing w:val="8"/>
                <w:sz w:val="21"/>
                <w:szCs w:val="21"/>
                <w:lang w:val="en-US" w:eastAsia="zh-CN"/>
              </w:rPr>
              <w:t>第五十七条</w:t>
            </w:r>
            <w:r>
              <w:rPr>
                <w:rFonts w:hint="eastAsia" w:asciiTheme="minorEastAsia" w:hAnsiTheme="minorEastAsia" w:eastAsiaTheme="minorEastAsia" w:cstheme="minorEastAsia"/>
                <w:spacing w:val="8"/>
                <w:sz w:val="21"/>
                <w:szCs w:val="21"/>
                <w:lang w:val="en-US" w:eastAsia="zh-CN"/>
              </w:rPr>
              <w:t>客运包车应当凭车籍所在地交通运输主管部门配发的包车客运标志牌，按照约定的时间、起始地、目的地和线路运行，并持有包车合同，不得招揽包车合同外的旅客乘车。</w:t>
            </w:r>
          </w:p>
          <w:p w14:paraId="0AD09E01">
            <w:pPr>
              <w:keepNext w:val="0"/>
              <w:keepLines w:val="0"/>
              <w:pageBreakBefore w:val="0"/>
              <w:wordWrap/>
              <w:overflowPunct/>
              <w:topLinePunct w:val="0"/>
              <w:bidi w:val="0"/>
              <w:spacing w:line="239" w:lineRule="auto"/>
              <w:ind w:left="0" w:right="0" w:firstLine="10"/>
              <w:jc w:val="both"/>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CN"/>
              </w:rPr>
              <w:t>客运包车除执行交通运输主管部门下达的紧急包车任务外，其线路一端应当在车籍所在的设区的市，单个运次不超过15日。</w:t>
            </w:r>
          </w:p>
          <w:p w14:paraId="2DF888CC">
            <w:pPr>
              <w:keepNext w:val="0"/>
              <w:keepLines w:val="0"/>
              <w:pageBreakBefore w:val="0"/>
              <w:wordWrap/>
              <w:overflowPunct/>
              <w:topLinePunct w:val="0"/>
              <w:bidi w:val="0"/>
              <w:spacing w:line="239" w:lineRule="auto"/>
              <w:ind w:left="0" w:right="0" w:firstLine="10"/>
              <w:jc w:val="both"/>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pacing w:val="8"/>
                <w:sz w:val="21"/>
                <w:szCs w:val="21"/>
                <w:lang w:val="en-US" w:eastAsia="zh-CN"/>
              </w:rPr>
              <w:t>第九十九条第六项</w:t>
            </w:r>
            <w:r>
              <w:rPr>
                <w:rFonts w:hint="eastAsia" w:asciiTheme="minorEastAsia" w:hAnsiTheme="minorEastAsia" w:eastAsiaTheme="minorEastAsia" w:cstheme="minorEastAsia"/>
                <w:spacing w:val="8"/>
                <w:sz w:val="21"/>
                <w:szCs w:val="21"/>
                <w:lang w:val="en-US" w:eastAsia="zh-CN"/>
              </w:rPr>
              <w:t>违反本规定，客运经营者有下列情形之一的，由交通运输主管部门责令改正，处1000元以上2000元以下的罚款：(六)客运包车未持有效的包车客运标志牌进行经营的，不按照包车客运标志牌载明的事项运行的，线路两端均不在车籍所在地的，招揽包车合同以外的旅客乘车的。</w:t>
            </w:r>
          </w:p>
        </w:tc>
        <w:tc>
          <w:tcPr>
            <w:tcW w:w="229" w:type="pct"/>
            <w:vAlign w:val="center"/>
          </w:tcPr>
          <w:p w14:paraId="5FF41ABD">
            <w:pPr>
              <w:keepNext w:val="0"/>
              <w:keepLines w:val="0"/>
              <w:pageBreakBefore w:val="0"/>
              <w:wordWrap/>
              <w:overflowPunct/>
              <w:topLinePunct w:val="0"/>
              <w:bidi w:val="0"/>
              <w:spacing w:line="214" w:lineRule="auto"/>
              <w:ind w:left="0" w:right="0"/>
              <w:jc w:val="center"/>
              <w:rPr>
                <w:rFonts w:hint="eastAsia" w:asciiTheme="minorEastAsia" w:hAnsiTheme="minorEastAsia" w:eastAsiaTheme="minorEastAsia" w:cstheme="minorEastAsia"/>
                <w:spacing w:val="-10"/>
                <w:sz w:val="21"/>
                <w:szCs w:val="21"/>
              </w:rPr>
            </w:pPr>
            <w:r>
              <w:rPr>
                <w:rFonts w:hint="eastAsia" w:asciiTheme="minorEastAsia" w:hAnsiTheme="minorEastAsia" w:eastAsiaTheme="minorEastAsia" w:cstheme="minorEastAsia"/>
                <w:spacing w:val="-15"/>
                <w:sz w:val="21"/>
                <w:szCs w:val="21"/>
              </w:rPr>
              <w:t>★★</w:t>
            </w:r>
          </w:p>
        </w:tc>
        <w:tc>
          <w:tcPr>
            <w:tcW w:w="748" w:type="pct"/>
            <w:vAlign w:val="center"/>
          </w:tcPr>
          <w:p w14:paraId="64D7CDEF">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3"/>
                <w:sz w:val="21"/>
                <w:szCs w:val="21"/>
                <w:lang w:val="en-US" w:eastAsia="en-US"/>
              </w:rPr>
            </w:pPr>
            <w:r>
              <w:rPr>
                <w:rFonts w:hint="eastAsia" w:asciiTheme="minorEastAsia" w:hAnsiTheme="minorEastAsia" w:eastAsiaTheme="minorEastAsia" w:cstheme="minorEastAsia"/>
                <w:spacing w:val="8"/>
                <w:sz w:val="21"/>
                <w:szCs w:val="21"/>
              </w:rPr>
              <w:t>依法取得包车客运</w:t>
            </w:r>
            <w:r>
              <w:rPr>
                <w:rFonts w:hint="eastAsia" w:asciiTheme="minorEastAsia" w:hAnsiTheme="minorEastAsia" w:eastAsiaTheme="minorEastAsia" w:cstheme="minorEastAsia"/>
                <w:spacing w:val="6"/>
                <w:sz w:val="21"/>
                <w:szCs w:val="21"/>
              </w:rPr>
              <w:t>经营许可的客运包车应当持有有效的</w:t>
            </w:r>
            <w:r>
              <w:rPr>
                <w:rFonts w:hint="eastAsia" w:asciiTheme="minorEastAsia" w:hAnsiTheme="minorEastAsia" w:eastAsiaTheme="minorEastAsia" w:cstheme="minorEastAsia"/>
                <w:spacing w:val="8"/>
                <w:sz w:val="21"/>
                <w:szCs w:val="21"/>
              </w:rPr>
              <w:t>包车客运标志牌进</w:t>
            </w:r>
            <w:r>
              <w:rPr>
                <w:rFonts w:hint="eastAsia" w:asciiTheme="minorEastAsia" w:hAnsiTheme="minorEastAsia" w:eastAsiaTheme="minorEastAsia" w:cstheme="minorEastAsia"/>
                <w:spacing w:val="6"/>
                <w:sz w:val="21"/>
                <w:szCs w:val="21"/>
              </w:rPr>
              <w:t>行经营，按照包车客</w:t>
            </w:r>
            <w:r>
              <w:rPr>
                <w:rFonts w:hint="eastAsia" w:asciiTheme="minorEastAsia" w:hAnsiTheme="minorEastAsia" w:eastAsiaTheme="minorEastAsia" w:cstheme="minorEastAsia"/>
                <w:spacing w:val="7"/>
                <w:sz w:val="21"/>
                <w:szCs w:val="21"/>
              </w:rPr>
              <w:t>运标志牌载明的事</w:t>
            </w:r>
            <w:r>
              <w:rPr>
                <w:rFonts w:hint="eastAsia" w:asciiTheme="minorEastAsia" w:hAnsiTheme="minorEastAsia" w:eastAsiaTheme="minorEastAsia" w:cstheme="minorEastAsia"/>
                <w:spacing w:val="6"/>
                <w:sz w:val="21"/>
                <w:szCs w:val="21"/>
              </w:rPr>
              <w:t>项运行，且线路两端</w:t>
            </w:r>
            <w:r>
              <w:rPr>
                <w:rFonts w:hint="eastAsia" w:asciiTheme="minorEastAsia" w:hAnsiTheme="minorEastAsia" w:eastAsiaTheme="minorEastAsia" w:cstheme="minorEastAsia"/>
                <w:spacing w:val="10"/>
                <w:sz w:val="21"/>
                <w:szCs w:val="21"/>
              </w:rPr>
              <w:t>有一端在车籍所在</w:t>
            </w:r>
            <w:r>
              <w:rPr>
                <w:rFonts w:hint="eastAsia" w:asciiTheme="minorEastAsia" w:hAnsiTheme="minorEastAsia" w:eastAsiaTheme="minorEastAsia" w:cstheme="minorEastAsia"/>
                <w:spacing w:val="-4"/>
                <w:sz w:val="21"/>
                <w:szCs w:val="21"/>
              </w:rPr>
              <w:t>地。</w:t>
            </w:r>
          </w:p>
        </w:tc>
        <w:tc>
          <w:tcPr>
            <w:tcW w:w="435" w:type="pct"/>
            <w:vAlign w:val="center"/>
          </w:tcPr>
          <w:p w14:paraId="07DF4323">
            <w:pPr>
              <w:keepNext w:val="0"/>
              <w:keepLines w:val="0"/>
              <w:pageBreakBefore w:val="0"/>
              <w:wordWrap/>
              <w:overflowPunct/>
              <w:topLinePunct w:val="0"/>
              <w:bidi w:val="0"/>
              <w:spacing w:line="222" w:lineRule="auto"/>
              <w:ind w:left="0" w:right="0" w:rightChars="0"/>
              <w:jc w:val="center"/>
              <w:rPr>
                <w:rFonts w:hint="eastAsia" w:asciiTheme="minorEastAsia" w:hAnsiTheme="minorEastAsia" w:eastAsiaTheme="minorEastAsia" w:cstheme="minorEastAsia"/>
                <w:spacing w:val="-18"/>
                <w:sz w:val="21"/>
                <w:szCs w:val="21"/>
                <w:lang w:eastAsia="zh-CN"/>
              </w:rPr>
            </w:pPr>
            <w:r>
              <w:rPr>
                <w:rFonts w:hint="eastAsia" w:asciiTheme="minorEastAsia" w:hAnsiTheme="minorEastAsia" w:eastAsiaTheme="minorEastAsia" w:cstheme="minorEastAsia"/>
                <w:spacing w:val="-18"/>
                <w:sz w:val="21"/>
                <w:szCs w:val="21"/>
                <w:lang w:eastAsia="zh-CN"/>
              </w:rPr>
              <w:t>荣成市交通运输综合执法大队</w:t>
            </w:r>
            <w:r>
              <w:rPr>
                <w:rFonts w:hint="eastAsia" w:asciiTheme="minorEastAsia" w:hAnsiTheme="minorEastAsia" w:eastAsiaTheme="minorEastAsia" w:cstheme="minorEastAsia"/>
                <w:spacing w:val="-18"/>
                <w:sz w:val="21"/>
                <w:szCs w:val="21"/>
                <w:lang w:val="en-US" w:eastAsia="zh-CN"/>
              </w:rPr>
              <w:t>0631-7584776</w:t>
            </w:r>
          </w:p>
        </w:tc>
      </w:tr>
      <w:tr w14:paraId="5DA5B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7" w:hRule="atLeast"/>
        </w:trPr>
        <w:tc>
          <w:tcPr>
            <w:tcW w:w="168" w:type="pct"/>
            <w:vAlign w:val="center"/>
          </w:tcPr>
          <w:p w14:paraId="1123751C">
            <w:pPr>
              <w:keepNext w:val="0"/>
              <w:keepLines w:val="0"/>
              <w:pageBreakBefore w:val="0"/>
              <w:wordWrap/>
              <w:overflowPunct/>
              <w:topLinePunct w:val="0"/>
              <w:bidi w:val="0"/>
              <w:spacing w:line="369" w:lineRule="exact"/>
              <w:ind w:left="0" w:right="0"/>
              <w:jc w:val="center"/>
              <w:rPr>
                <w:rFonts w:hint="eastAsia" w:asciiTheme="minorEastAsia" w:hAnsiTheme="minorEastAsia" w:eastAsiaTheme="minorEastAsia" w:cstheme="minorEastAsia"/>
                <w:position w:val="1"/>
                <w:sz w:val="21"/>
                <w:szCs w:val="21"/>
                <w:lang w:val="en-US" w:eastAsia="zh-CN"/>
              </w:rPr>
            </w:pPr>
            <w:r>
              <w:rPr>
                <w:rFonts w:hint="eastAsia" w:asciiTheme="minorEastAsia" w:hAnsiTheme="minorEastAsia" w:eastAsiaTheme="minorEastAsia" w:cstheme="minorEastAsia"/>
                <w:position w:val="1"/>
                <w:sz w:val="21"/>
                <w:szCs w:val="21"/>
                <w:lang w:val="en-US" w:eastAsia="zh-CN"/>
              </w:rPr>
              <w:t>10</w:t>
            </w:r>
          </w:p>
        </w:tc>
        <w:tc>
          <w:tcPr>
            <w:tcW w:w="432" w:type="pct"/>
            <w:vAlign w:val="center"/>
          </w:tcPr>
          <w:p w14:paraId="5F16F8C0">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napToGrid w:val="0"/>
                <w:color w:val="000000"/>
                <w:spacing w:val="-5"/>
                <w:kern w:val="0"/>
                <w:sz w:val="21"/>
                <w:szCs w:val="21"/>
                <w:lang w:val="en-US" w:eastAsia="en-US" w:bidi="ar-SA"/>
              </w:rPr>
              <w:t>客运班车</w:t>
            </w:r>
            <w:r>
              <w:rPr>
                <w:rFonts w:hint="eastAsia" w:asciiTheme="minorEastAsia" w:hAnsiTheme="minorEastAsia" w:eastAsiaTheme="minorEastAsia" w:cstheme="minorEastAsia"/>
                <w:snapToGrid w:val="0"/>
                <w:color w:val="000000"/>
                <w:spacing w:val="-5"/>
                <w:kern w:val="0"/>
                <w:sz w:val="21"/>
                <w:szCs w:val="21"/>
                <w:lang w:val="en-US" w:eastAsia="zh-CN" w:bidi="ar-SA"/>
              </w:rPr>
              <w:t>应当</w:t>
            </w:r>
            <w:r>
              <w:rPr>
                <w:rFonts w:hint="eastAsia" w:asciiTheme="minorEastAsia" w:hAnsiTheme="minorEastAsia" w:eastAsiaTheme="minorEastAsia" w:cstheme="minorEastAsia"/>
                <w:snapToGrid w:val="0"/>
                <w:color w:val="000000"/>
                <w:spacing w:val="-5"/>
                <w:kern w:val="0"/>
                <w:sz w:val="21"/>
                <w:szCs w:val="21"/>
                <w:lang w:val="en-US" w:eastAsia="en-US" w:bidi="ar-SA"/>
              </w:rPr>
              <w:t>按照批准的配客站点停靠</w:t>
            </w:r>
            <w:r>
              <w:rPr>
                <w:rFonts w:hint="eastAsia" w:asciiTheme="minorEastAsia" w:hAnsiTheme="minorEastAsia" w:eastAsiaTheme="minorEastAsia" w:cstheme="minorEastAsia"/>
                <w:snapToGrid w:val="0"/>
                <w:color w:val="000000"/>
                <w:spacing w:val="-5"/>
                <w:kern w:val="0"/>
                <w:sz w:val="21"/>
                <w:szCs w:val="21"/>
                <w:lang w:val="en-US" w:eastAsia="zh-CN" w:bidi="ar-SA"/>
              </w:rPr>
              <w:t>、</w:t>
            </w:r>
            <w:r>
              <w:rPr>
                <w:rFonts w:hint="eastAsia" w:asciiTheme="minorEastAsia" w:hAnsiTheme="minorEastAsia" w:eastAsiaTheme="minorEastAsia" w:cstheme="minorEastAsia"/>
                <w:snapToGrid w:val="0"/>
                <w:color w:val="000000"/>
                <w:spacing w:val="-5"/>
                <w:kern w:val="0"/>
                <w:sz w:val="21"/>
                <w:szCs w:val="21"/>
                <w:lang w:val="en-US" w:eastAsia="en-US" w:bidi="ar-SA"/>
              </w:rPr>
              <w:t>按规定的线路行驶</w:t>
            </w:r>
          </w:p>
        </w:tc>
        <w:tc>
          <w:tcPr>
            <w:tcW w:w="414" w:type="pct"/>
            <w:vAlign w:val="center"/>
          </w:tcPr>
          <w:p w14:paraId="7BDA30AD">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napToGrid w:val="0"/>
                <w:color w:val="000000"/>
                <w:spacing w:val="-5"/>
                <w:kern w:val="0"/>
                <w:sz w:val="21"/>
                <w:szCs w:val="21"/>
                <w:lang w:val="en-US" w:eastAsia="en-US" w:bidi="ar-SA"/>
              </w:rPr>
              <w:t>客运班车不按照批准的配客站点停靠</w:t>
            </w:r>
            <w:r>
              <w:rPr>
                <w:rFonts w:hint="eastAsia" w:asciiTheme="minorEastAsia" w:hAnsiTheme="minorEastAsia" w:eastAsiaTheme="minorEastAsia" w:cstheme="minorEastAsia"/>
                <w:snapToGrid w:val="0"/>
                <w:color w:val="000000"/>
                <w:spacing w:val="-5"/>
                <w:kern w:val="0"/>
                <w:sz w:val="21"/>
                <w:szCs w:val="21"/>
                <w:lang w:val="en-US" w:eastAsia="zh-CN" w:bidi="ar-SA"/>
              </w:rPr>
              <w:t>、</w:t>
            </w:r>
            <w:r>
              <w:rPr>
                <w:rFonts w:hint="eastAsia" w:asciiTheme="minorEastAsia" w:hAnsiTheme="minorEastAsia" w:eastAsiaTheme="minorEastAsia" w:cstheme="minorEastAsia"/>
                <w:snapToGrid w:val="0"/>
                <w:color w:val="000000"/>
                <w:spacing w:val="-5"/>
                <w:kern w:val="0"/>
                <w:sz w:val="21"/>
                <w:szCs w:val="21"/>
                <w:lang w:val="en-US" w:eastAsia="en-US" w:bidi="ar-SA"/>
              </w:rPr>
              <w:t>不按规定的线路行驶</w:t>
            </w:r>
          </w:p>
        </w:tc>
        <w:tc>
          <w:tcPr>
            <w:tcW w:w="2570" w:type="pct"/>
            <w:vAlign w:val="center"/>
          </w:tcPr>
          <w:p w14:paraId="33D8BB2F">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b/>
                <w:bCs/>
                <w:spacing w:val="-2"/>
                <w:sz w:val="21"/>
                <w:szCs w:val="21"/>
                <w:lang w:val="en-US" w:eastAsia="zh-CN"/>
              </w:rPr>
            </w:pPr>
            <w:r>
              <w:rPr>
                <w:rFonts w:hint="eastAsia" w:asciiTheme="minorEastAsia" w:hAnsiTheme="minorEastAsia" w:eastAsiaTheme="minorEastAsia" w:cstheme="minorEastAsia"/>
                <w:b/>
                <w:bCs/>
                <w:spacing w:val="-2"/>
                <w:sz w:val="21"/>
                <w:szCs w:val="21"/>
                <w:lang w:val="en-US" w:eastAsia="zh-CN"/>
              </w:rPr>
              <w:t>《中华人民共和国道路运输条例》</w:t>
            </w:r>
          </w:p>
          <w:p w14:paraId="662762D9">
            <w:pPr>
              <w:keepNext w:val="0"/>
              <w:keepLines w:val="0"/>
              <w:pageBreakBefore w:val="0"/>
              <w:numPr>
                <w:ilvl w:val="0"/>
                <w:numId w:val="0"/>
              </w:numPr>
              <w:wordWrap/>
              <w:overflowPunct/>
              <w:topLinePunct w:val="0"/>
              <w:bidi w:val="0"/>
              <w:spacing w:line="214" w:lineRule="auto"/>
              <w:ind w:left="0" w:right="0"/>
              <w:jc w:val="both"/>
              <w:rPr>
                <w:rFonts w:hint="eastAsia" w:asciiTheme="minorEastAsia" w:hAnsiTheme="minorEastAsia" w:eastAsiaTheme="minorEastAsia" w:cstheme="minorEastAsia"/>
                <w:snapToGrid w:val="0"/>
                <w:color w:val="000000"/>
                <w:spacing w:val="-3"/>
                <w:kern w:val="0"/>
                <w:sz w:val="21"/>
                <w:szCs w:val="21"/>
                <w:lang w:val="en-US" w:eastAsia="zh-CN" w:bidi="ar-SA"/>
              </w:rPr>
            </w:pPr>
            <w:r>
              <w:rPr>
                <w:rFonts w:hint="eastAsia" w:asciiTheme="minorEastAsia" w:hAnsiTheme="minorEastAsia" w:eastAsiaTheme="minorEastAsia" w:cstheme="minorEastAsia"/>
                <w:b/>
                <w:bCs/>
                <w:spacing w:val="-2"/>
                <w:sz w:val="21"/>
                <w:szCs w:val="21"/>
                <w:lang w:val="en-US" w:eastAsia="zh-CN"/>
              </w:rPr>
              <w:t>第八条第二款</w:t>
            </w:r>
            <w:r>
              <w:rPr>
                <w:rFonts w:hint="eastAsia" w:asciiTheme="minorEastAsia" w:hAnsiTheme="minorEastAsia" w:eastAsiaTheme="minorEastAsia" w:cstheme="minorEastAsia"/>
                <w:snapToGrid w:val="0"/>
                <w:color w:val="000000"/>
                <w:spacing w:val="-3"/>
                <w:kern w:val="0"/>
                <w:sz w:val="21"/>
                <w:szCs w:val="21"/>
                <w:lang w:val="en-US" w:eastAsia="zh-CN" w:bidi="ar-SA"/>
              </w:rPr>
              <w:t>申请从事班线客运经营的，还应当有明确的线路和站点方案。</w:t>
            </w:r>
          </w:p>
          <w:p w14:paraId="094E4607">
            <w:pPr>
              <w:keepNext w:val="0"/>
              <w:keepLines w:val="0"/>
              <w:pageBreakBefore w:val="0"/>
              <w:wordWrap/>
              <w:overflowPunct/>
              <w:topLinePunct w:val="0"/>
              <w:bidi w:val="0"/>
              <w:spacing w:line="228" w:lineRule="auto"/>
              <w:ind w:left="0" w:leftChars="0" w:right="0" w:rightChars="0" w:firstLine="29" w:firstLineChars="0"/>
              <w:jc w:val="both"/>
              <w:rPr>
                <w:rFonts w:hint="eastAsia" w:asciiTheme="minorEastAsia" w:hAnsiTheme="minorEastAsia" w:eastAsiaTheme="minorEastAsia" w:cstheme="minorEastAsia"/>
                <w:snapToGrid w:val="0"/>
                <w:color w:val="000000"/>
                <w:spacing w:val="-3"/>
                <w:kern w:val="0"/>
                <w:sz w:val="21"/>
                <w:szCs w:val="21"/>
                <w:lang w:val="en-US" w:eastAsia="zh-CN" w:bidi="ar-SA"/>
              </w:rPr>
            </w:pPr>
            <w:r>
              <w:rPr>
                <w:rFonts w:hint="eastAsia" w:asciiTheme="minorEastAsia" w:hAnsiTheme="minorEastAsia" w:eastAsiaTheme="minorEastAsia" w:cstheme="minorEastAsia"/>
                <w:b/>
                <w:bCs/>
                <w:spacing w:val="-2"/>
                <w:sz w:val="21"/>
                <w:szCs w:val="21"/>
                <w:lang w:val="en-US" w:eastAsia="en-US"/>
              </w:rPr>
              <w:t>第六十八条</w:t>
            </w:r>
            <w:r>
              <w:rPr>
                <w:rFonts w:hint="eastAsia" w:asciiTheme="minorEastAsia" w:hAnsiTheme="minorEastAsia" w:eastAsiaTheme="minorEastAsia" w:cstheme="minorEastAsia"/>
                <w:b/>
                <w:bCs/>
                <w:spacing w:val="-2"/>
                <w:sz w:val="21"/>
                <w:szCs w:val="21"/>
                <w:lang w:val="en-US" w:eastAsia="zh-CN"/>
              </w:rPr>
              <w:t>第一项</w:t>
            </w:r>
            <w:r>
              <w:rPr>
                <w:rFonts w:hint="eastAsia" w:asciiTheme="minorEastAsia" w:hAnsiTheme="minorEastAsia" w:eastAsiaTheme="minorEastAsia" w:cstheme="minorEastAsia"/>
                <w:snapToGrid w:val="0"/>
                <w:color w:val="000000"/>
                <w:spacing w:val="-3"/>
                <w:kern w:val="0"/>
                <w:sz w:val="21"/>
                <w:szCs w:val="21"/>
                <w:lang w:val="en-US" w:eastAsia="en-US" w:bidi="ar-SA"/>
              </w:rPr>
              <w:t>违反本条例的规定，客运经营者有下列情形之一的，由县级以上地方人民政府交通运输主管部门责令改正，处1000元以上2000元以下的罚款；情节严重的，由原许可机关吊销道路运输经营许可证：（一）不按批准的客运站点停靠或者不按规定的线路、公布的班次行驶的</w:t>
            </w:r>
            <w:r>
              <w:rPr>
                <w:rFonts w:hint="eastAsia" w:asciiTheme="minorEastAsia" w:hAnsiTheme="minorEastAsia" w:eastAsiaTheme="minorEastAsia" w:cstheme="minorEastAsia"/>
                <w:snapToGrid w:val="0"/>
                <w:color w:val="000000"/>
                <w:spacing w:val="-3"/>
                <w:kern w:val="0"/>
                <w:sz w:val="21"/>
                <w:szCs w:val="21"/>
                <w:lang w:val="en-US" w:eastAsia="zh-CN" w:bidi="ar-SA"/>
              </w:rPr>
              <w:t>。</w:t>
            </w:r>
          </w:p>
          <w:p w14:paraId="368C7847">
            <w:pPr>
              <w:keepNext w:val="0"/>
              <w:keepLines w:val="0"/>
              <w:pageBreakBefore w:val="0"/>
              <w:numPr>
                <w:ilvl w:val="0"/>
                <w:numId w:val="0"/>
              </w:numPr>
              <w:wordWrap/>
              <w:overflowPunct/>
              <w:topLinePunct w:val="0"/>
              <w:bidi w:val="0"/>
              <w:spacing w:line="214" w:lineRule="auto"/>
              <w:ind w:left="0" w:right="0"/>
              <w:jc w:val="both"/>
              <w:rPr>
                <w:rFonts w:hint="eastAsia" w:asciiTheme="minorEastAsia" w:hAnsiTheme="minorEastAsia" w:eastAsiaTheme="minorEastAsia" w:cstheme="minorEastAsia"/>
                <w:b/>
                <w:bCs/>
                <w:spacing w:val="-2"/>
                <w:sz w:val="21"/>
                <w:szCs w:val="21"/>
                <w:lang w:val="en-US" w:eastAsia="zh-CN"/>
              </w:rPr>
            </w:pPr>
            <w:r>
              <w:rPr>
                <w:rFonts w:hint="eastAsia" w:asciiTheme="minorEastAsia" w:hAnsiTheme="minorEastAsia" w:eastAsiaTheme="minorEastAsia" w:cstheme="minorEastAsia"/>
                <w:b/>
                <w:bCs/>
                <w:spacing w:val="-2"/>
                <w:sz w:val="21"/>
                <w:szCs w:val="21"/>
                <w:lang w:val="en-US" w:eastAsia="zh-CN"/>
              </w:rPr>
              <w:t>《道路旅客运输及客运站管理规定》</w:t>
            </w:r>
          </w:p>
          <w:p w14:paraId="6C2812A2">
            <w:pPr>
              <w:keepNext w:val="0"/>
              <w:keepLines w:val="0"/>
              <w:pageBreakBefore w:val="0"/>
              <w:numPr>
                <w:ilvl w:val="0"/>
                <w:numId w:val="0"/>
              </w:numPr>
              <w:wordWrap/>
              <w:overflowPunct/>
              <w:topLinePunct w:val="0"/>
              <w:bidi w:val="0"/>
              <w:spacing w:line="214" w:lineRule="auto"/>
              <w:ind w:left="0" w:right="0"/>
              <w:jc w:val="both"/>
              <w:rPr>
                <w:rFonts w:hint="eastAsia" w:asciiTheme="minorEastAsia" w:hAnsiTheme="minorEastAsia" w:eastAsiaTheme="minorEastAsia" w:cstheme="minorEastAsia"/>
                <w:snapToGrid w:val="0"/>
                <w:color w:val="000000"/>
                <w:spacing w:val="-3"/>
                <w:kern w:val="0"/>
                <w:sz w:val="21"/>
                <w:szCs w:val="21"/>
                <w:lang w:val="en-US" w:eastAsia="zh-CN" w:bidi="ar-SA"/>
              </w:rPr>
            </w:pPr>
            <w:r>
              <w:rPr>
                <w:rFonts w:hint="eastAsia" w:asciiTheme="minorEastAsia" w:hAnsiTheme="minorEastAsia" w:eastAsiaTheme="minorEastAsia" w:cstheme="minorEastAsia"/>
                <w:b/>
                <w:bCs/>
                <w:snapToGrid w:val="0"/>
                <w:color w:val="000000"/>
                <w:spacing w:val="-3"/>
                <w:kern w:val="0"/>
                <w:sz w:val="21"/>
                <w:szCs w:val="21"/>
                <w:lang w:val="en-US" w:eastAsia="zh-CN" w:bidi="ar-SA"/>
              </w:rPr>
              <w:t>第三十七条</w:t>
            </w:r>
            <w:r>
              <w:rPr>
                <w:rFonts w:hint="eastAsia" w:asciiTheme="minorEastAsia" w:hAnsiTheme="minorEastAsia" w:eastAsiaTheme="minorEastAsia" w:cstheme="minorEastAsia"/>
                <w:snapToGrid w:val="0"/>
                <w:color w:val="000000"/>
                <w:spacing w:val="-3"/>
                <w:kern w:val="0"/>
                <w:sz w:val="21"/>
                <w:szCs w:val="21"/>
                <w:lang w:val="en-US" w:eastAsia="zh-CN" w:bidi="ar-SA"/>
              </w:rPr>
              <w:t>客运班车应当按照许可的起讫地、日发班次下限和备案的途经路线运行，在起讫地客运站点和中途停靠地客运站点（以下统称配客站点）上下旅客。</w:t>
            </w:r>
          </w:p>
          <w:p w14:paraId="04F47023">
            <w:pPr>
              <w:keepNext w:val="0"/>
              <w:keepLines w:val="0"/>
              <w:pageBreakBefore w:val="0"/>
              <w:numPr>
                <w:ilvl w:val="0"/>
                <w:numId w:val="0"/>
              </w:numPr>
              <w:wordWrap/>
              <w:overflowPunct/>
              <w:topLinePunct w:val="0"/>
              <w:bidi w:val="0"/>
              <w:spacing w:line="214" w:lineRule="auto"/>
              <w:ind w:left="0" w:right="0"/>
              <w:jc w:val="both"/>
              <w:rPr>
                <w:rFonts w:hint="eastAsia" w:asciiTheme="minorEastAsia" w:hAnsiTheme="minorEastAsia" w:eastAsiaTheme="minorEastAsia" w:cstheme="minorEastAsia"/>
                <w:snapToGrid w:val="0"/>
                <w:color w:val="000000"/>
                <w:spacing w:val="-3"/>
                <w:kern w:val="0"/>
                <w:sz w:val="21"/>
                <w:szCs w:val="21"/>
                <w:lang w:val="en-US" w:eastAsia="zh-CN" w:bidi="ar-SA"/>
              </w:rPr>
            </w:pPr>
            <w:r>
              <w:rPr>
                <w:rFonts w:hint="eastAsia" w:asciiTheme="minorEastAsia" w:hAnsiTheme="minorEastAsia" w:eastAsiaTheme="minorEastAsia" w:cstheme="minorEastAsia"/>
                <w:snapToGrid w:val="0"/>
                <w:color w:val="000000"/>
                <w:spacing w:val="-3"/>
                <w:kern w:val="0"/>
                <w:sz w:val="21"/>
                <w:szCs w:val="21"/>
                <w:lang w:val="en-US" w:eastAsia="zh-CN" w:bidi="ar-SA"/>
              </w:rPr>
              <w:t>客运班车不得在规定的配客站点外上客或者沿途揽客，无正当理由不得改变途经路线。客运班车在遵守道路交通安全、城市管理相关法规的前提下，可以在起讫地、中途停靠地所在的城市市区、县城城区沿途下客。</w:t>
            </w:r>
          </w:p>
          <w:p w14:paraId="4B07A581">
            <w:pPr>
              <w:keepNext w:val="0"/>
              <w:keepLines w:val="0"/>
              <w:pageBreakBefore w:val="0"/>
              <w:numPr>
                <w:ilvl w:val="0"/>
                <w:numId w:val="0"/>
              </w:numPr>
              <w:wordWrap/>
              <w:overflowPunct/>
              <w:topLinePunct w:val="0"/>
              <w:bidi w:val="0"/>
              <w:spacing w:line="214" w:lineRule="auto"/>
              <w:ind w:left="0" w:right="0"/>
              <w:jc w:val="both"/>
              <w:rPr>
                <w:rFonts w:hint="eastAsia" w:asciiTheme="minorEastAsia" w:hAnsiTheme="minorEastAsia" w:eastAsiaTheme="minorEastAsia" w:cstheme="minorEastAsia"/>
                <w:snapToGrid w:val="0"/>
                <w:color w:val="000000"/>
                <w:spacing w:val="-3"/>
                <w:kern w:val="0"/>
                <w:sz w:val="21"/>
                <w:szCs w:val="21"/>
                <w:lang w:val="en-US" w:eastAsia="zh-CN" w:bidi="ar-SA"/>
              </w:rPr>
            </w:pPr>
            <w:r>
              <w:rPr>
                <w:rFonts w:hint="eastAsia" w:asciiTheme="minorEastAsia" w:hAnsiTheme="minorEastAsia" w:eastAsiaTheme="minorEastAsia" w:cstheme="minorEastAsia"/>
                <w:snapToGrid w:val="0"/>
                <w:color w:val="000000"/>
                <w:spacing w:val="-3"/>
                <w:kern w:val="0"/>
                <w:sz w:val="21"/>
                <w:szCs w:val="21"/>
                <w:lang w:val="en-US" w:eastAsia="zh-CN" w:bidi="ar-SA"/>
              </w:rPr>
              <w:t>重大活动期间，客运班车应当按照相关交通运输主管部门指定的配客站点上下旅客。</w:t>
            </w:r>
          </w:p>
          <w:p w14:paraId="46C6A4D3">
            <w:pPr>
              <w:keepNext w:val="0"/>
              <w:keepLines w:val="0"/>
              <w:pageBreakBefore w:val="0"/>
              <w:wordWrap/>
              <w:overflowPunct/>
              <w:topLinePunct w:val="0"/>
              <w:bidi w:val="0"/>
              <w:spacing w:line="228" w:lineRule="auto"/>
              <w:ind w:left="0" w:leftChars="0" w:right="0" w:rightChars="0" w:firstLine="29" w:firstLineChars="0"/>
              <w:jc w:val="both"/>
              <w:rPr>
                <w:rFonts w:hint="eastAsia" w:asciiTheme="minorEastAsia" w:hAnsiTheme="minorEastAsia" w:eastAsiaTheme="minorEastAsia" w:cstheme="minorEastAsia"/>
                <w:snapToGrid w:val="0"/>
                <w:color w:val="000000"/>
                <w:spacing w:val="-3"/>
                <w:kern w:val="0"/>
                <w:sz w:val="21"/>
                <w:szCs w:val="21"/>
                <w:lang w:val="en-US" w:eastAsia="zh-CN" w:bidi="ar-SA"/>
              </w:rPr>
            </w:pPr>
            <w:r>
              <w:rPr>
                <w:rFonts w:hint="eastAsia" w:asciiTheme="minorEastAsia" w:hAnsiTheme="minorEastAsia" w:eastAsiaTheme="minorEastAsia" w:cstheme="minorEastAsia"/>
                <w:b/>
                <w:bCs/>
                <w:spacing w:val="-2"/>
                <w:sz w:val="21"/>
                <w:szCs w:val="21"/>
                <w:lang w:val="en-US" w:eastAsia="en-US"/>
              </w:rPr>
              <w:t>第九十九条</w:t>
            </w:r>
            <w:r>
              <w:rPr>
                <w:rFonts w:hint="eastAsia" w:asciiTheme="minorEastAsia" w:hAnsiTheme="minorEastAsia" w:eastAsiaTheme="minorEastAsia" w:cstheme="minorEastAsia"/>
                <w:b/>
                <w:bCs/>
                <w:spacing w:val="-2"/>
                <w:sz w:val="21"/>
                <w:szCs w:val="21"/>
                <w:lang w:val="en-US" w:eastAsia="zh-CN"/>
              </w:rPr>
              <w:t>第一项、第二款</w:t>
            </w:r>
            <w:r>
              <w:rPr>
                <w:rFonts w:hint="eastAsia" w:asciiTheme="minorEastAsia" w:hAnsiTheme="minorEastAsia" w:eastAsiaTheme="minorEastAsia" w:cstheme="minorEastAsia"/>
                <w:snapToGrid w:val="0"/>
                <w:color w:val="000000"/>
                <w:spacing w:val="-3"/>
                <w:kern w:val="0"/>
                <w:sz w:val="21"/>
                <w:szCs w:val="21"/>
                <w:lang w:val="en-US" w:eastAsia="en-US" w:bidi="ar-SA"/>
              </w:rPr>
              <w:t>违反本规定，客运经营者有下列情形之一的，由交通运输主管部门责令改正，处1000元以上2000元以下的罚款：(一)客运班车不按照批准的配客站点停靠或者不按照规定的线路、日发班次下限行驶的</w:t>
            </w:r>
            <w:r>
              <w:rPr>
                <w:rFonts w:hint="eastAsia" w:asciiTheme="minorEastAsia" w:hAnsiTheme="minorEastAsia" w:eastAsiaTheme="minorEastAsia" w:cstheme="minorEastAsia"/>
                <w:snapToGrid w:val="0"/>
                <w:color w:val="000000"/>
                <w:spacing w:val="-3"/>
                <w:kern w:val="0"/>
                <w:sz w:val="21"/>
                <w:szCs w:val="21"/>
                <w:lang w:val="en-US" w:eastAsia="zh-CN" w:bidi="ar-SA"/>
              </w:rPr>
              <w:t>；</w:t>
            </w:r>
          </w:p>
          <w:p w14:paraId="5DF6466D">
            <w:pPr>
              <w:keepNext w:val="0"/>
              <w:keepLines w:val="0"/>
              <w:pageBreakBefore w:val="0"/>
              <w:wordWrap/>
              <w:overflowPunct/>
              <w:topLinePunct w:val="0"/>
              <w:bidi w:val="0"/>
              <w:spacing w:line="228" w:lineRule="auto"/>
              <w:ind w:left="0" w:leftChars="0" w:right="0" w:rightChars="0" w:firstLine="29" w:firstLineChars="0"/>
              <w:jc w:val="both"/>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snapToGrid w:val="0"/>
                <w:color w:val="000000"/>
                <w:spacing w:val="-3"/>
                <w:kern w:val="0"/>
                <w:sz w:val="21"/>
                <w:szCs w:val="21"/>
                <w:lang w:val="en-US" w:eastAsia="en-US" w:bidi="ar-SA"/>
              </w:rPr>
              <w:t>违反前款第（一）至（五）项规定，情节严重的，由原许可机关吊销相应许可</w:t>
            </w:r>
            <w:r>
              <w:rPr>
                <w:rFonts w:hint="eastAsia" w:asciiTheme="minorEastAsia" w:hAnsiTheme="minorEastAsia" w:eastAsiaTheme="minorEastAsia" w:cstheme="minorEastAsia"/>
                <w:snapToGrid w:val="0"/>
                <w:color w:val="000000"/>
                <w:spacing w:val="-3"/>
                <w:kern w:val="0"/>
                <w:sz w:val="21"/>
                <w:szCs w:val="21"/>
                <w:lang w:val="en-US" w:eastAsia="zh-CN" w:bidi="ar-SA"/>
              </w:rPr>
              <w:t>。</w:t>
            </w:r>
          </w:p>
        </w:tc>
        <w:tc>
          <w:tcPr>
            <w:tcW w:w="229" w:type="pct"/>
            <w:vAlign w:val="center"/>
          </w:tcPr>
          <w:p w14:paraId="48BE20C5">
            <w:pPr>
              <w:keepNext w:val="0"/>
              <w:keepLines w:val="0"/>
              <w:pageBreakBefore w:val="0"/>
              <w:wordWrap/>
              <w:overflowPunct/>
              <w:topLinePunct w:val="0"/>
              <w:bidi w:val="0"/>
              <w:spacing w:line="214" w:lineRule="auto"/>
              <w:ind w:left="0" w:right="0"/>
              <w:jc w:val="center"/>
              <w:rPr>
                <w:rFonts w:hint="eastAsia" w:asciiTheme="minorEastAsia" w:hAnsiTheme="minorEastAsia" w:eastAsiaTheme="minorEastAsia" w:cstheme="minorEastAsia"/>
                <w:spacing w:val="-10"/>
                <w:sz w:val="21"/>
                <w:szCs w:val="21"/>
              </w:rPr>
            </w:pPr>
            <w:r>
              <w:rPr>
                <w:rFonts w:hint="eastAsia" w:asciiTheme="minorEastAsia" w:hAnsiTheme="minorEastAsia" w:eastAsiaTheme="minorEastAsia" w:cstheme="minorEastAsia"/>
                <w:spacing w:val="-15"/>
                <w:sz w:val="21"/>
                <w:szCs w:val="21"/>
              </w:rPr>
              <w:t>★★</w:t>
            </w:r>
          </w:p>
        </w:tc>
        <w:tc>
          <w:tcPr>
            <w:tcW w:w="748" w:type="pct"/>
            <w:vAlign w:val="center"/>
          </w:tcPr>
          <w:p w14:paraId="7947FAB8">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napToGrid w:val="0"/>
                <w:color w:val="000000"/>
                <w:spacing w:val="-5"/>
                <w:kern w:val="0"/>
                <w:sz w:val="21"/>
                <w:szCs w:val="21"/>
                <w:lang w:val="en-US" w:eastAsia="zh-CN" w:bidi="ar-SA"/>
              </w:rPr>
            </w:pPr>
            <w:r>
              <w:rPr>
                <w:rFonts w:hint="eastAsia" w:asciiTheme="minorEastAsia" w:hAnsiTheme="minorEastAsia" w:eastAsiaTheme="minorEastAsia" w:cstheme="minorEastAsia"/>
                <w:spacing w:val="5"/>
                <w:sz w:val="21"/>
                <w:szCs w:val="21"/>
              </w:rPr>
              <w:t>取得客运经营许可</w:t>
            </w:r>
            <w:r>
              <w:rPr>
                <w:rFonts w:hint="eastAsia" w:asciiTheme="minorEastAsia" w:hAnsiTheme="minorEastAsia" w:eastAsiaTheme="minorEastAsia" w:cstheme="minorEastAsia"/>
                <w:spacing w:val="3"/>
                <w:sz w:val="21"/>
                <w:szCs w:val="21"/>
              </w:rPr>
              <w:t>的客运经营者</w:t>
            </w:r>
            <w:r>
              <w:rPr>
                <w:rFonts w:hint="eastAsia" w:asciiTheme="minorEastAsia" w:hAnsiTheme="minorEastAsia" w:eastAsiaTheme="minorEastAsia" w:cstheme="minorEastAsia"/>
                <w:snapToGrid w:val="0"/>
                <w:color w:val="000000"/>
                <w:spacing w:val="-5"/>
                <w:kern w:val="0"/>
                <w:sz w:val="21"/>
                <w:szCs w:val="21"/>
                <w:lang w:val="en-US" w:eastAsia="zh-CN" w:bidi="ar-SA"/>
              </w:rPr>
              <w:t>应当有明确的线路和站点方案，应当按照许可的起讫地、日发班次下限和备案的途经路线运行，在起讫地客运站点和中途停靠地客运站点上下旅客。</w:t>
            </w:r>
          </w:p>
          <w:p w14:paraId="68E01CA4">
            <w:pPr>
              <w:keepNext w:val="0"/>
              <w:keepLines w:val="0"/>
              <w:pageBreakBefore w:val="0"/>
              <w:wordWrap/>
              <w:overflowPunct/>
              <w:topLinePunct w:val="0"/>
              <w:bidi w:val="0"/>
              <w:spacing w:line="216" w:lineRule="auto"/>
              <w:ind w:left="0" w:leftChars="0" w:right="0"/>
              <w:jc w:val="both"/>
              <w:rPr>
                <w:rFonts w:hint="eastAsia" w:asciiTheme="minorEastAsia" w:hAnsiTheme="minorEastAsia" w:eastAsiaTheme="minorEastAsia" w:cstheme="minorEastAsia"/>
                <w:spacing w:val="-3"/>
                <w:sz w:val="21"/>
                <w:szCs w:val="21"/>
                <w:lang w:val="en-US" w:eastAsia="en-US"/>
              </w:rPr>
            </w:pPr>
          </w:p>
        </w:tc>
        <w:tc>
          <w:tcPr>
            <w:tcW w:w="435" w:type="pct"/>
            <w:vAlign w:val="center"/>
          </w:tcPr>
          <w:p w14:paraId="652E70B6">
            <w:pPr>
              <w:keepNext w:val="0"/>
              <w:keepLines w:val="0"/>
              <w:pageBreakBefore w:val="0"/>
              <w:wordWrap/>
              <w:overflowPunct/>
              <w:topLinePunct w:val="0"/>
              <w:bidi w:val="0"/>
              <w:spacing w:line="222" w:lineRule="auto"/>
              <w:ind w:left="0" w:right="0" w:rightChars="0"/>
              <w:jc w:val="center"/>
              <w:rPr>
                <w:rFonts w:hint="eastAsia" w:asciiTheme="minorEastAsia" w:hAnsiTheme="minorEastAsia" w:eastAsiaTheme="minorEastAsia" w:cstheme="minorEastAsia"/>
                <w:spacing w:val="-18"/>
                <w:sz w:val="21"/>
                <w:szCs w:val="21"/>
                <w:lang w:eastAsia="zh-CN"/>
              </w:rPr>
            </w:pPr>
            <w:r>
              <w:rPr>
                <w:rFonts w:hint="eastAsia" w:asciiTheme="minorEastAsia" w:hAnsiTheme="minorEastAsia" w:eastAsiaTheme="minorEastAsia" w:cstheme="minorEastAsia"/>
                <w:spacing w:val="-18"/>
                <w:sz w:val="21"/>
                <w:szCs w:val="21"/>
                <w:lang w:eastAsia="zh-CN"/>
              </w:rPr>
              <w:t>荣成市交通运输综合执法大队</w:t>
            </w:r>
            <w:r>
              <w:rPr>
                <w:rFonts w:hint="eastAsia" w:asciiTheme="minorEastAsia" w:hAnsiTheme="minorEastAsia" w:eastAsiaTheme="minorEastAsia" w:cstheme="minorEastAsia"/>
                <w:spacing w:val="-18"/>
                <w:sz w:val="21"/>
                <w:szCs w:val="21"/>
                <w:lang w:val="en-US" w:eastAsia="zh-CN"/>
              </w:rPr>
              <w:t>0631-7584776</w:t>
            </w:r>
          </w:p>
        </w:tc>
      </w:tr>
      <w:tr w14:paraId="69EDB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67" w:hRule="atLeast"/>
        </w:trPr>
        <w:tc>
          <w:tcPr>
            <w:tcW w:w="168" w:type="pct"/>
            <w:vAlign w:val="center"/>
          </w:tcPr>
          <w:p w14:paraId="0992DCFA">
            <w:pPr>
              <w:keepNext w:val="0"/>
              <w:keepLines w:val="0"/>
              <w:pageBreakBefore w:val="0"/>
              <w:wordWrap/>
              <w:overflowPunct/>
              <w:topLinePunct w:val="0"/>
              <w:bidi w:val="0"/>
              <w:spacing w:line="369" w:lineRule="exact"/>
              <w:ind w:left="0" w:right="0"/>
              <w:jc w:val="center"/>
              <w:rPr>
                <w:rFonts w:hint="eastAsia" w:asciiTheme="minorEastAsia" w:hAnsiTheme="minorEastAsia" w:eastAsiaTheme="minorEastAsia" w:cstheme="minorEastAsia"/>
                <w:position w:val="1"/>
                <w:sz w:val="21"/>
                <w:szCs w:val="21"/>
                <w:lang w:val="en-US" w:eastAsia="zh-CN"/>
              </w:rPr>
            </w:pPr>
            <w:r>
              <w:rPr>
                <w:rFonts w:hint="eastAsia" w:asciiTheme="minorEastAsia" w:hAnsiTheme="minorEastAsia" w:eastAsiaTheme="minorEastAsia" w:cstheme="minorEastAsia"/>
                <w:position w:val="1"/>
                <w:sz w:val="21"/>
                <w:szCs w:val="21"/>
                <w:lang w:val="en-US" w:eastAsia="zh-CN"/>
              </w:rPr>
              <w:t>11</w:t>
            </w:r>
          </w:p>
        </w:tc>
        <w:tc>
          <w:tcPr>
            <w:tcW w:w="432" w:type="pct"/>
            <w:vAlign w:val="center"/>
          </w:tcPr>
          <w:p w14:paraId="48E3CEA6">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pacing w:val="-5"/>
                <w:sz w:val="21"/>
                <w:szCs w:val="21"/>
                <w:lang w:val="en-US" w:eastAsia="zh-CN"/>
              </w:rPr>
              <w:t>从事网络预约出租汽车经营活动等行为应当遵守相关规定，开展运营活动</w:t>
            </w:r>
          </w:p>
        </w:tc>
        <w:tc>
          <w:tcPr>
            <w:tcW w:w="414" w:type="pct"/>
            <w:vAlign w:val="center"/>
          </w:tcPr>
          <w:p w14:paraId="0A94175A">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pacing w:val="-5"/>
                <w:sz w:val="21"/>
                <w:szCs w:val="21"/>
                <w:lang w:val="en-US" w:eastAsia="zh-CN"/>
              </w:rPr>
              <w:t>网约车平台公司不按规定开展网络预约出租汽车经营活动等行为</w:t>
            </w:r>
          </w:p>
        </w:tc>
        <w:tc>
          <w:tcPr>
            <w:tcW w:w="2570" w:type="pct"/>
            <w:vAlign w:val="center"/>
          </w:tcPr>
          <w:p w14:paraId="3981B44E">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pacing w:val="5"/>
                <w:sz w:val="21"/>
                <w:szCs w:val="21"/>
              </w:rPr>
              <w:t>《网络预约出租汽车经营服务管理暂行办法》</w:t>
            </w:r>
          </w:p>
          <w:p w14:paraId="27722BBD">
            <w:pPr>
              <w:keepNext w:val="0"/>
              <w:keepLines w:val="0"/>
              <w:pageBreakBefore w:val="0"/>
              <w:wordWrap/>
              <w:overflowPunct/>
              <w:topLinePunct w:val="0"/>
              <w:bidi w:val="0"/>
              <w:spacing w:line="232" w:lineRule="auto"/>
              <w:ind w:left="0" w:right="0" w:firstLine="26"/>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pacing w:val="3"/>
                <w:sz w:val="21"/>
                <w:szCs w:val="21"/>
              </w:rPr>
              <w:t>第三十五条</w:t>
            </w:r>
            <w:r>
              <w:rPr>
                <w:rFonts w:hint="eastAsia" w:asciiTheme="minorEastAsia" w:hAnsiTheme="minorEastAsia" w:eastAsiaTheme="minorEastAsia" w:cstheme="minorEastAsia"/>
                <w:spacing w:val="3"/>
                <w:sz w:val="21"/>
                <w:szCs w:val="21"/>
              </w:rPr>
              <w:t>网约车平台公司违反本规定，有下列行为</w:t>
            </w:r>
            <w:r>
              <w:rPr>
                <w:rFonts w:hint="eastAsia" w:asciiTheme="minorEastAsia" w:hAnsiTheme="minorEastAsia" w:eastAsiaTheme="minorEastAsia" w:cstheme="minorEastAsia"/>
                <w:spacing w:val="8"/>
                <w:sz w:val="21"/>
                <w:szCs w:val="21"/>
              </w:rPr>
              <w:t>之一的，由县级以上出租汽车行政主管部门和价</w:t>
            </w:r>
            <w:r>
              <w:rPr>
                <w:rFonts w:hint="eastAsia" w:asciiTheme="minorEastAsia" w:hAnsiTheme="minorEastAsia" w:eastAsiaTheme="minorEastAsia" w:cstheme="minorEastAsia"/>
                <w:spacing w:val="7"/>
                <w:sz w:val="21"/>
                <w:szCs w:val="21"/>
              </w:rPr>
              <w:t>格主管部门按照职责责令改正，对每次违法行为处以5000元以</w:t>
            </w:r>
            <w:r>
              <w:rPr>
                <w:rFonts w:hint="eastAsia" w:asciiTheme="minorEastAsia" w:hAnsiTheme="minorEastAsia" w:eastAsiaTheme="minorEastAsia" w:cstheme="minorEastAsia"/>
                <w:spacing w:val="12"/>
                <w:sz w:val="21"/>
                <w:szCs w:val="21"/>
              </w:rPr>
              <w:t>上10000元以下罚款；情节严重的，处以10000元以上</w:t>
            </w:r>
            <w:r>
              <w:rPr>
                <w:rFonts w:hint="eastAsia" w:asciiTheme="minorEastAsia" w:hAnsiTheme="minorEastAsia" w:eastAsiaTheme="minorEastAsia" w:cstheme="minorEastAsia"/>
                <w:spacing w:val="5"/>
                <w:sz w:val="21"/>
                <w:szCs w:val="21"/>
              </w:rPr>
              <w:t>30000元以下罚款</w:t>
            </w:r>
            <w:r>
              <w:rPr>
                <w:rFonts w:hint="eastAsia" w:asciiTheme="minorEastAsia" w:hAnsiTheme="minorEastAsia" w:eastAsiaTheme="minorEastAsia" w:cstheme="minorEastAsia"/>
                <w:spacing w:val="-39"/>
                <w:sz w:val="21"/>
                <w:szCs w:val="21"/>
              </w:rPr>
              <w:t>：（</w:t>
            </w:r>
            <w:r>
              <w:rPr>
                <w:rFonts w:hint="eastAsia" w:asciiTheme="minorEastAsia" w:hAnsiTheme="minorEastAsia" w:eastAsiaTheme="minorEastAsia" w:cstheme="minorEastAsia"/>
                <w:spacing w:val="5"/>
                <w:sz w:val="21"/>
                <w:szCs w:val="21"/>
              </w:rPr>
              <w:t>一）提供服务车辆未取得《网络预</w:t>
            </w:r>
            <w:r>
              <w:rPr>
                <w:rFonts w:hint="eastAsia" w:asciiTheme="minorEastAsia" w:hAnsiTheme="minorEastAsia" w:eastAsiaTheme="minorEastAsia" w:cstheme="minorEastAsia"/>
                <w:spacing w:val="8"/>
                <w:sz w:val="21"/>
                <w:szCs w:val="21"/>
              </w:rPr>
              <w:t>约出租汽车运输证》，或者线上提供服务车辆与</w:t>
            </w:r>
            <w:r>
              <w:rPr>
                <w:rFonts w:hint="eastAsia" w:asciiTheme="minorEastAsia" w:hAnsiTheme="minorEastAsia" w:eastAsiaTheme="minorEastAsia" w:cstheme="minorEastAsia"/>
                <w:spacing w:val="7"/>
                <w:sz w:val="21"/>
                <w:szCs w:val="21"/>
              </w:rPr>
              <w:t>线下实</w:t>
            </w:r>
            <w:r>
              <w:rPr>
                <w:rFonts w:hint="eastAsia" w:asciiTheme="minorEastAsia" w:hAnsiTheme="minorEastAsia" w:eastAsiaTheme="minorEastAsia" w:cstheme="minorEastAsia"/>
                <w:spacing w:val="10"/>
                <w:sz w:val="21"/>
                <w:szCs w:val="21"/>
              </w:rPr>
              <w:t>际提供服务车辆不一致的</w:t>
            </w:r>
            <w:r>
              <w:rPr>
                <w:rFonts w:hint="eastAsia" w:asciiTheme="minorEastAsia" w:hAnsiTheme="minorEastAsia" w:eastAsiaTheme="minorEastAsia" w:cstheme="minorEastAsia"/>
                <w:spacing w:val="-15"/>
                <w:sz w:val="21"/>
                <w:szCs w:val="21"/>
              </w:rPr>
              <w:t>；（</w:t>
            </w:r>
            <w:r>
              <w:rPr>
                <w:rFonts w:hint="eastAsia" w:asciiTheme="minorEastAsia" w:hAnsiTheme="minorEastAsia" w:eastAsiaTheme="minorEastAsia" w:cstheme="minorEastAsia"/>
                <w:spacing w:val="10"/>
                <w:sz w:val="21"/>
                <w:szCs w:val="21"/>
              </w:rPr>
              <w:t>二）提供服务驾驶</w:t>
            </w:r>
            <w:r>
              <w:rPr>
                <w:rFonts w:hint="eastAsia" w:asciiTheme="minorEastAsia" w:hAnsiTheme="minorEastAsia" w:eastAsiaTheme="minorEastAsia" w:cstheme="minorEastAsia"/>
                <w:spacing w:val="9"/>
                <w:sz w:val="21"/>
                <w:szCs w:val="21"/>
              </w:rPr>
              <w:t>员未取</w:t>
            </w:r>
            <w:r>
              <w:rPr>
                <w:rFonts w:hint="eastAsia" w:asciiTheme="minorEastAsia" w:hAnsiTheme="minorEastAsia" w:eastAsiaTheme="minorEastAsia" w:cstheme="minorEastAsia"/>
                <w:spacing w:val="8"/>
                <w:sz w:val="21"/>
                <w:szCs w:val="21"/>
              </w:rPr>
              <w:t>得《网络预约出租汽车驾驶员证》，或者线上提</w:t>
            </w:r>
            <w:r>
              <w:rPr>
                <w:rFonts w:hint="eastAsia" w:asciiTheme="minorEastAsia" w:hAnsiTheme="minorEastAsia" w:eastAsiaTheme="minorEastAsia" w:cstheme="minorEastAsia"/>
                <w:spacing w:val="7"/>
                <w:sz w:val="21"/>
                <w:szCs w:val="21"/>
              </w:rPr>
              <w:t>供服务</w:t>
            </w:r>
            <w:r>
              <w:rPr>
                <w:rFonts w:hint="eastAsia" w:asciiTheme="minorEastAsia" w:hAnsiTheme="minorEastAsia" w:eastAsiaTheme="minorEastAsia" w:cstheme="minorEastAsia"/>
                <w:spacing w:val="8"/>
                <w:sz w:val="21"/>
                <w:szCs w:val="21"/>
              </w:rPr>
              <w:t>驾驶员与线下实际提供服务驾驶员不一致的</w:t>
            </w:r>
            <w:r>
              <w:rPr>
                <w:rFonts w:hint="eastAsia" w:asciiTheme="minorEastAsia" w:hAnsiTheme="minorEastAsia" w:eastAsiaTheme="minorEastAsia" w:cstheme="minorEastAsia"/>
                <w:spacing w:val="6"/>
                <w:sz w:val="21"/>
                <w:szCs w:val="21"/>
              </w:rPr>
              <w:t>；（</w:t>
            </w:r>
            <w:r>
              <w:rPr>
                <w:rFonts w:hint="eastAsia" w:asciiTheme="minorEastAsia" w:hAnsiTheme="minorEastAsia" w:eastAsiaTheme="minorEastAsia" w:cstheme="minorEastAsia"/>
                <w:spacing w:val="8"/>
                <w:sz w:val="21"/>
                <w:szCs w:val="21"/>
              </w:rPr>
              <w:t>三）未</w:t>
            </w:r>
            <w:r>
              <w:rPr>
                <w:rFonts w:hint="eastAsia" w:asciiTheme="minorEastAsia" w:hAnsiTheme="minorEastAsia" w:eastAsiaTheme="minorEastAsia" w:cstheme="minorEastAsia"/>
                <w:spacing w:val="13"/>
                <w:sz w:val="21"/>
                <w:szCs w:val="21"/>
              </w:rPr>
              <w:t>按照规定保证车辆技术状况良好的</w:t>
            </w:r>
            <w:r>
              <w:rPr>
                <w:rFonts w:hint="eastAsia" w:asciiTheme="minorEastAsia" w:hAnsiTheme="minorEastAsia" w:eastAsiaTheme="minorEastAsia" w:cstheme="minorEastAsia"/>
                <w:spacing w:val="-49"/>
                <w:sz w:val="21"/>
                <w:szCs w:val="21"/>
              </w:rPr>
              <w:t>；（</w:t>
            </w:r>
            <w:r>
              <w:rPr>
                <w:rFonts w:hint="eastAsia" w:asciiTheme="minorEastAsia" w:hAnsiTheme="minorEastAsia" w:eastAsiaTheme="minorEastAsia" w:cstheme="minorEastAsia"/>
                <w:spacing w:val="13"/>
                <w:sz w:val="21"/>
                <w:szCs w:val="21"/>
              </w:rPr>
              <w:t>四）起讫点均不</w:t>
            </w:r>
            <w:r>
              <w:rPr>
                <w:rFonts w:hint="eastAsia" w:asciiTheme="minorEastAsia" w:hAnsiTheme="minorEastAsia" w:eastAsiaTheme="minorEastAsia" w:cstheme="minorEastAsia"/>
                <w:spacing w:val="8"/>
                <w:sz w:val="21"/>
                <w:szCs w:val="21"/>
              </w:rPr>
              <w:t>在许可的经营区域从事网约车经营活动的</w:t>
            </w:r>
            <w:r>
              <w:rPr>
                <w:rFonts w:hint="eastAsia" w:asciiTheme="minorEastAsia" w:hAnsiTheme="minorEastAsia" w:eastAsiaTheme="minorEastAsia" w:cstheme="minorEastAsia"/>
                <w:spacing w:val="5"/>
                <w:sz w:val="21"/>
                <w:szCs w:val="21"/>
              </w:rPr>
              <w:t>；（</w:t>
            </w:r>
            <w:r>
              <w:rPr>
                <w:rFonts w:hint="eastAsia" w:asciiTheme="minorEastAsia" w:hAnsiTheme="minorEastAsia" w:eastAsiaTheme="minorEastAsia" w:cstheme="minorEastAsia"/>
                <w:spacing w:val="8"/>
                <w:sz w:val="21"/>
                <w:szCs w:val="21"/>
              </w:rPr>
              <w:t>五）未按照规定将提供服务的车辆、驾驶员相关信息向服</w:t>
            </w:r>
            <w:r>
              <w:rPr>
                <w:rFonts w:hint="eastAsia" w:asciiTheme="minorEastAsia" w:hAnsiTheme="minorEastAsia" w:eastAsiaTheme="minorEastAsia" w:cstheme="minorEastAsia"/>
                <w:spacing w:val="7"/>
                <w:sz w:val="21"/>
                <w:szCs w:val="21"/>
              </w:rPr>
              <w:t>务所在</w:t>
            </w:r>
            <w:r>
              <w:rPr>
                <w:rFonts w:hint="eastAsia" w:asciiTheme="minorEastAsia" w:hAnsiTheme="minorEastAsia" w:eastAsiaTheme="minorEastAsia" w:cstheme="minorEastAsia"/>
                <w:spacing w:val="13"/>
                <w:sz w:val="21"/>
                <w:szCs w:val="21"/>
              </w:rPr>
              <w:t>地出租汽车行政主管部门报备的</w:t>
            </w:r>
            <w:r>
              <w:rPr>
                <w:rFonts w:hint="eastAsia" w:asciiTheme="minorEastAsia" w:hAnsiTheme="minorEastAsia" w:eastAsiaTheme="minorEastAsia" w:cstheme="minorEastAsia"/>
                <w:spacing w:val="-49"/>
                <w:sz w:val="21"/>
                <w:szCs w:val="21"/>
              </w:rPr>
              <w:t>；（</w:t>
            </w:r>
            <w:r>
              <w:rPr>
                <w:rFonts w:hint="eastAsia" w:asciiTheme="minorEastAsia" w:hAnsiTheme="minorEastAsia" w:eastAsiaTheme="minorEastAsia" w:cstheme="minorEastAsia"/>
                <w:spacing w:val="13"/>
                <w:sz w:val="21"/>
                <w:szCs w:val="21"/>
              </w:rPr>
              <w:t>六）未按照规定制</w:t>
            </w:r>
            <w:r>
              <w:rPr>
                <w:rFonts w:hint="eastAsia" w:asciiTheme="minorEastAsia" w:hAnsiTheme="minorEastAsia" w:eastAsiaTheme="minorEastAsia" w:cstheme="minorEastAsia"/>
                <w:spacing w:val="12"/>
                <w:sz w:val="21"/>
                <w:szCs w:val="21"/>
              </w:rPr>
              <w:t>定服务质量标准、建立并落实投诉举报制度的</w:t>
            </w:r>
            <w:r>
              <w:rPr>
                <w:rFonts w:hint="eastAsia" w:asciiTheme="minorEastAsia" w:hAnsiTheme="minorEastAsia" w:eastAsiaTheme="minorEastAsia" w:cstheme="minorEastAsia"/>
                <w:spacing w:val="-36"/>
                <w:sz w:val="21"/>
                <w:szCs w:val="21"/>
              </w:rPr>
              <w:t>；（</w:t>
            </w:r>
            <w:r>
              <w:rPr>
                <w:rFonts w:hint="eastAsia" w:asciiTheme="minorEastAsia" w:hAnsiTheme="minorEastAsia" w:eastAsiaTheme="minorEastAsia" w:cstheme="minorEastAsia"/>
                <w:spacing w:val="12"/>
                <w:sz w:val="21"/>
                <w:szCs w:val="21"/>
              </w:rPr>
              <w:t>七）</w:t>
            </w:r>
            <w:r>
              <w:rPr>
                <w:rFonts w:hint="eastAsia" w:asciiTheme="minorEastAsia" w:hAnsiTheme="minorEastAsia" w:eastAsiaTheme="minorEastAsia" w:cstheme="minorEastAsia"/>
                <w:spacing w:val="8"/>
                <w:sz w:val="21"/>
                <w:szCs w:val="21"/>
              </w:rPr>
              <w:t>未按照规定提供共享信息，或者不配合出租</w:t>
            </w:r>
            <w:r>
              <w:rPr>
                <w:rFonts w:hint="eastAsia" w:asciiTheme="minorEastAsia" w:hAnsiTheme="minorEastAsia" w:eastAsiaTheme="minorEastAsia" w:cstheme="minorEastAsia"/>
                <w:spacing w:val="7"/>
                <w:sz w:val="21"/>
                <w:szCs w:val="21"/>
              </w:rPr>
              <w:t>汽车行政主</w:t>
            </w:r>
            <w:r>
              <w:rPr>
                <w:rFonts w:hint="eastAsia" w:asciiTheme="minorEastAsia" w:hAnsiTheme="minorEastAsia" w:eastAsiaTheme="minorEastAsia" w:cstheme="minorEastAsia"/>
                <w:spacing w:val="12"/>
                <w:sz w:val="21"/>
                <w:szCs w:val="21"/>
              </w:rPr>
              <w:t>管部门调取查阅相关数据信息的</w:t>
            </w:r>
            <w:r>
              <w:rPr>
                <w:rFonts w:hint="eastAsia" w:asciiTheme="minorEastAsia" w:hAnsiTheme="minorEastAsia" w:eastAsiaTheme="minorEastAsia" w:cstheme="minorEastAsia"/>
                <w:spacing w:val="-39"/>
                <w:sz w:val="21"/>
                <w:szCs w:val="21"/>
              </w:rPr>
              <w:t>；（</w:t>
            </w:r>
            <w:r>
              <w:rPr>
                <w:rFonts w:hint="eastAsia" w:asciiTheme="minorEastAsia" w:hAnsiTheme="minorEastAsia" w:eastAsiaTheme="minorEastAsia" w:cstheme="minorEastAsia"/>
                <w:spacing w:val="12"/>
                <w:sz w:val="21"/>
                <w:szCs w:val="21"/>
              </w:rPr>
              <w:t>八）未履行管理责</w:t>
            </w:r>
            <w:r>
              <w:rPr>
                <w:rFonts w:hint="eastAsia" w:asciiTheme="minorEastAsia" w:hAnsiTheme="minorEastAsia" w:eastAsiaTheme="minorEastAsia" w:cstheme="minorEastAsia"/>
                <w:spacing w:val="7"/>
                <w:sz w:val="21"/>
                <w:szCs w:val="21"/>
              </w:rPr>
              <w:t>任，出现甩客、故意绕道、违规收费等严重违反国家相</w:t>
            </w:r>
            <w:r>
              <w:rPr>
                <w:rFonts w:hint="eastAsia" w:asciiTheme="minorEastAsia" w:hAnsiTheme="minorEastAsia" w:eastAsiaTheme="minorEastAsia" w:cstheme="minorEastAsia"/>
                <w:spacing w:val="10"/>
                <w:sz w:val="21"/>
                <w:szCs w:val="21"/>
              </w:rPr>
              <w:t>关运营服务标准行为的。</w:t>
            </w:r>
          </w:p>
          <w:p w14:paraId="0E588FBD">
            <w:pPr>
              <w:keepNext w:val="0"/>
              <w:keepLines w:val="0"/>
              <w:pageBreakBefore w:val="0"/>
              <w:wordWrap/>
              <w:overflowPunct/>
              <w:topLinePunct w:val="0"/>
              <w:bidi w:val="0"/>
              <w:spacing w:line="226" w:lineRule="auto"/>
              <w:ind w:left="0" w:leftChars="0" w:right="0" w:rightChars="0" w:firstLine="59" w:firstLineChars="0"/>
              <w:jc w:val="both"/>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spacing w:val="18"/>
                <w:sz w:val="21"/>
                <w:szCs w:val="21"/>
              </w:rPr>
              <w:t>网约车平台公司不再具备线上线下服务能力或者有严</w:t>
            </w:r>
            <w:r>
              <w:rPr>
                <w:rFonts w:hint="eastAsia" w:asciiTheme="minorEastAsia" w:hAnsiTheme="minorEastAsia" w:eastAsiaTheme="minorEastAsia" w:cstheme="minorEastAsia"/>
                <w:spacing w:val="5"/>
                <w:sz w:val="21"/>
                <w:szCs w:val="21"/>
              </w:rPr>
              <w:t>重违法行为的，由县级以上出租汽车行政主管部门依据相关法律法规的有关规定责令停业整顿、吊销相关许可</w:t>
            </w:r>
            <w:r>
              <w:rPr>
                <w:rFonts w:hint="eastAsia" w:asciiTheme="minorEastAsia" w:hAnsiTheme="minorEastAsia" w:eastAsiaTheme="minorEastAsia" w:cstheme="minorEastAsia"/>
                <w:spacing w:val="6"/>
                <w:sz w:val="21"/>
                <w:szCs w:val="21"/>
              </w:rPr>
              <w:t>证件。</w:t>
            </w:r>
          </w:p>
        </w:tc>
        <w:tc>
          <w:tcPr>
            <w:tcW w:w="229" w:type="pct"/>
            <w:vAlign w:val="center"/>
          </w:tcPr>
          <w:p w14:paraId="0DB86824">
            <w:pPr>
              <w:keepNext w:val="0"/>
              <w:keepLines w:val="0"/>
              <w:pageBreakBefore w:val="0"/>
              <w:wordWrap/>
              <w:overflowPunct/>
              <w:topLinePunct w:val="0"/>
              <w:bidi w:val="0"/>
              <w:spacing w:line="237" w:lineRule="auto"/>
              <w:ind w:left="0" w:right="0"/>
              <w:jc w:val="center"/>
              <w:rPr>
                <w:rFonts w:hint="eastAsia" w:asciiTheme="minorEastAsia" w:hAnsiTheme="minorEastAsia" w:eastAsiaTheme="minorEastAsia" w:cstheme="minorEastAsia"/>
                <w:spacing w:val="-10"/>
                <w:sz w:val="21"/>
                <w:szCs w:val="21"/>
              </w:rPr>
            </w:pPr>
            <w:r>
              <w:rPr>
                <w:rFonts w:hint="eastAsia" w:asciiTheme="minorEastAsia" w:hAnsiTheme="minorEastAsia" w:eastAsiaTheme="minorEastAsia" w:cstheme="minorEastAsia"/>
                <w:spacing w:val="-11"/>
                <w:sz w:val="21"/>
                <w:szCs w:val="21"/>
              </w:rPr>
              <w:t>★★★</w:t>
            </w:r>
          </w:p>
        </w:tc>
        <w:tc>
          <w:tcPr>
            <w:tcW w:w="748" w:type="pct"/>
            <w:vAlign w:val="center"/>
          </w:tcPr>
          <w:p w14:paraId="010D4934">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3"/>
                <w:sz w:val="21"/>
                <w:szCs w:val="21"/>
                <w:lang w:val="en-US" w:eastAsia="en-US"/>
              </w:rPr>
            </w:pPr>
            <w:r>
              <w:rPr>
                <w:rFonts w:hint="eastAsia" w:asciiTheme="minorEastAsia" w:hAnsiTheme="minorEastAsia" w:eastAsiaTheme="minorEastAsia" w:cstheme="minorEastAsia"/>
                <w:spacing w:val="-5"/>
                <w:sz w:val="21"/>
                <w:szCs w:val="21"/>
                <w:lang w:val="en-US" w:eastAsia="zh-CN"/>
              </w:rPr>
              <w:t>网约车平台公司应当遵守相关规定，开展经营活动。</w:t>
            </w:r>
          </w:p>
        </w:tc>
        <w:tc>
          <w:tcPr>
            <w:tcW w:w="435" w:type="pct"/>
            <w:vAlign w:val="center"/>
          </w:tcPr>
          <w:p w14:paraId="75A331B6">
            <w:pPr>
              <w:keepNext w:val="0"/>
              <w:keepLines w:val="0"/>
              <w:pageBreakBefore w:val="0"/>
              <w:wordWrap/>
              <w:overflowPunct/>
              <w:topLinePunct w:val="0"/>
              <w:bidi w:val="0"/>
              <w:spacing w:line="216" w:lineRule="auto"/>
              <w:ind w:left="0" w:right="0"/>
              <w:jc w:val="center"/>
              <w:rPr>
                <w:rFonts w:hint="eastAsia" w:asciiTheme="minorEastAsia" w:hAnsiTheme="minorEastAsia" w:eastAsiaTheme="minorEastAsia" w:cstheme="minorEastAsia"/>
                <w:spacing w:val="-18"/>
                <w:sz w:val="21"/>
                <w:szCs w:val="21"/>
                <w:lang w:eastAsia="zh-CN"/>
              </w:rPr>
            </w:pPr>
            <w:r>
              <w:rPr>
                <w:rFonts w:hint="eastAsia" w:asciiTheme="minorEastAsia" w:hAnsiTheme="minorEastAsia" w:eastAsiaTheme="minorEastAsia" w:cstheme="minorEastAsia"/>
                <w:spacing w:val="-18"/>
                <w:sz w:val="21"/>
                <w:szCs w:val="21"/>
                <w:lang w:eastAsia="zh-CN"/>
              </w:rPr>
              <w:t>荣成市交通运输综合执法大队</w:t>
            </w:r>
            <w:r>
              <w:rPr>
                <w:rFonts w:hint="eastAsia" w:asciiTheme="minorEastAsia" w:hAnsiTheme="minorEastAsia" w:eastAsiaTheme="minorEastAsia" w:cstheme="minorEastAsia"/>
                <w:spacing w:val="-18"/>
                <w:sz w:val="21"/>
                <w:szCs w:val="21"/>
                <w:lang w:val="en-US" w:eastAsia="zh-CN"/>
              </w:rPr>
              <w:t>0631-7584776</w:t>
            </w:r>
          </w:p>
        </w:tc>
      </w:tr>
      <w:tr w14:paraId="117CD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2" w:hRule="atLeast"/>
        </w:trPr>
        <w:tc>
          <w:tcPr>
            <w:tcW w:w="168" w:type="pct"/>
            <w:vAlign w:val="center"/>
          </w:tcPr>
          <w:p w14:paraId="7E698618">
            <w:pPr>
              <w:pStyle w:val="6"/>
              <w:keepNext w:val="0"/>
              <w:keepLines w:val="0"/>
              <w:pageBreakBefore w:val="0"/>
              <w:wordWrap/>
              <w:overflowPunct/>
              <w:topLinePunct w:val="0"/>
              <w:bidi w:val="0"/>
              <w:spacing w:line="339" w:lineRule="auto"/>
              <w:ind w:left="0" w:right="0"/>
              <w:jc w:val="center"/>
              <w:rPr>
                <w:rFonts w:hint="eastAsia" w:asciiTheme="minorEastAsia" w:hAnsiTheme="minorEastAsia" w:eastAsiaTheme="minorEastAsia" w:cstheme="minorEastAsia"/>
                <w:position w:val="1"/>
                <w:sz w:val="21"/>
                <w:szCs w:val="21"/>
                <w:lang w:val="en-US" w:eastAsia="zh-CN"/>
              </w:rPr>
            </w:pPr>
            <w:r>
              <w:rPr>
                <w:rFonts w:hint="eastAsia" w:asciiTheme="minorEastAsia" w:hAnsiTheme="minorEastAsia" w:eastAsiaTheme="minorEastAsia" w:cstheme="minorEastAsia"/>
                <w:sz w:val="21"/>
                <w:szCs w:val="21"/>
                <w:lang w:val="en-US" w:eastAsia="zh-CN"/>
              </w:rPr>
              <w:t>12</w:t>
            </w:r>
          </w:p>
        </w:tc>
        <w:tc>
          <w:tcPr>
            <w:tcW w:w="432" w:type="pct"/>
            <w:vAlign w:val="center"/>
          </w:tcPr>
          <w:p w14:paraId="11AD31F7">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color w:val="auto"/>
                <w:spacing w:val="-5"/>
                <w:sz w:val="21"/>
                <w:szCs w:val="21"/>
                <w:lang w:val="en-US" w:eastAsia="zh-CN"/>
              </w:rPr>
              <w:t>从事道路货物运输站（场）经营、机动车驾驶员培训业务、机动车维修经营业务，应当按规定进行备案</w:t>
            </w:r>
          </w:p>
        </w:tc>
        <w:tc>
          <w:tcPr>
            <w:tcW w:w="414" w:type="pct"/>
            <w:vAlign w:val="center"/>
          </w:tcPr>
          <w:p w14:paraId="69962639">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pacing w:val="-5"/>
                <w:sz w:val="21"/>
                <w:szCs w:val="21"/>
                <w:lang w:val="en-US" w:eastAsia="zh-CN"/>
              </w:rPr>
              <w:t>从事道路货物运输站(场）经营、机动车驾驶员培训业务、机动车维修经营业务,未按规定进行备案</w:t>
            </w:r>
          </w:p>
        </w:tc>
        <w:tc>
          <w:tcPr>
            <w:tcW w:w="2570" w:type="pct"/>
            <w:vAlign w:val="center"/>
          </w:tcPr>
          <w:p w14:paraId="6E64D0EF">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pacing w:val="11"/>
                <w:sz w:val="21"/>
                <w:szCs w:val="21"/>
              </w:rPr>
              <w:t>《中华人民共和国道路运输条例》</w:t>
            </w:r>
          </w:p>
          <w:p w14:paraId="08868958">
            <w:pPr>
              <w:keepNext w:val="0"/>
              <w:keepLines w:val="0"/>
              <w:pageBreakBefore w:val="0"/>
              <w:wordWrap/>
              <w:overflowPunct/>
              <w:topLinePunct w:val="0"/>
              <w:bidi w:val="0"/>
              <w:spacing w:line="232" w:lineRule="auto"/>
              <w:ind w:left="0" w:right="0" w:firstLine="2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pacing w:val="13"/>
                <w:sz w:val="21"/>
                <w:szCs w:val="21"/>
              </w:rPr>
              <w:t>第三十九条</w:t>
            </w:r>
            <w:r>
              <w:rPr>
                <w:rFonts w:hint="eastAsia" w:asciiTheme="minorEastAsia" w:hAnsiTheme="minorEastAsia" w:eastAsiaTheme="minorEastAsia" w:cstheme="minorEastAsia"/>
                <w:b/>
                <w:bCs/>
                <w:spacing w:val="13"/>
                <w:sz w:val="21"/>
                <w:szCs w:val="21"/>
                <w:lang w:eastAsia="zh-CN"/>
              </w:rPr>
              <w:t>第二款</w:t>
            </w:r>
            <w:r>
              <w:rPr>
                <w:rFonts w:hint="eastAsia" w:asciiTheme="minorEastAsia" w:hAnsiTheme="minorEastAsia" w:eastAsiaTheme="minorEastAsia" w:cstheme="minorEastAsia"/>
                <w:spacing w:val="13"/>
                <w:sz w:val="21"/>
                <w:szCs w:val="21"/>
              </w:rPr>
              <w:t>从事道路货物运输站（场）经营、机动</w:t>
            </w:r>
            <w:r>
              <w:rPr>
                <w:rFonts w:hint="eastAsia" w:asciiTheme="minorEastAsia" w:hAnsiTheme="minorEastAsia" w:eastAsiaTheme="minorEastAsia" w:cstheme="minorEastAsia"/>
                <w:spacing w:val="16"/>
                <w:sz w:val="21"/>
                <w:szCs w:val="21"/>
              </w:rPr>
              <w:t>车维修经营和机动车驾驶员培训业务的，应当</w:t>
            </w:r>
            <w:r>
              <w:rPr>
                <w:rFonts w:hint="eastAsia" w:asciiTheme="minorEastAsia" w:hAnsiTheme="minorEastAsia" w:eastAsiaTheme="minorEastAsia" w:cstheme="minorEastAsia"/>
                <w:spacing w:val="15"/>
                <w:sz w:val="21"/>
                <w:szCs w:val="21"/>
              </w:rPr>
              <w:t>在依法</w:t>
            </w:r>
            <w:r>
              <w:rPr>
                <w:rFonts w:hint="eastAsia" w:asciiTheme="minorEastAsia" w:hAnsiTheme="minorEastAsia" w:eastAsiaTheme="minorEastAsia" w:cstheme="minorEastAsia"/>
                <w:spacing w:val="11"/>
                <w:sz w:val="21"/>
                <w:szCs w:val="21"/>
              </w:rPr>
              <w:t>向市场监督管理部门办理有关登记手续后，向所在地</w:t>
            </w:r>
            <w:r>
              <w:rPr>
                <w:rFonts w:hint="eastAsia" w:asciiTheme="minorEastAsia" w:hAnsiTheme="minorEastAsia" w:eastAsiaTheme="minorEastAsia" w:cstheme="minorEastAsia"/>
                <w:spacing w:val="3"/>
                <w:sz w:val="21"/>
                <w:szCs w:val="21"/>
              </w:rPr>
              <w:t>县级人民政府交通运输主管部门进行备案，并分别附送</w:t>
            </w:r>
            <w:r>
              <w:rPr>
                <w:rFonts w:hint="eastAsia" w:asciiTheme="minorEastAsia" w:hAnsiTheme="minorEastAsia" w:eastAsiaTheme="minorEastAsia" w:cstheme="minorEastAsia"/>
                <w:spacing w:val="15"/>
                <w:sz w:val="21"/>
                <w:szCs w:val="21"/>
              </w:rPr>
              <w:t>符合本条例第三十六条、第三十七条、第三十八条规</w:t>
            </w:r>
            <w:r>
              <w:rPr>
                <w:rFonts w:hint="eastAsia" w:asciiTheme="minorEastAsia" w:hAnsiTheme="minorEastAsia" w:eastAsiaTheme="minorEastAsia" w:cstheme="minorEastAsia"/>
                <w:spacing w:val="9"/>
                <w:sz w:val="21"/>
                <w:szCs w:val="21"/>
              </w:rPr>
              <w:t>定条件的相关材料。</w:t>
            </w:r>
          </w:p>
          <w:p w14:paraId="70F62045">
            <w:pPr>
              <w:keepNext w:val="0"/>
              <w:keepLines w:val="0"/>
              <w:pageBreakBefore w:val="0"/>
              <w:wordWrap/>
              <w:overflowPunct/>
              <w:topLinePunct w:val="0"/>
              <w:bidi w:val="0"/>
              <w:spacing w:line="232" w:lineRule="auto"/>
              <w:ind w:left="0" w:right="0" w:firstLine="12"/>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pacing w:val="12"/>
                <w:sz w:val="21"/>
                <w:szCs w:val="21"/>
              </w:rPr>
              <w:t>第六十五条</w:t>
            </w:r>
            <w:r>
              <w:rPr>
                <w:rFonts w:hint="eastAsia" w:asciiTheme="minorEastAsia" w:hAnsiTheme="minorEastAsia" w:eastAsiaTheme="minorEastAsia" w:cstheme="minorEastAsia"/>
                <w:b/>
                <w:bCs/>
                <w:spacing w:val="12"/>
                <w:sz w:val="21"/>
                <w:szCs w:val="21"/>
                <w:lang w:eastAsia="zh-CN"/>
              </w:rPr>
              <w:t>第三款、第四款</w:t>
            </w:r>
            <w:r>
              <w:rPr>
                <w:rFonts w:hint="eastAsia" w:asciiTheme="minorEastAsia" w:hAnsiTheme="minorEastAsia" w:eastAsiaTheme="minorEastAsia" w:cstheme="minorEastAsia"/>
                <w:spacing w:val="12"/>
                <w:sz w:val="21"/>
                <w:szCs w:val="21"/>
              </w:rPr>
              <w:t>从事道路货物运输站（场）经</w:t>
            </w:r>
            <w:r>
              <w:rPr>
                <w:rFonts w:hint="eastAsia" w:asciiTheme="minorEastAsia" w:hAnsiTheme="minorEastAsia" w:eastAsiaTheme="minorEastAsia" w:cstheme="minorEastAsia"/>
                <w:spacing w:val="11"/>
                <w:sz w:val="21"/>
                <w:szCs w:val="21"/>
              </w:rPr>
              <w:t>营、机动</w:t>
            </w:r>
            <w:r>
              <w:rPr>
                <w:rFonts w:hint="eastAsia" w:asciiTheme="minorEastAsia" w:hAnsiTheme="minorEastAsia" w:eastAsiaTheme="minorEastAsia" w:cstheme="minorEastAsia"/>
                <w:spacing w:val="10"/>
                <w:sz w:val="21"/>
                <w:szCs w:val="21"/>
              </w:rPr>
              <w:t>车驾驶员培训业务，未按规定进行备案的，由县级以</w:t>
            </w:r>
            <w:r>
              <w:rPr>
                <w:rFonts w:hint="eastAsia" w:asciiTheme="minorEastAsia" w:hAnsiTheme="minorEastAsia" w:eastAsiaTheme="minorEastAsia" w:cstheme="minorEastAsia"/>
                <w:spacing w:val="13"/>
                <w:sz w:val="21"/>
                <w:szCs w:val="21"/>
              </w:rPr>
              <w:t>上地方人民政府交通运输主管部门责令改正；拒不改</w:t>
            </w:r>
            <w:r>
              <w:rPr>
                <w:rFonts w:hint="eastAsia" w:asciiTheme="minorEastAsia" w:hAnsiTheme="minorEastAsia" w:eastAsiaTheme="minorEastAsia" w:cstheme="minorEastAsia"/>
                <w:spacing w:val="8"/>
                <w:sz w:val="21"/>
                <w:szCs w:val="21"/>
              </w:rPr>
              <w:t>正的，处5000元以上2万元以下的罚款。</w:t>
            </w:r>
          </w:p>
          <w:p w14:paraId="4E0A90D9">
            <w:pPr>
              <w:keepNext w:val="0"/>
              <w:keepLines w:val="0"/>
              <w:pageBreakBefore w:val="0"/>
              <w:wordWrap/>
              <w:overflowPunct/>
              <w:topLinePunct w:val="0"/>
              <w:bidi w:val="0"/>
              <w:spacing w:line="231" w:lineRule="auto"/>
              <w:ind w:left="0" w:right="0" w:hanging="1"/>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14"/>
                <w:sz w:val="21"/>
                <w:szCs w:val="21"/>
              </w:rPr>
              <w:t>从事机动车维修经营业务，未按规定进行备</w:t>
            </w:r>
            <w:r>
              <w:rPr>
                <w:rFonts w:hint="eastAsia" w:asciiTheme="minorEastAsia" w:hAnsiTheme="minorEastAsia" w:eastAsiaTheme="minorEastAsia" w:cstheme="minorEastAsia"/>
                <w:spacing w:val="13"/>
                <w:sz w:val="21"/>
                <w:szCs w:val="21"/>
              </w:rPr>
              <w:t>案的由县</w:t>
            </w:r>
            <w:r>
              <w:rPr>
                <w:rFonts w:hint="eastAsia" w:asciiTheme="minorEastAsia" w:hAnsiTheme="minorEastAsia" w:eastAsiaTheme="minorEastAsia" w:cstheme="minorEastAsia"/>
                <w:spacing w:val="14"/>
                <w:sz w:val="21"/>
                <w:szCs w:val="21"/>
              </w:rPr>
              <w:t>级以上地方人民政府交通运输主管部门责令改正</w:t>
            </w:r>
            <w:r>
              <w:rPr>
                <w:rFonts w:hint="eastAsia" w:asciiTheme="minorEastAsia" w:hAnsiTheme="minorEastAsia" w:eastAsiaTheme="minorEastAsia" w:cstheme="minorEastAsia"/>
                <w:spacing w:val="13"/>
                <w:sz w:val="21"/>
                <w:szCs w:val="21"/>
              </w:rPr>
              <w:t>；拒</w:t>
            </w:r>
            <w:r>
              <w:rPr>
                <w:rFonts w:hint="eastAsia" w:asciiTheme="minorEastAsia" w:hAnsiTheme="minorEastAsia" w:eastAsiaTheme="minorEastAsia" w:cstheme="minorEastAsia"/>
                <w:spacing w:val="7"/>
                <w:sz w:val="21"/>
                <w:szCs w:val="21"/>
              </w:rPr>
              <w:t>不改正的，处3000元以上1万元以下的罚款。</w:t>
            </w:r>
          </w:p>
          <w:p w14:paraId="66D06E74">
            <w:pPr>
              <w:keepNext w:val="0"/>
              <w:keepLines w:val="0"/>
              <w:pageBreakBefore w:val="0"/>
              <w:wordWrap/>
              <w:overflowPunct/>
              <w:topLinePunct w:val="0"/>
              <w:bidi w:val="0"/>
              <w:spacing w:line="223" w:lineRule="auto"/>
              <w:ind w:left="0" w:leftChars="0" w:right="0" w:rightChars="0" w:firstLine="1" w:firstLineChars="0"/>
              <w:jc w:val="both"/>
              <w:rPr>
                <w:rFonts w:hint="eastAsia" w:asciiTheme="minorEastAsia" w:hAnsiTheme="minorEastAsia" w:eastAsiaTheme="minorEastAsia" w:cstheme="minorEastAsia"/>
                <w:spacing w:val="-7"/>
                <w:sz w:val="21"/>
                <w:szCs w:val="21"/>
              </w:rPr>
            </w:pPr>
            <w:r>
              <w:rPr>
                <w:rFonts w:hint="eastAsia" w:asciiTheme="minorEastAsia" w:hAnsiTheme="minorEastAsia" w:eastAsiaTheme="minorEastAsia" w:cstheme="minorEastAsia"/>
                <w:spacing w:val="11"/>
                <w:sz w:val="21"/>
                <w:szCs w:val="21"/>
              </w:rPr>
              <w:t>备案时提供虚假材料情节严重的，其直接负责的主管</w:t>
            </w:r>
            <w:r>
              <w:rPr>
                <w:rFonts w:hint="eastAsia" w:asciiTheme="minorEastAsia" w:hAnsiTheme="minorEastAsia" w:eastAsiaTheme="minorEastAsia" w:cstheme="minorEastAsia"/>
                <w:spacing w:val="17"/>
                <w:sz w:val="21"/>
                <w:szCs w:val="21"/>
              </w:rPr>
              <w:t>人员和其他直接责任人员5年内不得从事原备案的业</w:t>
            </w:r>
            <w:r>
              <w:rPr>
                <w:rFonts w:hint="eastAsia" w:asciiTheme="minorEastAsia" w:hAnsiTheme="minorEastAsia" w:eastAsiaTheme="minorEastAsia" w:cstheme="minorEastAsia"/>
                <w:spacing w:val="-7"/>
                <w:sz w:val="21"/>
                <w:szCs w:val="21"/>
              </w:rPr>
              <w:t>务。</w:t>
            </w:r>
          </w:p>
          <w:p w14:paraId="75B28049">
            <w:pPr>
              <w:keepNext w:val="0"/>
              <w:keepLines w:val="0"/>
              <w:pageBreakBefore w:val="0"/>
              <w:wordWrap/>
              <w:overflowPunct/>
              <w:topLinePunct w:val="0"/>
              <w:bidi w:val="0"/>
              <w:spacing w:line="223" w:lineRule="auto"/>
              <w:ind w:left="0" w:right="0" w:rightChars="0"/>
              <w:jc w:val="both"/>
              <w:rPr>
                <w:rFonts w:hint="eastAsia" w:asciiTheme="minorEastAsia" w:hAnsiTheme="minorEastAsia" w:eastAsiaTheme="minorEastAsia" w:cstheme="minorEastAsia"/>
                <w:b/>
                <w:bCs/>
                <w:sz w:val="21"/>
                <w:szCs w:val="21"/>
              </w:rPr>
            </w:pPr>
          </w:p>
        </w:tc>
        <w:tc>
          <w:tcPr>
            <w:tcW w:w="229" w:type="pct"/>
            <w:vAlign w:val="center"/>
          </w:tcPr>
          <w:p w14:paraId="3FFE142E">
            <w:pPr>
              <w:keepNext w:val="0"/>
              <w:keepLines w:val="0"/>
              <w:pageBreakBefore w:val="0"/>
              <w:wordWrap/>
              <w:overflowPunct/>
              <w:topLinePunct w:val="0"/>
              <w:bidi w:val="0"/>
              <w:spacing w:line="237" w:lineRule="auto"/>
              <w:ind w:left="0" w:right="0"/>
              <w:jc w:val="center"/>
              <w:rPr>
                <w:rFonts w:hint="eastAsia" w:asciiTheme="minorEastAsia" w:hAnsiTheme="minorEastAsia" w:eastAsiaTheme="minorEastAsia" w:cstheme="minorEastAsia"/>
                <w:spacing w:val="-10"/>
                <w:sz w:val="21"/>
                <w:szCs w:val="21"/>
              </w:rPr>
            </w:pPr>
            <w:r>
              <w:rPr>
                <w:rFonts w:hint="eastAsia" w:asciiTheme="minorEastAsia" w:hAnsiTheme="minorEastAsia" w:eastAsiaTheme="minorEastAsia" w:cstheme="minorEastAsia"/>
                <w:spacing w:val="-15"/>
                <w:sz w:val="21"/>
                <w:szCs w:val="21"/>
              </w:rPr>
              <w:t>★</w:t>
            </w:r>
          </w:p>
        </w:tc>
        <w:tc>
          <w:tcPr>
            <w:tcW w:w="748" w:type="pct"/>
            <w:vAlign w:val="center"/>
          </w:tcPr>
          <w:p w14:paraId="2DC38494">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3"/>
                <w:sz w:val="21"/>
                <w:szCs w:val="21"/>
                <w:lang w:val="en-US" w:eastAsia="en-US"/>
              </w:rPr>
            </w:pPr>
            <w:r>
              <w:rPr>
                <w:rFonts w:hint="eastAsia" w:asciiTheme="minorEastAsia" w:hAnsiTheme="minorEastAsia" w:eastAsiaTheme="minorEastAsia" w:cstheme="minorEastAsia"/>
                <w:spacing w:val="-5"/>
                <w:sz w:val="21"/>
                <w:szCs w:val="21"/>
                <w:lang w:val="en-US" w:eastAsia="zh-CN"/>
              </w:rPr>
              <w:t>从事道路货物运输站（场）经营、机动车维修经营和机动车驾驶员培训业务的，应当在依法向市场监督管理部门办理有关登记手续后，向所在地县级人民政府交通运输主管部门进行备案，并分别附送符合规定条件的相关材料。</w:t>
            </w:r>
          </w:p>
        </w:tc>
        <w:tc>
          <w:tcPr>
            <w:tcW w:w="435" w:type="pct"/>
            <w:vAlign w:val="center"/>
          </w:tcPr>
          <w:p w14:paraId="62388D57">
            <w:pPr>
              <w:keepNext w:val="0"/>
              <w:keepLines w:val="0"/>
              <w:pageBreakBefore w:val="0"/>
              <w:wordWrap/>
              <w:overflowPunct/>
              <w:topLinePunct w:val="0"/>
              <w:bidi w:val="0"/>
              <w:spacing w:line="222" w:lineRule="auto"/>
              <w:ind w:left="0" w:right="0" w:rightChars="0"/>
              <w:jc w:val="center"/>
              <w:rPr>
                <w:rFonts w:hint="eastAsia" w:asciiTheme="minorEastAsia" w:hAnsiTheme="minorEastAsia" w:eastAsiaTheme="minorEastAsia" w:cstheme="minorEastAsia"/>
                <w:spacing w:val="-18"/>
                <w:sz w:val="21"/>
                <w:szCs w:val="21"/>
                <w:lang w:eastAsia="zh-CN"/>
              </w:rPr>
            </w:pPr>
            <w:r>
              <w:rPr>
                <w:rFonts w:hint="eastAsia" w:asciiTheme="minorEastAsia" w:hAnsiTheme="minorEastAsia" w:eastAsiaTheme="minorEastAsia" w:cstheme="minorEastAsia"/>
                <w:spacing w:val="-18"/>
                <w:sz w:val="21"/>
                <w:szCs w:val="21"/>
                <w:lang w:eastAsia="zh-CN"/>
              </w:rPr>
              <w:t>荣成市交通运输综合执法大队</w:t>
            </w:r>
            <w:r>
              <w:rPr>
                <w:rFonts w:hint="eastAsia" w:asciiTheme="minorEastAsia" w:hAnsiTheme="minorEastAsia" w:eastAsiaTheme="minorEastAsia" w:cstheme="minorEastAsia"/>
                <w:spacing w:val="-18"/>
                <w:sz w:val="21"/>
                <w:szCs w:val="21"/>
                <w:lang w:val="en-US" w:eastAsia="zh-CN"/>
              </w:rPr>
              <w:t>0631-7584776</w:t>
            </w:r>
          </w:p>
        </w:tc>
      </w:tr>
      <w:tr w14:paraId="47CED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9" w:hRule="atLeast"/>
        </w:trPr>
        <w:tc>
          <w:tcPr>
            <w:tcW w:w="168" w:type="pct"/>
            <w:vAlign w:val="center"/>
          </w:tcPr>
          <w:p w14:paraId="0AA30353">
            <w:pPr>
              <w:keepNext w:val="0"/>
              <w:keepLines w:val="0"/>
              <w:pageBreakBefore w:val="0"/>
              <w:wordWrap/>
              <w:overflowPunct/>
              <w:topLinePunct w:val="0"/>
              <w:bidi w:val="0"/>
              <w:spacing w:line="373" w:lineRule="exact"/>
              <w:ind w:left="0" w:right="0"/>
              <w:jc w:val="center"/>
              <w:rPr>
                <w:rFonts w:hint="eastAsia" w:asciiTheme="minorEastAsia" w:hAnsiTheme="minorEastAsia" w:eastAsiaTheme="minorEastAsia" w:cstheme="minorEastAsia"/>
                <w:position w:val="1"/>
                <w:sz w:val="21"/>
                <w:szCs w:val="21"/>
                <w:lang w:val="en-US" w:eastAsia="zh-CN"/>
              </w:rPr>
            </w:pPr>
            <w:r>
              <w:rPr>
                <w:rFonts w:hint="eastAsia" w:asciiTheme="minorEastAsia" w:hAnsiTheme="minorEastAsia" w:eastAsiaTheme="minorEastAsia" w:cstheme="minorEastAsia"/>
                <w:spacing w:val="-11"/>
                <w:position w:val="1"/>
                <w:sz w:val="21"/>
                <w:szCs w:val="21"/>
                <w:highlight w:val="none"/>
                <w:lang w:val="en-US" w:eastAsia="zh-CN"/>
              </w:rPr>
              <w:t>13</w:t>
            </w:r>
          </w:p>
        </w:tc>
        <w:tc>
          <w:tcPr>
            <w:tcW w:w="432" w:type="pct"/>
            <w:vAlign w:val="center"/>
          </w:tcPr>
          <w:p w14:paraId="48021212">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pacing w:val="-5"/>
                <w:sz w:val="21"/>
                <w:szCs w:val="21"/>
                <w:highlight w:val="none"/>
                <w:lang w:val="en-US" w:eastAsia="zh-CN"/>
              </w:rPr>
              <w:t>涉路工程的建设单位应当依法事先取得涉路施工许可，方可开展涉路施工建设活动</w:t>
            </w:r>
          </w:p>
        </w:tc>
        <w:tc>
          <w:tcPr>
            <w:tcW w:w="414" w:type="pct"/>
            <w:vAlign w:val="center"/>
          </w:tcPr>
          <w:p w14:paraId="448AAAAA">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pacing w:val="-5"/>
                <w:sz w:val="21"/>
                <w:szCs w:val="21"/>
                <w:highlight w:val="none"/>
                <w:lang w:val="en-US" w:eastAsia="zh-CN"/>
              </w:rPr>
              <w:t>未经许可擅自进行涉路施工</w:t>
            </w:r>
          </w:p>
        </w:tc>
        <w:tc>
          <w:tcPr>
            <w:tcW w:w="2570" w:type="pct"/>
            <w:vAlign w:val="center"/>
          </w:tcPr>
          <w:p w14:paraId="240C6761">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8"/>
                <w:sz w:val="21"/>
                <w:szCs w:val="21"/>
                <w:highlight w:val="none"/>
              </w:rPr>
              <w:t>《中华人民共和国公路法》</w:t>
            </w:r>
          </w:p>
          <w:p w14:paraId="125FCBEB">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5"/>
                <w:sz w:val="21"/>
                <w:szCs w:val="21"/>
                <w:highlight w:val="none"/>
              </w:rPr>
              <w:t>第四十四条</w:t>
            </w:r>
            <w:r>
              <w:rPr>
                <w:rFonts w:hint="eastAsia" w:asciiTheme="minorEastAsia" w:hAnsiTheme="minorEastAsia" w:eastAsiaTheme="minorEastAsia" w:cstheme="minorEastAsia"/>
                <w:spacing w:val="5"/>
                <w:sz w:val="21"/>
                <w:szCs w:val="21"/>
                <w:highlight w:val="none"/>
              </w:rPr>
              <w:t>任何单位和个人不得擅自占用、挖</w:t>
            </w:r>
            <w:r>
              <w:rPr>
                <w:rFonts w:hint="eastAsia" w:asciiTheme="minorEastAsia" w:hAnsiTheme="minorEastAsia" w:eastAsiaTheme="minorEastAsia" w:cstheme="minorEastAsia"/>
                <w:spacing w:val="4"/>
                <w:sz w:val="21"/>
                <w:szCs w:val="21"/>
                <w:highlight w:val="none"/>
              </w:rPr>
              <w:t>掘公路</w:t>
            </w:r>
          </w:p>
          <w:p w14:paraId="18055B39">
            <w:pPr>
              <w:keepNext w:val="0"/>
              <w:keepLines w:val="0"/>
              <w:pageBreakBefore w:val="0"/>
              <w:wordWrap/>
              <w:overflowPunct/>
              <w:topLinePunct w:val="0"/>
              <w:bidi w:val="0"/>
              <w:spacing w:line="231" w:lineRule="auto"/>
              <w:ind w:left="0" w:right="0" w:firstLine="21"/>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pacing w:val="5"/>
                <w:sz w:val="21"/>
                <w:szCs w:val="21"/>
                <w:highlight w:val="none"/>
              </w:rPr>
              <w:t>。因修建铁路、机场、电站、通信设施、水利工程和进</w:t>
            </w:r>
            <w:r>
              <w:rPr>
                <w:rFonts w:hint="eastAsia" w:asciiTheme="minorEastAsia" w:hAnsiTheme="minorEastAsia" w:eastAsiaTheme="minorEastAsia" w:cstheme="minorEastAsia"/>
                <w:spacing w:val="6"/>
                <w:sz w:val="21"/>
                <w:szCs w:val="21"/>
                <w:highlight w:val="none"/>
              </w:rPr>
              <w:t>行其他建设工程需要占用、挖掘公路或者使公路改线的,建设单位应当事先征得有关交通主管部门的同意；影响交通安全的，还须征得有关公安机关的同意。占用、挖掘公路或者使公路改线的，建设单位应当按照不低于该段公路原有的技术标准予以修复、改建或者给予相应的经济补偿。</w:t>
            </w:r>
          </w:p>
          <w:p w14:paraId="19A2D97C">
            <w:pPr>
              <w:keepNext w:val="0"/>
              <w:keepLines w:val="0"/>
              <w:pageBreakBefore w:val="0"/>
              <w:wordWrap/>
              <w:overflowPunct/>
              <w:topLinePunct w:val="0"/>
              <w:bidi w:val="0"/>
              <w:spacing w:line="231" w:lineRule="auto"/>
              <w:ind w:left="0" w:right="0" w:firstLine="9"/>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5"/>
                <w:sz w:val="21"/>
                <w:szCs w:val="21"/>
                <w:highlight w:val="none"/>
              </w:rPr>
              <w:t>第四十五条</w:t>
            </w:r>
            <w:r>
              <w:rPr>
                <w:rFonts w:hint="eastAsia" w:asciiTheme="minorEastAsia" w:hAnsiTheme="minorEastAsia" w:eastAsiaTheme="minorEastAsia" w:cstheme="minorEastAsia"/>
                <w:spacing w:val="5"/>
                <w:sz w:val="21"/>
                <w:szCs w:val="21"/>
                <w:highlight w:val="none"/>
              </w:rPr>
              <w:t>跨越、穿越公路修建桥梁、</w:t>
            </w:r>
            <w:r>
              <w:rPr>
                <w:rFonts w:hint="eastAsia" w:asciiTheme="minorEastAsia" w:hAnsiTheme="minorEastAsia" w:eastAsiaTheme="minorEastAsia" w:cstheme="minorEastAsia"/>
                <w:spacing w:val="4"/>
                <w:sz w:val="21"/>
                <w:szCs w:val="21"/>
                <w:highlight w:val="none"/>
              </w:rPr>
              <w:t>渡槽或者架设</w:t>
            </w:r>
            <w:r>
              <w:rPr>
                <w:rFonts w:hint="eastAsia" w:asciiTheme="minorEastAsia" w:hAnsiTheme="minorEastAsia" w:eastAsiaTheme="minorEastAsia" w:cstheme="minorEastAsia"/>
                <w:spacing w:val="7"/>
                <w:sz w:val="21"/>
                <w:szCs w:val="21"/>
                <w:highlight w:val="none"/>
              </w:rPr>
              <w:t>、埋设管线等设施的，以及在公路用地范围内架设、</w:t>
            </w:r>
            <w:r>
              <w:rPr>
                <w:rFonts w:hint="eastAsia" w:asciiTheme="minorEastAsia" w:hAnsiTheme="minorEastAsia" w:eastAsiaTheme="minorEastAsia" w:cstheme="minorEastAsia"/>
                <w:spacing w:val="6"/>
                <w:sz w:val="21"/>
                <w:szCs w:val="21"/>
                <w:highlight w:val="none"/>
              </w:rPr>
              <w:t>埋设管线、电缆等设施的，应当事先经有关交通主管部门同意，影响交通安全的，还须征得有关公安机关的同意；所修建、架设或者埋设的设施应当符合公路工程技术标准的要求。对公路造成损坏的，应当按照损坏程度</w:t>
            </w:r>
            <w:r>
              <w:rPr>
                <w:rFonts w:hint="eastAsia" w:asciiTheme="minorEastAsia" w:hAnsiTheme="minorEastAsia" w:eastAsiaTheme="minorEastAsia" w:cstheme="minorEastAsia"/>
                <w:spacing w:val="4"/>
                <w:sz w:val="21"/>
                <w:szCs w:val="21"/>
                <w:highlight w:val="none"/>
              </w:rPr>
              <w:t>给予补偿。</w:t>
            </w:r>
          </w:p>
          <w:p w14:paraId="3D7B1FBE">
            <w:pPr>
              <w:keepNext w:val="0"/>
              <w:keepLines w:val="0"/>
              <w:pageBreakBefore w:val="0"/>
              <w:wordWrap/>
              <w:overflowPunct/>
              <w:topLinePunct w:val="0"/>
              <w:bidi w:val="0"/>
              <w:spacing w:line="231" w:lineRule="auto"/>
              <w:ind w:left="0" w:right="0" w:firstLine="8"/>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5"/>
                <w:sz w:val="21"/>
                <w:szCs w:val="21"/>
                <w:highlight w:val="none"/>
              </w:rPr>
              <w:t>第七十六条</w:t>
            </w:r>
            <w:r>
              <w:rPr>
                <w:rFonts w:hint="eastAsia" w:asciiTheme="minorEastAsia" w:hAnsiTheme="minorEastAsia" w:eastAsiaTheme="minorEastAsia" w:cstheme="minorEastAsia"/>
                <w:spacing w:val="5"/>
                <w:sz w:val="21"/>
                <w:szCs w:val="21"/>
                <w:highlight w:val="none"/>
              </w:rPr>
              <w:t>有下列违法行为之一的，由交通主</w:t>
            </w:r>
            <w:r>
              <w:rPr>
                <w:rFonts w:hint="eastAsia" w:asciiTheme="minorEastAsia" w:hAnsiTheme="minorEastAsia" w:eastAsiaTheme="minorEastAsia" w:cstheme="minorEastAsia"/>
                <w:spacing w:val="4"/>
                <w:sz w:val="21"/>
                <w:szCs w:val="21"/>
                <w:highlight w:val="none"/>
              </w:rPr>
              <w:t>管部门</w:t>
            </w:r>
            <w:r>
              <w:rPr>
                <w:rFonts w:hint="eastAsia" w:asciiTheme="minorEastAsia" w:hAnsiTheme="minorEastAsia" w:eastAsiaTheme="minorEastAsia" w:cstheme="minorEastAsia"/>
                <w:spacing w:val="9"/>
                <w:sz w:val="21"/>
                <w:szCs w:val="21"/>
                <w:highlight w:val="none"/>
              </w:rPr>
              <w:t>责令停止违法行为，可以处三万元以下的罚款</w:t>
            </w:r>
            <w:r>
              <w:rPr>
                <w:rFonts w:hint="eastAsia" w:asciiTheme="minorEastAsia" w:hAnsiTheme="minorEastAsia" w:eastAsiaTheme="minorEastAsia" w:cstheme="minorEastAsia"/>
                <w:spacing w:val="20"/>
                <w:sz w:val="21"/>
                <w:szCs w:val="21"/>
                <w:highlight w:val="none"/>
              </w:rPr>
              <w:t>：（</w:t>
            </w:r>
            <w:r>
              <w:rPr>
                <w:rFonts w:hint="eastAsia" w:asciiTheme="minorEastAsia" w:hAnsiTheme="minorEastAsia" w:eastAsiaTheme="minorEastAsia" w:cstheme="minorEastAsia"/>
                <w:spacing w:val="8"/>
                <w:sz w:val="21"/>
                <w:szCs w:val="21"/>
                <w:highlight w:val="none"/>
              </w:rPr>
              <w:t>一）</w:t>
            </w:r>
            <w:r>
              <w:rPr>
                <w:rFonts w:hint="eastAsia" w:asciiTheme="minorEastAsia" w:hAnsiTheme="minorEastAsia" w:eastAsiaTheme="minorEastAsia" w:cstheme="minorEastAsia"/>
                <w:spacing w:val="6"/>
                <w:sz w:val="21"/>
                <w:szCs w:val="21"/>
                <w:highlight w:val="none"/>
              </w:rPr>
              <w:t>违反本法第四十四条第一款规定，擅自占用、挖掘公路</w:t>
            </w:r>
            <w:r>
              <w:rPr>
                <w:rFonts w:hint="eastAsia" w:asciiTheme="minorEastAsia" w:hAnsiTheme="minorEastAsia" w:eastAsiaTheme="minorEastAsia" w:cstheme="minorEastAsia"/>
                <w:spacing w:val="-1"/>
                <w:sz w:val="21"/>
                <w:szCs w:val="21"/>
                <w:highlight w:val="none"/>
              </w:rPr>
              <w:t>的;</w:t>
            </w:r>
            <w:r>
              <w:rPr>
                <w:rFonts w:hint="eastAsia" w:asciiTheme="minorEastAsia" w:hAnsiTheme="minorEastAsia" w:eastAsiaTheme="minorEastAsia" w:cstheme="minorEastAsia"/>
                <w:spacing w:val="6"/>
                <w:sz w:val="21"/>
                <w:szCs w:val="21"/>
                <w:highlight w:val="none"/>
              </w:rPr>
              <w:t>（二）违反本法第四十五条规定，未经同意或者未按照</w:t>
            </w:r>
            <w:r>
              <w:rPr>
                <w:rFonts w:hint="eastAsia" w:asciiTheme="minorEastAsia" w:hAnsiTheme="minorEastAsia" w:eastAsiaTheme="minorEastAsia" w:cstheme="minorEastAsia"/>
                <w:spacing w:val="10"/>
                <w:sz w:val="21"/>
                <w:szCs w:val="21"/>
                <w:highlight w:val="none"/>
              </w:rPr>
              <w:t>公路工程技术标准的要求修建桥梁、渡槽或者架</w:t>
            </w:r>
            <w:r>
              <w:rPr>
                <w:rFonts w:hint="eastAsia" w:asciiTheme="minorEastAsia" w:hAnsiTheme="minorEastAsia" w:eastAsiaTheme="minorEastAsia" w:cstheme="minorEastAsia"/>
                <w:spacing w:val="9"/>
                <w:sz w:val="21"/>
                <w:szCs w:val="21"/>
                <w:highlight w:val="none"/>
              </w:rPr>
              <w:t>设、埋设管线、电缆等设施的。</w:t>
            </w:r>
          </w:p>
          <w:p w14:paraId="44BACBF7">
            <w:pPr>
              <w:keepNext w:val="0"/>
              <w:keepLines w:val="0"/>
              <w:pageBreakBefore w:val="0"/>
              <w:wordWrap/>
              <w:overflowPunct/>
              <w:topLinePunct w:val="0"/>
              <w:bidi w:val="0"/>
              <w:spacing w:line="223" w:lineRule="auto"/>
              <w:ind w:left="0" w:leftChars="0" w:right="0" w:rightChars="0" w:firstLine="5" w:firstLineChars="0"/>
              <w:jc w:val="both"/>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pacing w:val="5"/>
                <w:sz w:val="21"/>
                <w:szCs w:val="21"/>
                <w:highlight w:val="none"/>
              </w:rPr>
              <w:t>第八十条</w:t>
            </w:r>
            <w:r>
              <w:rPr>
                <w:rFonts w:hint="eastAsia" w:asciiTheme="minorEastAsia" w:hAnsiTheme="minorEastAsia" w:eastAsiaTheme="minorEastAsia" w:cstheme="minorEastAsia"/>
                <w:spacing w:val="5"/>
                <w:sz w:val="21"/>
                <w:szCs w:val="21"/>
                <w:highlight w:val="none"/>
              </w:rPr>
              <w:t>违反本法第五十五条规定，未经批准在公路</w:t>
            </w:r>
            <w:r>
              <w:rPr>
                <w:rFonts w:hint="eastAsia" w:asciiTheme="minorEastAsia" w:hAnsiTheme="minorEastAsia" w:eastAsiaTheme="minorEastAsia" w:cstheme="minorEastAsia"/>
                <w:spacing w:val="3"/>
                <w:sz w:val="21"/>
                <w:szCs w:val="21"/>
                <w:highlight w:val="none"/>
              </w:rPr>
              <w:t>上增设平面交叉道口的，由交通主管部门责令恢复原状</w:t>
            </w:r>
            <w:r>
              <w:rPr>
                <w:rFonts w:hint="eastAsia" w:asciiTheme="minorEastAsia" w:hAnsiTheme="minorEastAsia" w:eastAsiaTheme="minorEastAsia" w:cstheme="minorEastAsia"/>
                <w:spacing w:val="-1"/>
                <w:sz w:val="21"/>
                <w:szCs w:val="21"/>
                <w:highlight w:val="none"/>
              </w:rPr>
              <w:t>,处五万元以下的罚款。</w:t>
            </w:r>
          </w:p>
        </w:tc>
        <w:tc>
          <w:tcPr>
            <w:tcW w:w="229" w:type="pct"/>
            <w:vAlign w:val="center"/>
          </w:tcPr>
          <w:p w14:paraId="54248370">
            <w:pPr>
              <w:keepNext w:val="0"/>
              <w:keepLines w:val="0"/>
              <w:pageBreakBefore w:val="0"/>
              <w:wordWrap/>
              <w:overflowPunct/>
              <w:topLinePunct w:val="0"/>
              <w:bidi w:val="0"/>
              <w:spacing w:line="237" w:lineRule="auto"/>
              <w:ind w:left="0" w:right="0"/>
              <w:jc w:val="center"/>
              <w:rPr>
                <w:rFonts w:hint="eastAsia" w:asciiTheme="minorEastAsia" w:hAnsiTheme="minorEastAsia" w:eastAsiaTheme="minorEastAsia" w:cstheme="minorEastAsia"/>
                <w:spacing w:val="-10"/>
                <w:sz w:val="21"/>
                <w:szCs w:val="21"/>
              </w:rPr>
            </w:pPr>
            <w:r>
              <w:rPr>
                <w:rFonts w:hint="eastAsia" w:asciiTheme="minorEastAsia" w:hAnsiTheme="minorEastAsia" w:eastAsiaTheme="minorEastAsia" w:cstheme="minorEastAsia"/>
                <w:spacing w:val="-9"/>
                <w:sz w:val="21"/>
                <w:szCs w:val="21"/>
                <w:highlight w:val="none"/>
              </w:rPr>
              <w:t>★★</w:t>
            </w:r>
          </w:p>
        </w:tc>
        <w:tc>
          <w:tcPr>
            <w:tcW w:w="748" w:type="pct"/>
            <w:vAlign w:val="center"/>
          </w:tcPr>
          <w:p w14:paraId="4CDFE0DD">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3"/>
                <w:sz w:val="21"/>
                <w:szCs w:val="21"/>
                <w:lang w:val="en-US" w:eastAsia="en-US"/>
              </w:rPr>
            </w:pPr>
            <w:r>
              <w:rPr>
                <w:rFonts w:hint="eastAsia" w:asciiTheme="minorEastAsia" w:hAnsiTheme="minorEastAsia" w:eastAsiaTheme="minorEastAsia" w:cstheme="minorEastAsia"/>
                <w:spacing w:val="-5"/>
                <w:sz w:val="21"/>
                <w:szCs w:val="21"/>
                <w:highlight w:val="none"/>
                <w:lang w:val="en-US" w:eastAsia="zh-CN"/>
              </w:rPr>
              <w:t>涉路工程的建设单位在施工作业开始前应当取得涉路施工许可,经批准后方可开展涉路施工建设活动。</w:t>
            </w:r>
          </w:p>
        </w:tc>
        <w:tc>
          <w:tcPr>
            <w:tcW w:w="435" w:type="pct"/>
            <w:vAlign w:val="center"/>
          </w:tcPr>
          <w:p w14:paraId="66B7D28E">
            <w:pPr>
              <w:keepNext w:val="0"/>
              <w:keepLines w:val="0"/>
              <w:pageBreakBefore w:val="0"/>
              <w:wordWrap/>
              <w:overflowPunct/>
              <w:topLinePunct w:val="0"/>
              <w:bidi w:val="0"/>
              <w:spacing w:line="232" w:lineRule="auto"/>
              <w:ind w:left="0" w:right="0"/>
              <w:jc w:val="center"/>
              <w:rPr>
                <w:rFonts w:hint="eastAsia" w:asciiTheme="minorEastAsia" w:hAnsiTheme="minorEastAsia" w:eastAsiaTheme="minorEastAsia" w:cstheme="minorEastAsia"/>
                <w:spacing w:val="-18"/>
                <w:sz w:val="21"/>
                <w:szCs w:val="21"/>
                <w:lang w:eastAsia="zh-CN"/>
              </w:rPr>
            </w:pPr>
            <w:r>
              <w:rPr>
                <w:rFonts w:hint="eastAsia" w:asciiTheme="minorEastAsia" w:hAnsiTheme="minorEastAsia" w:eastAsiaTheme="minorEastAsia" w:cstheme="minorEastAsia"/>
                <w:spacing w:val="-18"/>
                <w:sz w:val="21"/>
                <w:szCs w:val="21"/>
                <w:highlight w:val="none"/>
                <w:lang w:eastAsia="zh-CN"/>
              </w:rPr>
              <w:t>荣成市交通运输综合执法大队</w:t>
            </w:r>
            <w:r>
              <w:rPr>
                <w:rFonts w:hint="eastAsia" w:asciiTheme="minorEastAsia" w:hAnsiTheme="minorEastAsia" w:eastAsiaTheme="minorEastAsia" w:cstheme="minorEastAsia"/>
                <w:spacing w:val="-18"/>
                <w:sz w:val="21"/>
                <w:szCs w:val="21"/>
                <w:highlight w:val="none"/>
                <w:lang w:val="en-US" w:eastAsia="zh-CN"/>
              </w:rPr>
              <w:t>0631-7584776</w:t>
            </w:r>
          </w:p>
        </w:tc>
      </w:tr>
      <w:tr w14:paraId="3C9E8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8" w:type="pct"/>
            <w:vAlign w:val="center"/>
          </w:tcPr>
          <w:p w14:paraId="48833224">
            <w:pPr>
              <w:keepNext w:val="0"/>
              <w:keepLines w:val="0"/>
              <w:pageBreakBefore w:val="0"/>
              <w:wordWrap/>
              <w:overflowPunct/>
              <w:topLinePunct w:val="0"/>
              <w:bidi w:val="0"/>
              <w:spacing w:line="369" w:lineRule="exact"/>
              <w:ind w:left="0" w:right="0"/>
              <w:jc w:val="center"/>
              <w:rPr>
                <w:rFonts w:hint="eastAsia" w:asciiTheme="minorEastAsia" w:hAnsiTheme="minorEastAsia" w:eastAsiaTheme="minorEastAsia" w:cstheme="minorEastAsia"/>
                <w:position w:val="1"/>
                <w:sz w:val="21"/>
                <w:szCs w:val="21"/>
                <w:lang w:val="en-US" w:eastAsia="zh-CN"/>
              </w:rPr>
            </w:pPr>
            <w:r>
              <w:rPr>
                <w:rFonts w:hint="eastAsia" w:asciiTheme="minorEastAsia" w:hAnsiTheme="minorEastAsia" w:eastAsiaTheme="minorEastAsia" w:cstheme="minorEastAsia"/>
                <w:sz w:val="21"/>
                <w:szCs w:val="21"/>
                <w:highlight w:val="none"/>
                <w:lang w:val="en-US" w:eastAsia="zh-CN"/>
              </w:rPr>
              <w:t>14</w:t>
            </w:r>
          </w:p>
        </w:tc>
        <w:tc>
          <w:tcPr>
            <w:tcW w:w="432" w:type="pct"/>
            <w:vAlign w:val="center"/>
          </w:tcPr>
          <w:p w14:paraId="3B4C246F">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pacing w:val="-5"/>
                <w:sz w:val="21"/>
                <w:szCs w:val="21"/>
                <w:highlight w:val="none"/>
                <w:lang w:val="en-US" w:eastAsia="zh-CN"/>
              </w:rPr>
              <w:t>生产经营单位应当如实记录安全生产教育和培训情况</w:t>
            </w:r>
          </w:p>
        </w:tc>
        <w:tc>
          <w:tcPr>
            <w:tcW w:w="414" w:type="pct"/>
            <w:vAlign w:val="center"/>
          </w:tcPr>
          <w:p w14:paraId="3F55BFDC">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pacing w:val="-5"/>
                <w:sz w:val="21"/>
                <w:szCs w:val="21"/>
                <w:highlight w:val="none"/>
                <w:lang w:val="en-US" w:eastAsia="zh-CN"/>
              </w:rPr>
              <w:t>生产经营单位未如实记录安全生产教育和培训情况</w:t>
            </w:r>
          </w:p>
        </w:tc>
        <w:tc>
          <w:tcPr>
            <w:tcW w:w="2570" w:type="pct"/>
            <w:vAlign w:val="center"/>
          </w:tcPr>
          <w:p w14:paraId="47FB9FFD">
            <w:pPr>
              <w:keepNext w:val="0"/>
              <w:keepLines w:val="0"/>
              <w:pageBreakBefore w:val="0"/>
              <w:wordWrap/>
              <w:overflowPunct/>
              <w:topLinePunct w:val="0"/>
              <w:bidi w:val="0"/>
              <w:spacing w:line="214" w:lineRule="auto"/>
              <w:ind w:left="0" w:right="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9"/>
                <w:sz w:val="21"/>
                <w:szCs w:val="21"/>
                <w:highlight w:val="none"/>
              </w:rPr>
              <w:t>《中华人民共和国安全生产法》</w:t>
            </w:r>
          </w:p>
          <w:p w14:paraId="104B2861">
            <w:pPr>
              <w:keepNext w:val="0"/>
              <w:keepLines w:val="0"/>
              <w:pageBreakBefore w:val="0"/>
              <w:wordWrap/>
              <w:overflowPunct/>
              <w:topLinePunct w:val="0"/>
              <w:bidi w:val="0"/>
              <w:spacing w:line="239" w:lineRule="auto"/>
              <w:ind w:left="0" w:right="0" w:firstLine="1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16"/>
                <w:sz w:val="21"/>
                <w:szCs w:val="21"/>
                <w:highlight w:val="none"/>
              </w:rPr>
              <w:t>第二十八条</w:t>
            </w:r>
            <w:r>
              <w:rPr>
                <w:rFonts w:hint="eastAsia" w:asciiTheme="minorEastAsia" w:hAnsiTheme="minorEastAsia" w:eastAsiaTheme="minorEastAsia" w:cstheme="minorEastAsia"/>
                <w:spacing w:val="16"/>
                <w:sz w:val="21"/>
                <w:szCs w:val="21"/>
                <w:highlight w:val="none"/>
              </w:rPr>
              <w:t>生产经营单位应当建立安全生产教育和</w:t>
            </w:r>
            <w:r>
              <w:rPr>
                <w:rFonts w:hint="eastAsia" w:asciiTheme="minorEastAsia" w:hAnsiTheme="minorEastAsia" w:eastAsiaTheme="minorEastAsia" w:cstheme="minorEastAsia"/>
                <w:spacing w:val="8"/>
                <w:sz w:val="21"/>
                <w:szCs w:val="21"/>
                <w:highlight w:val="none"/>
              </w:rPr>
              <w:t>培训档案，如实记录安全生产教育和培训的时间、内容</w:t>
            </w:r>
            <w:r>
              <w:rPr>
                <w:rFonts w:hint="eastAsia" w:asciiTheme="minorEastAsia" w:hAnsiTheme="minorEastAsia" w:eastAsiaTheme="minorEastAsia" w:cstheme="minorEastAsia"/>
                <w:spacing w:val="9"/>
                <w:sz w:val="21"/>
                <w:szCs w:val="21"/>
                <w:highlight w:val="none"/>
              </w:rPr>
              <w:t>、参加人员以及考核结果等情况。</w:t>
            </w:r>
          </w:p>
          <w:p w14:paraId="076980E5">
            <w:pPr>
              <w:keepNext w:val="0"/>
              <w:keepLines w:val="0"/>
              <w:pageBreakBefore w:val="0"/>
              <w:wordWrap/>
              <w:overflowPunct/>
              <w:topLinePunct w:val="0"/>
              <w:bidi w:val="0"/>
              <w:spacing w:line="239" w:lineRule="auto"/>
              <w:ind w:left="0" w:right="0" w:firstLine="14"/>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pacing w:val="4"/>
                <w:sz w:val="21"/>
                <w:szCs w:val="21"/>
                <w:highlight w:val="none"/>
              </w:rPr>
              <w:t>第九十七条</w:t>
            </w:r>
            <w:r>
              <w:rPr>
                <w:rFonts w:hint="eastAsia" w:asciiTheme="minorEastAsia" w:hAnsiTheme="minorEastAsia" w:eastAsiaTheme="minorEastAsia" w:cstheme="minorEastAsia"/>
                <w:b/>
                <w:bCs/>
                <w:spacing w:val="4"/>
                <w:sz w:val="21"/>
                <w:szCs w:val="21"/>
                <w:highlight w:val="none"/>
                <w:lang w:eastAsia="zh-CN"/>
              </w:rPr>
              <w:t>第四项</w:t>
            </w:r>
            <w:r>
              <w:rPr>
                <w:rFonts w:hint="eastAsia" w:asciiTheme="minorEastAsia" w:hAnsiTheme="minorEastAsia" w:eastAsiaTheme="minorEastAsia" w:cstheme="minorEastAsia"/>
                <w:spacing w:val="4"/>
                <w:sz w:val="21"/>
                <w:szCs w:val="21"/>
                <w:highlight w:val="none"/>
              </w:rPr>
              <w:t>生产经营单位有下列行为之一的，责令限</w:t>
            </w:r>
            <w:r>
              <w:rPr>
                <w:rFonts w:hint="eastAsia" w:asciiTheme="minorEastAsia" w:hAnsiTheme="minorEastAsia" w:eastAsiaTheme="minorEastAsia" w:cstheme="minorEastAsia"/>
                <w:spacing w:val="8"/>
                <w:sz w:val="21"/>
                <w:szCs w:val="21"/>
                <w:highlight w:val="none"/>
              </w:rPr>
              <w:t>期改正，处十万元以下的罚款；逾期未改正的，责令停</w:t>
            </w:r>
            <w:r>
              <w:rPr>
                <w:rFonts w:hint="eastAsia" w:asciiTheme="minorEastAsia" w:hAnsiTheme="minorEastAsia" w:eastAsiaTheme="minorEastAsia" w:cstheme="minorEastAsia"/>
                <w:spacing w:val="5"/>
                <w:sz w:val="21"/>
                <w:szCs w:val="21"/>
                <w:highlight w:val="none"/>
              </w:rPr>
              <w:t>产停业整顿，并处十万元</w:t>
            </w:r>
            <w:bookmarkStart w:id="0" w:name="_GoBack"/>
            <w:bookmarkEnd w:id="0"/>
            <w:r>
              <w:rPr>
                <w:rFonts w:hint="eastAsia" w:asciiTheme="minorEastAsia" w:hAnsiTheme="minorEastAsia" w:eastAsiaTheme="minorEastAsia" w:cstheme="minorEastAsia"/>
                <w:spacing w:val="5"/>
                <w:sz w:val="21"/>
                <w:szCs w:val="21"/>
                <w:highlight w:val="none"/>
              </w:rPr>
              <w:t>以上二十万元以下的罚款，对</w:t>
            </w:r>
            <w:r>
              <w:rPr>
                <w:rFonts w:hint="eastAsia" w:asciiTheme="minorEastAsia" w:hAnsiTheme="minorEastAsia" w:eastAsiaTheme="minorEastAsia" w:cstheme="minorEastAsia"/>
                <w:spacing w:val="20"/>
                <w:sz w:val="21"/>
                <w:szCs w:val="21"/>
                <w:highlight w:val="none"/>
              </w:rPr>
              <w:t>其直接负责的主管人员和其他直接责任人员处二万元</w:t>
            </w:r>
            <w:r>
              <w:rPr>
                <w:rFonts w:hint="eastAsia" w:asciiTheme="minorEastAsia" w:hAnsiTheme="minorEastAsia" w:eastAsiaTheme="minorEastAsia" w:cstheme="minorEastAsia"/>
                <w:spacing w:val="8"/>
                <w:sz w:val="21"/>
                <w:szCs w:val="21"/>
                <w:highlight w:val="none"/>
              </w:rPr>
              <w:t>以上五万元以下的罚款：</w:t>
            </w:r>
          </w:p>
          <w:p w14:paraId="0920757D">
            <w:pPr>
              <w:keepNext w:val="0"/>
              <w:keepLines w:val="0"/>
              <w:pageBreakBefore w:val="0"/>
              <w:wordWrap/>
              <w:overflowPunct/>
              <w:topLinePunct w:val="0"/>
              <w:bidi w:val="0"/>
              <w:spacing w:line="205" w:lineRule="auto"/>
              <w:ind w:left="0" w:leftChars="0" w:right="0"/>
              <w:jc w:val="both"/>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spacing w:val="8"/>
                <w:sz w:val="21"/>
                <w:szCs w:val="21"/>
                <w:highlight w:val="none"/>
              </w:rPr>
              <w:t>（四）未如实记录安全生产教育和培训情况的</w:t>
            </w:r>
            <w:r>
              <w:rPr>
                <w:rFonts w:hint="eastAsia" w:asciiTheme="minorEastAsia" w:hAnsiTheme="minorEastAsia" w:eastAsiaTheme="minorEastAsia" w:cstheme="minorEastAsia"/>
                <w:spacing w:val="8"/>
                <w:sz w:val="21"/>
                <w:szCs w:val="21"/>
                <w:highlight w:val="none"/>
                <w:lang w:eastAsia="zh-CN"/>
              </w:rPr>
              <w:t>。</w:t>
            </w:r>
          </w:p>
        </w:tc>
        <w:tc>
          <w:tcPr>
            <w:tcW w:w="229" w:type="pct"/>
            <w:vAlign w:val="center"/>
          </w:tcPr>
          <w:p w14:paraId="41FD3376">
            <w:pPr>
              <w:keepNext w:val="0"/>
              <w:keepLines w:val="0"/>
              <w:pageBreakBefore w:val="0"/>
              <w:wordWrap/>
              <w:overflowPunct/>
              <w:topLinePunct w:val="0"/>
              <w:bidi w:val="0"/>
              <w:spacing w:line="237" w:lineRule="auto"/>
              <w:ind w:left="0" w:right="0"/>
              <w:jc w:val="center"/>
              <w:rPr>
                <w:rFonts w:hint="eastAsia" w:asciiTheme="minorEastAsia" w:hAnsiTheme="minorEastAsia" w:eastAsiaTheme="minorEastAsia" w:cstheme="minorEastAsia"/>
                <w:spacing w:val="-10"/>
                <w:sz w:val="21"/>
                <w:szCs w:val="21"/>
              </w:rPr>
            </w:pPr>
            <w:r>
              <w:rPr>
                <w:rFonts w:hint="eastAsia" w:asciiTheme="minorEastAsia" w:hAnsiTheme="minorEastAsia" w:eastAsiaTheme="minorEastAsia" w:cstheme="minorEastAsia"/>
                <w:sz w:val="21"/>
                <w:szCs w:val="21"/>
                <w:highlight w:val="none"/>
              </w:rPr>
              <w:t>★</w:t>
            </w:r>
          </w:p>
        </w:tc>
        <w:tc>
          <w:tcPr>
            <w:tcW w:w="748" w:type="pct"/>
            <w:vAlign w:val="center"/>
          </w:tcPr>
          <w:p w14:paraId="1A48B288">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3"/>
                <w:sz w:val="21"/>
                <w:szCs w:val="21"/>
                <w:lang w:val="en-US" w:eastAsia="en-US"/>
              </w:rPr>
            </w:pPr>
            <w:r>
              <w:rPr>
                <w:rFonts w:hint="eastAsia" w:asciiTheme="minorEastAsia" w:hAnsiTheme="minorEastAsia" w:eastAsiaTheme="minorEastAsia" w:cstheme="minorEastAsia"/>
                <w:spacing w:val="-5"/>
                <w:sz w:val="21"/>
                <w:szCs w:val="21"/>
                <w:highlight w:val="none"/>
                <w:lang w:val="en-US" w:eastAsia="zh-CN"/>
              </w:rPr>
              <w:t>生产经营单位应当建立安全生产教育培训档案，如实记录安全生产教育和培训的时间、内容、参加人员以及考核结果等情况。</w:t>
            </w:r>
          </w:p>
        </w:tc>
        <w:tc>
          <w:tcPr>
            <w:tcW w:w="435" w:type="pct"/>
            <w:vAlign w:val="center"/>
          </w:tcPr>
          <w:p w14:paraId="13CA72B2">
            <w:pPr>
              <w:keepNext w:val="0"/>
              <w:keepLines w:val="0"/>
              <w:pageBreakBefore w:val="0"/>
              <w:wordWrap/>
              <w:overflowPunct/>
              <w:topLinePunct w:val="0"/>
              <w:bidi w:val="0"/>
              <w:ind w:left="0" w:right="0" w:rightChars="0"/>
              <w:jc w:val="center"/>
              <w:rPr>
                <w:rFonts w:hint="eastAsia" w:asciiTheme="minorEastAsia" w:hAnsiTheme="minorEastAsia" w:eastAsiaTheme="minorEastAsia" w:cstheme="minorEastAsia"/>
                <w:spacing w:val="-18"/>
                <w:sz w:val="21"/>
                <w:szCs w:val="21"/>
                <w:lang w:eastAsia="zh-CN"/>
              </w:rPr>
            </w:pPr>
            <w:r>
              <w:rPr>
                <w:rFonts w:hint="eastAsia" w:asciiTheme="minorEastAsia" w:hAnsiTheme="minorEastAsia" w:eastAsiaTheme="minorEastAsia" w:cstheme="minorEastAsia"/>
                <w:spacing w:val="-18"/>
                <w:sz w:val="21"/>
                <w:szCs w:val="21"/>
                <w:highlight w:val="none"/>
                <w:lang w:eastAsia="zh-CN"/>
              </w:rPr>
              <w:t>荣成市交通运输综合执法大队</w:t>
            </w:r>
            <w:r>
              <w:rPr>
                <w:rFonts w:hint="eastAsia" w:asciiTheme="minorEastAsia" w:hAnsiTheme="minorEastAsia" w:eastAsiaTheme="minorEastAsia" w:cstheme="minorEastAsia"/>
                <w:spacing w:val="-18"/>
                <w:sz w:val="21"/>
                <w:szCs w:val="21"/>
                <w:highlight w:val="none"/>
                <w:lang w:val="en-US" w:eastAsia="zh-CN"/>
              </w:rPr>
              <w:t>0631-7584776</w:t>
            </w:r>
          </w:p>
        </w:tc>
      </w:tr>
      <w:tr w14:paraId="2C330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8" w:hRule="atLeast"/>
        </w:trPr>
        <w:tc>
          <w:tcPr>
            <w:tcW w:w="168" w:type="pct"/>
            <w:vAlign w:val="center"/>
          </w:tcPr>
          <w:p w14:paraId="22F14E5B">
            <w:pPr>
              <w:keepNext w:val="0"/>
              <w:keepLines w:val="0"/>
              <w:pageBreakBefore w:val="0"/>
              <w:wordWrap/>
              <w:overflowPunct/>
              <w:topLinePunct w:val="0"/>
              <w:bidi w:val="0"/>
              <w:spacing w:line="369" w:lineRule="exact"/>
              <w:ind w:left="0" w:right="0"/>
              <w:jc w:val="center"/>
              <w:rPr>
                <w:rFonts w:hint="eastAsia" w:asciiTheme="minorEastAsia" w:hAnsiTheme="minorEastAsia" w:eastAsiaTheme="minorEastAsia" w:cstheme="minorEastAsia"/>
                <w:position w:val="1"/>
                <w:sz w:val="21"/>
                <w:szCs w:val="21"/>
                <w:lang w:val="en-US" w:eastAsia="zh-CN"/>
              </w:rPr>
            </w:pPr>
            <w:r>
              <w:rPr>
                <w:rFonts w:hint="eastAsia" w:asciiTheme="minorEastAsia" w:hAnsiTheme="minorEastAsia" w:eastAsiaTheme="minorEastAsia" w:cstheme="minorEastAsia"/>
                <w:position w:val="1"/>
                <w:sz w:val="21"/>
                <w:szCs w:val="21"/>
                <w:highlight w:val="none"/>
                <w:lang w:val="en-US" w:eastAsia="zh-CN"/>
              </w:rPr>
              <w:t>15</w:t>
            </w:r>
          </w:p>
        </w:tc>
        <w:tc>
          <w:tcPr>
            <w:tcW w:w="432" w:type="pct"/>
            <w:vAlign w:val="center"/>
          </w:tcPr>
          <w:p w14:paraId="5514139E">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pacing w:val="-5"/>
                <w:sz w:val="21"/>
                <w:szCs w:val="21"/>
                <w:highlight w:val="none"/>
                <w:lang w:val="en-US" w:eastAsia="zh-CN"/>
              </w:rPr>
              <w:t>在备案的教练场地开展基础和场地驾驶培训</w:t>
            </w:r>
          </w:p>
        </w:tc>
        <w:tc>
          <w:tcPr>
            <w:tcW w:w="414" w:type="pct"/>
            <w:vAlign w:val="center"/>
          </w:tcPr>
          <w:p w14:paraId="2361B760">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5"/>
                <w:sz w:val="21"/>
                <w:szCs w:val="21"/>
                <w:lang w:eastAsia="zh-CN"/>
              </w:rPr>
            </w:pPr>
            <w:r>
              <w:rPr>
                <w:rFonts w:hint="eastAsia" w:asciiTheme="minorEastAsia" w:hAnsiTheme="minorEastAsia" w:eastAsiaTheme="minorEastAsia" w:cstheme="minorEastAsia"/>
                <w:spacing w:val="-5"/>
                <w:sz w:val="21"/>
                <w:szCs w:val="21"/>
                <w:highlight w:val="none"/>
                <w:lang w:val="en-US" w:eastAsia="zh-CN"/>
              </w:rPr>
              <w:t>未在备案的教练场地开展基础和场地驾驶培训</w:t>
            </w:r>
          </w:p>
        </w:tc>
        <w:tc>
          <w:tcPr>
            <w:tcW w:w="2570" w:type="pct"/>
            <w:vAlign w:val="center"/>
          </w:tcPr>
          <w:p w14:paraId="0D5DCBB8">
            <w:pPr>
              <w:keepNext w:val="0"/>
              <w:keepLines w:val="0"/>
              <w:pageBreakBefore w:val="0"/>
              <w:widowControl/>
              <w:kinsoku w:val="0"/>
              <w:wordWrap/>
              <w:overflowPunct/>
              <w:topLinePunct w:val="0"/>
              <w:autoSpaceDE w:val="0"/>
              <w:autoSpaceDN w:val="0"/>
              <w:bidi w:val="0"/>
              <w:adjustRightInd w:val="0"/>
              <w:snapToGrid w:val="0"/>
              <w:spacing w:line="214" w:lineRule="auto"/>
              <w:ind w:left="0" w:right="0"/>
              <w:jc w:val="both"/>
              <w:textAlignment w:val="baseline"/>
              <w:rPr>
                <w:rFonts w:hint="eastAsia" w:asciiTheme="minorEastAsia" w:hAnsiTheme="minorEastAsia" w:eastAsiaTheme="minorEastAsia" w:cstheme="minorEastAsia"/>
                <w:spacing w:val="-6"/>
                <w:sz w:val="21"/>
                <w:szCs w:val="21"/>
                <w:highlight w:val="none"/>
              </w:rPr>
            </w:pPr>
            <w:r>
              <w:rPr>
                <w:rFonts w:hint="eastAsia" w:asciiTheme="minorEastAsia" w:hAnsiTheme="minorEastAsia" w:eastAsiaTheme="minorEastAsia" w:cstheme="minorEastAsia"/>
                <w:b/>
                <w:bCs/>
                <w:spacing w:val="-6"/>
                <w:sz w:val="21"/>
                <w:szCs w:val="21"/>
                <w:highlight w:val="none"/>
              </w:rPr>
              <w:t>《机动车驾驶员培训管理规定》</w:t>
            </w:r>
          </w:p>
          <w:p w14:paraId="01BA661C">
            <w:pPr>
              <w:keepNext w:val="0"/>
              <w:keepLines w:val="0"/>
              <w:pageBreakBefore w:val="0"/>
              <w:widowControl/>
              <w:kinsoku w:val="0"/>
              <w:wordWrap/>
              <w:overflowPunct/>
              <w:topLinePunct w:val="0"/>
              <w:autoSpaceDE w:val="0"/>
              <w:autoSpaceDN w:val="0"/>
              <w:bidi w:val="0"/>
              <w:adjustRightInd w:val="0"/>
              <w:snapToGrid w:val="0"/>
              <w:spacing w:line="232" w:lineRule="auto"/>
              <w:ind w:left="0" w:right="0" w:firstLine="23"/>
              <w:jc w:val="both"/>
              <w:textAlignment w:val="baseline"/>
              <w:rPr>
                <w:rFonts w:hint="eastAsia" w:asciiTheme="minorEastAsia" w:hAnsiTheme="minorEastAsia" w:eastAsiaTheme="minorEastAsia" w:cstheme="minorEastAsia"/>
                <w:spacing w:val="-6"/>
                <w:sz w:val="21"/>
                <w:szCs w:val="21"/>
                <w:highlight w:val="none"/>
              </w:rPr>
            </w:pPr>
            <w:r>
              <w:rPr>
                <w:rFonts w:hint="eastAsia" w:asciiTheme="minorEastAsia" w:hAnsiTheme="minorEastAsia" w:eastAsiaTheme="minorEastAsia" w:cstheme="minorEastAsia"/>
                <w:b/>
                <w:bCs/>
                <w:spacing w:val="-6"/>
                <w:sz w:val="21"/>
                <w:szCs w:val="21"/>
                <w:highlight w:val="none"/>
              </w:rPr>
              <w:t>第三十七条</w:t>
            </w:r>
            <w:r>
              <w:rPr>
                <w:rFonts w:hint="eastAsia" w:asciiTheme="minorEastAsia" w:hAnsiTheme="minorEastAsia" w:eastAsiaTheme="minorEastAsia" w:cstheme="minorEastAsia"/>
                <w:spacing w:val="-6"/>
                <w:sz w:val="21"/>
                <w:szCs w:val="21"/>
                <w:highlight w:val="none"/>
              </w:rPr>
              <w:t>机动车驾驶员培训机构应当在其备案的教练场地开展基础和场地驾驶培训。机动车驾驶员培训机构在道路上进行培训活动，应当遵守公安机关交通管理部门指定的路线和时间，并在教练员随车指导下进行，与教学无关的人员不得乘坐教学车辆。</w:t>
            </w:r>
          </w:p>
          <w:p w14:paraId="358EFCF9">
            <w:pPr>
              <w:keepNext w:val="0"/>
              <w:keepLines w:val="0"/>
              <w:pageBreakBefore w:val="0"/>
              <w:widowControl/>
              <w:kinsoku w:val="0"/>
              <w:wordWrap/>
              <w:overflowPunct/>
              <w:topLinePunct w:val="0"/>
              <w:autoSpaceDE w:val="0"/>
              <w:autoSpaceDN w:val="0"/>
              <w:bidi w:val="0"/>
              <w:adjustRightInd w:val="0"/>
              <w:snapToGrid w:val="0"/>
              <w:spacing w:line="229" w:lineRule="auto"/>
              <w:ind w:left="0" w:right="0" w:firstLine="29"/>
              <w:jc w:val="both"/>
              <w:textAlignment w:val="baseline"/>
              <w:rPr>
                <w:rFonts w:hint="eastAsia" w:asciiTheme="minorEastAsia" w:hAnsiTheme="minorEastAsia" w:eastAsiaTheme="minorEastAsia" w:cstheme="minorEastAsia"/>
                <w:spacing w:val="-6"/>
                <w:sz w:val="21"/>
                <w:szCs w:val="21"/>
                <w:highlight w:val="none"/>
              </w:rPr>
            </w:pPr>
            <w:r>
              <w:rPr>
                <w:rFonts w:hint="eastAsia" w:asciiTheme="minorEastAsia" w:hAnsiTheme="minorEastAsia" w:eastAsiaTheme="minorEastAsia" w:cstheme="minorEastAsia"/>
                <w:b/>
                <w:bCs/>
                <w:spacing w:val="-6"/>
                <w:sz w:val="21"/>
                <w:szCs w:val="21"/>
                <w:highlight w:val="none"/>
              </w:rPr>
              <w:t>第四十九条</w:t>
            </w:r>
            <w:r>
              <w:rPr>
                <w:rFonts w:hint="eastAsia" w:asciiTheme="minorEastAsia" w:hAnsiTheme="minorEastAsia" w:eastAsiaTheme="minorEastAsia" w:cstheme="minorEastAsia"/>
                <w:b/>
                <w:bCs/>
                <w:spacing w:val="-6"/>
                <w:sz w:val="21"/>
                <w:szCs w:val="21"/>
                <w:highlight w:val="none"/>
                <w:lang w:eastAsia="zh-CN"/>
              </w:rPr>
              <w:t>第二项</w:t>
            </w:r>
            <w:r>
              <w:rPr>
                <w:rFonts w:hint="eastAsia" w:asciiTheme="minorEastAsia" w:hAnsiTheme="minorEastAsia" w:eastAsiaTheme="minorEastAsia" w:cstheme="minorEastAsia"/>
                <w:spacing w:val="-6"/>
                <w:sz w:val="21"/>
                <w:szCs w:val="21"/>
                <w:highlight w:val="none"/>
              </w:rPr>
              <w:t>违反本规定，机动车驾驶员培训机构不严格按照规定进行培训或者在培训结业证书发放时弄虚作假，有下列情形之一的，由交通运输主管部门责令改正；拒不改正的，责令停业整顿：（二）未在备案的教练场地开展基础和场地驾驶培训的。</w:t>
            </w:r>
          </w:p>
          <w:p w14:paraId="2A7C249A">
            <w:pPr>
              <w:keepNext w:val="0"/>
              <w:keepLines w:val="0"/>
              <w:pageBreakBefore w:val="0"/>
              <w:widowControl/>
              <w:kinsoku w:val="0"/>
              <w:wordWrap/>
              <w:overflowPunct/>
              <w:topLinePunct w:val="0"/>
              <w:autoSpaceDE w:val="0"/>
              <w:autoSpaceDN w:val="0"/>
              <w:bidi w:val="0"/>
              <w:adjustRightInd w:val="0"/>
              <w:snapToGrid w:val="0"/>
              <w:spacing w:line="216" w:lineRule="auto"/>
              <w:ind w:left="0" w:right="0"/>
              <w:jc w:val="both"/>
              <w:textAlignment w:val="baseline"/>
              <w:rPr>
                <w:rFonts w:hint="eastAsia" w:asciiTheme="minorEastAsia" w:hAnsiTheme="minorEastAsia" w:eastAsiaTheme="minorEastAsia" w:cstheme="minorEastAsia"/>
                <w:spacing w:val="-6"/>
                <w:sz w:val="21"/>
                <w:szCs w:val="21"/>
                <w:highlight w:val="none"/>
              </w:rPr>
            </w:pPr>
            <w:r>
              <w:rPr>
                <w:rFonts w:hint="eastAsia" w:asciiTheme="minorEastAsia" w:hAnsiTheme="minorEastAsia" w:eastAsiaTheme="minorEastAsia" w:cstheme="minorEastAsia"/>
                <w:b/>
                <w:bCs/>
                <w:spacing w:val="-6"/>
                <w:sz w:val="21"/>
                <w:szCs w:val="21"/>
                <w:highlight w:val="none"/>
              </w:rPr>
              <w:t>《山东省道路运输条例》</w:t>
            </w:r>
          </w:p>
          <w:p w14:paraId="055632E2">
            <w:pPr>
              <w:keepNext w:val="0"/>
              <w:keepLines w:val="0"/>
              <w:pageBreakBefore w:val="0"/>
              <w:widowControl/>
              <w:kinsoku w:val="0"/>
              <w:wordWrap/>
              <w:overflowPunct/>
              <w:topLinePunct w:val="0"/>
              <w:autoSpaceDE w:val="0"/>
              <w:autoSpaceDN w:val="0"/>
              <w:bidi w:val="0"/>
              <w:adjustRightInd w:val="0"/>
              <w:snapToGrid w:val="0"/>
              <w:spacing w:line="230" w:lineRule="auto"/>
              <w:ind w:left="0" w:right="0" w:firstLine="18"/>
              <w:jc w:val="both"/>
              <w:textAlignment w:val="baseline"/>
              <w:rPr>
                <w:rFonts w:hint="eastAsia" w:asciiTheme="minorEastAsia" w:hAnsiTheme="minorEastAsia" w:eastAsiaTheme="minorEastAsia" w:cstheme="minorEastAsia"/>
                <w:spacing w:val="-6"/>
                <w:sz w:val="21"/>
                <w:szCs w:val="21"/>
                <w:highlight w:val="none"/>
                <w:lang w:eastAsia="zh-CN"/>
              </w:rPr>
            </w:pPr>
            <w:r>
              <w:rPr>
                <w:rFonts w:hint="eastAsia" w:asciiTheme="minorEastAsia" w:hAnsiTheme="minorEastAsia" w:eastAsiaTheme="minorEastAsia" w:cstheme="minorEastAsia"/>
                <w:b/>
                <w:bCs/>
                <w:spacing w:val="-6"/>
                <w:sz w:val="21"/>
                <w:szCs w:val="21"/>
                <w:highlight w:val="none"/>
              </w:rPr>
              <w:t>第六十五条</w:t>
            </w:r>
            <w:r>
              <w:rPr>
                <w:rFonts w:hint="eastAsia" w:asciiTheme="minorEastAsia" w:hAnsiTheme="minorEastAsia" w:eastAsiaTheme="minorEastAsia" w:cstheme="minorEastAsia"/>
                <w:b/>
                <w:bCs/>
                <w:spacing w:val="-6"/>
                <w:sz w:val="21"/>
                <w:szCs w:val="21"/>
                <w:highlight w:val="none"/>
                <w:lang w:eastAsia="zh-CN"/>
              </w:rPr>
              <w:t>第三项</w:t>
            </w:r>
            <w:r>
              <w:rPr>
                <w:rFonts w:hint="eastAsia" w:asciiTheme="minorEastAsia" w:hAnsiTheme="minorEastAsia" w:eastAsiaTheme="minorEastAsia" w:cstheme="minorEastAsia"/>
                <w:spacing w:val="-6"/>
                <w:sz w:val="21"/>
                <w:szCs w:val="21"/>
                <w:highlight w:val="none"/>
              </w:rPr>
              <w:t>违反本条例规定，有下列行为之一的，由县级以上人民政府交通运输主管部门责令改正，处一千元以上三千元以下罚款，有违法所得的，没收违法所得</w:t>
            </w:r>
            <w:r>
              <w:rPr>
                <w:rFonts w:hint="eastAsia" w:asciiTheme="minorEastAsia" w:hAnsiTheme="minorEastAsia" w:eastAsiaTheme="minorEastAsia" w:cstheme="minorEastAsia"/>
                <w:spacing w:val="-6"/>
                <w:sz w:val="21"/>
                <w:szCs w:val="21"/>
                <w:highlight w:val="none"/>
                <w:lang w:eastAsia="zh-CN"/>
              </w:rPr>
              <w:t>：</w:t>
            </w:r>
          </w:p>
          <w:p w14:paraId="04D67E4E">
            <w:pPr>
              <w:keepNext w:val="0"/>
              <w:keepLines w:val="0"/>
              <w:pageBreakBefore w:val="0"/>
              <w:widowControl/>
              <w:numPr>
                <w:ilvl w:val="0"/>
                <w:numId w:val="2"/>
              </w:numPr>
              <w:kinsoku w:val="0"/>
              <w:wordWrap/>
              <w:overflowPunct/>
              <w:topLinePunct w:val="0"/>
              <w:autoSpaceDE w:val="0"/>
              <w:autoSpaceDN w:val="0"/>
              <w:bidi w:val="0"/>
              <w:adjustRightInd w:val="0"/>
              <w:snapToGrid w:val="0"/>
              <w:spacing w:line="225" w:lineRule="auto"/>
              <w:ind w:left="0" w:leftChars="0" w:right="0" w:rightChars="0" w:hanging="25" w:firstLineChars="0"/>
              <w:jc w:val="both"/>
              <w:textAlignment w:val="baseline"/>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spacing w:val="-6"/>
                <w:sz w:val="21"/>
                <w:szCs w:val="21"/>
                <w:highlight w:val="none"/>
              </w:rPr>
              <w:t>机动车驾驶员培训单位未按照规定使用教练车标识、未安装和使用计时培训系统、未在规定的教学场地内培训或者未按照国家有关规定对教练车进行定期维护和检测的。</w:t>
            </w:r>
          </w:p>
        </w:tc>
        <w:tc>
          <w:tcPr>
            <w:tcW w:w="229" w:type="pct"/>
            <w:vAlign w:val="center"/>
          </w:tcPr>
          <w:p w14:paraId="1225F2BF">
            <w:pPr>
              <w:keepNext w:val="0"/>
              <w:keepLines w:val="0"/>
              <w:pageBreakBefore w:val="0"/>
              <w:wordWrap/>
              <w:overflowPunct/>
              <w:topLinePunct w:val="0"/>
              <w:bidi w:val="0"/>
              <w:spacing w:line="237" w:lineRule="auto"/>
              <w:ind w:left="0" w:right="0"/>
              <w:jc w:val="center"/>
              <w:rPr>
                <w:rFonts w:hint="eastAsia" w:asciiTheme="minorEastAsia" w:hAnsiTheme="minorEastAsia" w:eastAsiaTheme="minorEastAsia" w:cstheme="minorEastAsia"/>
                <w:spacing w:val="-10"/>
                <w:sz w:val="21"/>
                <w:szCs w:val="21"/>
              </w:rPr>
            </w:pPr>
            <w:r>
              <w:rPr>
                <w:rFonts w:hint="eastAsia" w:asciiTheme="minorEastAsia" w:hAnsiTheme="minorEastAsia" w:eastAsiaTheme="minorEastAsia" w:cstheme="minorEastAsia"/>
                <w:b/>
                <w:bCs/>
                <w:spacing w:val="-3"/>
                <w:sz w:val="21"/>
                <w:szCs w:val="21"/>
                <w:highlight w:val="none"/>
              </w:rPr>
              <w:t>★</w:t>
            </w:r>
          </w:p>
        </w:tc>
        <w:tc>
          <w:tcPr>
            <w:tcW w:w="748" w:type="pct"/>
            <w:vAlign w:val="center"/>
          </w:tcPr>
          <w:p w14:paraId="6CB4C959">
            <w:pPr>
              <w:keepNext w:val="0"/>
              <w:keepLines w:val="0"/>
              <w:pageBreakBefore w:val="0"/>
              <w:wordWrap/>
              <w:overflowPunct/>
              <w:topLinePunct w:val="0"/>
              <w:bidi w:val="0"/>
              <w:spacing w:line="216" w:lineRule="auto"/>
              <w:ind w:left="0" w:right="0"/>
              <w:jc w:val="both"/>
              <w:rPr>
                <w:rFonts w:hint="eastAsia" w:asciiTheme="minorEastAsia" w:hAnsiTheme="minorEastAsia" w:eastAsiaTheme="minorEastAsia" w:cstheme="minorEastAsia"/>
                <w:spacing w:val="-3"/>
                <w:sz w:val="21"/>
                <w:szCs w:val="21"/>
                <w:lang w:val="en-US" w:eastAsia="en-US"/>
              </w:rPr>
            </w:pPr>
            <w:r>
              <w:rPr>
                <w:rFonts w:hint="eastAsia" w:asciiTheme="minorEastAsia" w:hAnsiTheme="minorEastAsia" w:eastAsiaTheme="minorEastAsia" w:cstheme="minorEastAsia"/>
                <w:spacing w:val="-5"/>
                <w:sz w:val="21"/>
                <w:szCs w:val="21"/>
                <w:highlight w:val="none"/>
                <w:lang w:val="en-US" w:eastAsia="zh-CN"/>
              </w:rPr>
              <w:t>机动车驾驶培训机构要按照备案的教练场地进行科目二培训，按照公安机关交通管理部门指定的路线和时间进行科目三培训，教练员必须做到随车指导。</w:t>
            </w:r>
          </w:p>
        </w:tc>
        <w:tc>
          <w:tcPr>
            <w:tcW w:w="435" w:type="pct"/>
            <w:vAlign w:val="center"/>
          </w:tcPr>
          <w:p w14:paraId="15886424">
            <w:pPr>
              <w:keepNext w:val="0"/>
              <w:keepLines w:val="0"/>
              <w:pageBreakBefore w:val="0"/>
              <w:wordWrap/>
              <w:overflowPunct/>
              <w:topLinePunct w:val="0"/>
              <w:bidi w:val="0"/>
              <w:spacing w:line="222" w:lineRule="auto"/>
              <w:ind w:left="0" w:right="0" w:rightChars="0"/>
              <w:jc w:val="center"/>
              <w:rPr>
                <w:rFonts w:hint="eastAsia" w:asciiTheme="minorEastAsia" w:hAnsiTheme="minorEastAsia" w:eastAsiaTheme="minorEastAsia" w:cstheme="minorEastAsia"/>
                <w:spacing w:val="-18"/>
                <w:sz w:val="21"/>
                <w:szCs w:val="21"/>
                <w:lang w:eastAsia="zh-CN"/>
              </w:rPr>
            </w:pPr>
            <w:r>
              <w:rPr>
                <w:rFonts w:hint="eastAsia" w:asciiTheme="minorEastAsia" w:hAnsiTheme="minorEastAsia" w:eastAsiaTheme="minorEastAsia" w:cstheme="minorEastAsia"/>
                <w:spacing w:val="-18"/>
                <w:sz w:val="21"/>
                <w:szCs w:val="21"/>
                <w:highlight w:val="none"/>
                <w:lang w:eastAsia="zh-CN"/>
              </w:rPr>
              <w:t>荣成市交通运输综合执法大队</w:t>
            </w:r>
            <w:r>
              <w:rPr>
                <w:rFonts w:hint="eastAsia" w:asciiTheme="minorEastAsia" w:hAnsiTheme="minorEastAsia" w:eastAsiaTheme="minorEastAsia" w:cstheme="minorEastAsia"/>
                <w:spacing w:val="-18"/>
                <w:sz w:val="21"/>
                <w:szCs w:val="21"/>
                <w:highlight w:val="none"/>
                <w:lang w:val="en-US" w:eastAsia="zh-CN"/>
              </w:rPr>
              <w:t>0631-7584776</w:t>
            </w:r>
          </w:p>
        </w:tc>
      </w:tr>
    </w:tbl>
    <w:p w14:paraId="7D2B425C">
      <w:pPr>
        <w:rPr>
          <w:rFonts w:hint="eastAsia" w:asciiTheme="minorEastAsia" w:hAnsiTheme="minorEastAsia" w:eastAsiaTheme="minorEastAsia" w:cstheme="minorEastAsia"/>
          <w:sz w:val="21"/>
          <w:szCs w:val="21"/>
        </w:rPr>
      </w:pPr>
    </w:p>
    <w:p w14:paraId="09C0C6D1">
      <w:pPr>
        <w:spacing w:before="43" w:line="214" w:lineRule="auto"/>
        <w:ind w:left="14" w:firstLine="208" w:firstLineChars="100"/>
        <w:jc w:val="both"/>
        <w:rPr>
          <w:rFonts w:hint="eastAsia" w:ascii="方正小标宋简体" w:hAnsi="方正小标宋简体" w:eastAsia="方正小标宋简体" w:cs="方正小标宋简体"/>
          <w:sz w:val="28"/>
          <w:szCs w:val="28"/>
        </w:rPr>
      </w:pPr>
      <w:r>
        <w:rPr>
          <w:rFonts w:hint="eastAsia" w:asciiTheme="minorEastAsia" w:hAnsiTheme="minorEastAsia" w:eastAsiaTheme="minorEastAsia" w:cstheme="minorEastAsia"/>
          <w:spacing w:val="-1"/>
          <w:sz w:val="21"/>
          <w:szCs w:val="21"/>
        </w:rPr>
        <w:t>备注：发生频率较高的风险等级为★★★,发生频率一</w:t>
      </w:r>
      <w:r>
        <w:rPr>
          <w:rFonts w:hint="eastAsia" w:asciiTheme="minorEastAsia" w:hAnsiTheme="minorEastAsia" w:eastAsiaTheme="minorEastAsia" w:cstheme="minorEastAsia"/>
          <w:spacing w:val="-2"/>
          <w:sz w:val="21"/>
          <w:szCs w:val="21"/>
        </w:rPr>
        <w:t>般的风险等级为★★,发生频率较少的风险等级为★</w:t>
      </w:r>
    </w:p>
    <w:sectPr>
      <w:pgSz w:w="16834" w:h="11909" w:orient="landscape"/>
      <w:pgMar w:top="511" w:right="397" w:bottom="596" w:left="39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DE244A"/>
    <w:multiLevelType w:val="singleLevel"/>
    <w:tmpl w:val="F5DE244A"/>
    <w:lvl w:ilvl="0" w:tentative="0">
      <w:start w:val="2"/>
      <w:numFmt w:val="chineseCounting"/>
      <w:suff w:val="nothing"/>
      <w:lvlText w:val="（%1）"/>
      <w:lvlJc w:val="left"/>
      <w:rPr>
        <w:rFonts w:hint="eastAsia"/>
      </w:rPr>
    </w:lvl>
  </w:abstractNum>
  <w:abstractNum w:abstractNumId="1">
    <w:nsid w:val="6F7E9704"/>
    <w:multiLevelType w:val="singleLevel"/>
    <w:tmpl w:val="6F7E9704"/>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296707"/>
    <w:rsid w:val="03F31035"/>
    <w:rsid w:val="05DFB64D"/>
    <w:rsid w:val="06602429"/>
    <w:rsid w:val="066C3A98"/>
    <w:rsid w:val="092B6537"/>
    <w:rsid w:val="10896346"/>
    <w:rsid w:val="11592BC4"/>
    <w:rsid w:val="154060CF"/>
    <w:rsid w:val="17F11DA8"/>
    <w:rsid w:val="1ECFB303"/>
    <w:rsid w:val="1FC5F504"/>
    <w:rsid w:val="1FFF5C75"/>
    <w:rsid w:val="25FAC4CE"/>
    <w:rsid w:val="2799E7B0"/>
    <w:rsid w:val="2FEB121E"/>
    <w:rsid w:val="357FDCB0"/>
    <w:rsid w:val="36FFE048"/>
    <w:rsid w:val="37DF21D4"/>
    <w:rsid w:val="37FE8B46"/>
    <w:rsid w:val="37FF2272"/>
    <w:rsid w:val="38F07EA9"/>
    <w:rsid w:val="39512FC5"/>
    <w:rsid w:val="3CFD9D31"/>
    <w:rsid w:val="3D580F58"/>
    <w:rsid w:val="3D7FC136"/>
    <w:rsid w:val="3EF1C165"/>
    <w:rsid w:val="3F9FC80B"/>
    <w:rsid w:val="40E56185"/>
    <w:rsid w:val="41525309"/>
    <w:rsid w:val="43521E38"/>
    <w:rsid w:val="4F63DD1A"/>
    <w:rsid w:val="4F85DC01"/>
    <w:rsid w:val="5242637C"/>
    <w:rsid w:val="52C86949"/>
    <w:rsid w:val="546A4DF5"/>
    <w:rsid w:val="54FF4FFE"/>
    <w:rsid w:val="55F762A9"/>
    <w:rsid w:val="56AEDA01"/>
    <w:rsid w:val="575651A9"/>
    <w:rsid w:val="57E502DB"/>
    <w:rsid w:val="59FF547D"/>
    <w:rsid w:val="5AD54D46"/>
    <w:rsid w:val="5BBFEB19"/>
    <w:rsid w:val="5BEF495D"/>
    <w:rsid w:val="5BFD8178"/>
    <w:rsid w:val="5C7F27A4"/>
    <w:rsid w:val="5CFFE2DB"/>
    <w:rsid w:val="5DB50F1C"/>
    <w:rsid w:val="5E77B9F2"/>
    <w:rsid w:val="5EE5BDAC"/>
    <w:rsid w:val="5F66D07F"/>
    <w:rsid w:val="5F75A42B"/>
    <w:rsid w:val="5F7E9B63"/>
    <w:rsid w:val="5FBF800F"/>
    <w:rsid w:val="5FF5EBAD"/>
    <w:rsid w:val="5FFF05AF"/>
    <w:rsid w:val="5FFF9166"/>
    <w:rsid w:val="61E6342A"/>
    <w:rsid w:val="677FA1AE"/>
    <w:rsid w:val="67BDBA21"/>
    <w:rsid w:val="6B3671AA"/>
    <w:rsid w:val="6CB7FDCC"/>
    <w:rsid w:val="6D77BAB3"/>
    <w:rsid w:val="6D964756"/>
    <w:rsid w:val="6E7DEF1D"/>
    <w:rsid w:val="6F766FF1"/>
    <w:rsid w:val="6FBBD181"/>
    <w:rsid w:val="6FFD1E4B"/>
    <w:rsid w:val="6FFF015C"/>
    <w:rsid w:val="730FAF26"/>
    <w:rsid w:val="73CF5C6F"/>
    <w:rsid w:val="73DF4147"/>
    <w:rsid w:val="73E52E39"/>
    <w:rsid w:val="73E7B268"/>
    <w:rsid w:val="73EFE234"/>
    <w:rsid w:val="75DD75BB"/>
    <w:rsid w:val="77A73D8C"/>
    <w:rsid w:val="79B7D3D3"/>
    <w:rsid w:val="79FEEC4E"/>
    <w:rsid w:val="7AFB733D"/>
    <w:rsid w:val="7BBA79A7"/>
    <w:rsid w:val="7BD82826"/>
    <w:rsid w:val="7BFAC6EE"/>
    <w:rsid w:val="7BFBFD56"/>
    <w:rsid w:val="7CFFDC90"/>
    <w:rsid w:val="7D7707A5"/>
    <w:rsid w:val="7D77BDC1"/>
    <w:rsid w:val="7DFF4491"/>
    <w:rsid w:val="7EED2B1F"/>
    <w:rsid w:val="7EFE0E18"/>
    <w:rsid w:val="7F6769EA"/>
    <w:rsid w:val="7F7FFEA2"/>
    <w:rsid w:val="7FAE77C2"/>
    <w:rsid w:val="7FD90DBA"/>
    <w:rsid w:val="7FDB38C8"/>
    <w:rsid w:val="7FDDEAB3"/>
    <w:rsid w:val="837E1373"/>
    <w:rsid w:val="9DFF4152"/>
    <w:rsid w:val="9F7F63DA"/>
    <w:rsid w:val="A87FFB7D"/>
    <w:rsid w:val="AEAB6C98"/>
    <w:rsid w:val="AEBEF8D5"/>
    <w:rsid w:val="AFFF58AB"/>
    <w:rsid w:val="B5FE7C11"/>
    <w:rsid w:val="B7E71DB3"/>
    <w:rsid w:val="B7F79D9A"/>
    <w:rsid w:val="BAF776E8"/>
    <w:rsid w:val="BDCF35DF"/>
    <w:rsid w:val="BECFBA76"/>
    <w:rsid w:val="BFE7E807"/>
    <w:rsid w:val="C7B56734"/>
    <w:rsid w:val="C9E891E7"/>
    <w:rsid w:val="CFBF758B"/>
    <w:rsid w:val="CFFD634A"/>
    <w:rsid w:val="D6FC9312"/>
    <w:rsid w:val="D7FF830D"/>
    <w:rsid w:val="D9B7FF9D"/>
    <w:rsid w:val="DBED6365"/>
    <w:rsid w:val="DDDC2433"/>
    <w:rsid w:val="DDF7C943"/>
    <w:rsid w:val="DE7EF7C7"/>
    <w:rsid w:val="DEFE7B40"/>
    <w:rsid w:val="DFBE6AC3"/>
    <w:rsid w:val="DFFD4CA6"/>
    <w:rsid w:val="DFFD74A9"/>
    <w:rsid w:val="E5D73D2B"/>
    <w:rsid w:val="E7F6972C"/>
    <w:rsid w:val="EBFF2DB8"/>
    <w:rsid w:val="ED9FA2D7"/>
    <w:rsid w:val="EEFF9597"/>
    <w:rsid w:val="EFCEC08B"/>
    <w:rsid w:val="EFCF8383"/>
    <w:rsid w:val="EFF71A6D"/>
    <w:rsid w:val="F5FF2198"/>
    <w:rsid w:val="F6DB8DD3"/>
    <w:rsid w:val="F76F7EEF"/>
    <w:rsid w:val="F775B418"/>
    <w:rsid w:val="F7E2EEA2"/>
    <w:rsid w:val="F7FDF529"/>
    <w:rsid w:val="F9CA9BDD"/>
    <w:rsid w:val="FB7FB993"/>
    <w:rsid w:val="FBBCD22D"/>
    <w:rsid w:val="FCED4CCD"/>
    <w:rsid w:val="FD1D3036"/>
    <w:rsid w:val="FDBD0438"/>
    <w:rsid w:val="FE33903E"/>
    <w:rsid w:val="FE3F4C43"/>
    <w:rsid w:val="FEAF196B"/>
    <w:rsid w:val="FEFBB4DC"/>
    <w:rsid w:val="FEFD99ED"/>
    <w:rsid w:val="FFAFA3C7"/>
    <w:rsid w:val="FFBFB450"/>
    <w:rsid w:val="FFBFD6BA"/>
    <w:rsid w:val="FFDDCD73"/>
    <w:rsid w:val="FFFE4EBF"/>
    <w:rsid w:val="FFFF8023"/>
    <w:rsid w:val="FFFF92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7754</Words>
  <Characters>8055</Characters>
  <TotalTime>9</TotalTime>
  <ScaleCrop>false</ScaleCrop>
  <LinksUpToDate>false</LinksUpToDate>
  <CharactersWithSpaces>8055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2026-08-27T09:06:00Z</dcterms:created>
  <dc:creator>faguike</dc:creator>
  <cp:lastModifiedBy>Administrator</cp:lastModifiedBy>
  <cp:lastPrinted>2026-10-16T19:00:00Z</cp:lastPrinted>
  <dcterms:modified xsi:type="dcterms:W3CDTF">2026-10-15T08:16:30Z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2026-10-12T10:12:18Z</vt:filetime>
  </property>
  <property fmtid="{D5CDD505-2E9C-101B-9397-08002B2CF9AE}" pid="4" name="KSOProductBuildVer">
    <vt:lpwstr>2052-12.1.0.28505</vt:lpwstr>
  </property>
  <property fmtid="{D5CDD505-2E9C-101B-9397-08002B2CF9AE}" pid="5" name="ICV">
    <vt:lpwstr>32518F9930E845228584A0835DD48F4A_13</vt:lpwstr>
  </property>
  <property fmtid="{D5CDD505-2E9C-101B-9397-08002B2CF9AE}" pid="6" name="KSOTemplateDocerSaveRecord">
    <vt:lpwstr>eyJoZGlkIjoiZjFjNGUyOTNkMmU0MDE2ODFmNzFkZDdlNGNmMzI3Y2IiLCJ1c2VySWQiOiIzMzM1MjM2NjkifQ==</vt:lpwstr>
  </property>
</Properties>
</file>