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tLeast"/>
        <w:jc w:val="center"/>
        <w:rPr>
          <w:rFonts w:hint="eastAsia" w:ascii="方正小标宋简体" w:hAnsi="宋体" w:eastAsia="方正小标宋简体" w:cs="宋体"/>
          <w:color w:val="000000"/>
          <w:kern w:val="0"/>
          <w:sz w:val="44"/>
          <w:szCs w:val="44"/>
          <w:lang w:eastAsia="zh-CN"/>
        </w:rPr>
      </w:pPr>
      <w:r>
        <w:rPr>
          <w:rFonts w:hint="eastAsia" w:ascii="方正小标宋简体" w:hAnsi="宋体" w:eastAsia="方正小标宋简体" w:cs="宋体"/>
          <w:color w:val="000000"/>
          <w:kern w:val="0"/>
          <w:sz w:val="44"/>
          <w:szCs w:val="44"/>
          <w:lang w:eastAsia="zh-CN"/>
        </w:rPr>
        <w:t>荣成市自然资源局</w:t>
      </w:r>
      <w:r>
        <w:rPr>
          <w:rFonts w:hint="eastAsia" w:ascii="方正小标宋简体" w:hAnsi="宋体" w:eastAsia="方正小标宋简体" w:cs="宋体"/>
          <w:color w:val="000000"/>
          <w:kern w:val="0"/>
          <w:sz w:val="44"/>
          <w:szCs w:val="44"/>
        </w:rPr>
        <w:t>行政执法主体</w:t>
      </w:r>
      <w:r>
        <w:rPr>
          <w:rFonts w:hint="eastAsia" w:ascii="方正小标宋简体" w:hAnsi="宋体" w:eastAsia="方正小标宋简体" w:cs="宋体"/>
          <w:color w:val="000000"/>
          <w:kern w:val="0"/>
          <w:sz w:val="44"/>
          <w:szCs w:val="44"/>
          <w:lang w:eastAsia="zh-CN"/>
        </w:rPr>
        <w:t>资格清单</w:t>
      </w:r>
    </w:p>
    <w:tbl>
      <w:tblPr>
        <w:tblStyle w:val="5"/>
        <w:tblW w:w="106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70"/>
        <w:gridCol w:w="5872"/>
        <w:gridCol w:w="654"/>
        <w:gridCol w:w="23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exact"/>
          <w:jc w:val="center"/>
        </w:trPr>
        <w:tc>
          <w:tcPr>
            <w:tcW w:w="1770"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单位全称</w:t>
            </w:r>
          </w:p>
        </w:tc>
        <w:tc>
          <w:tcPr>
            <w:tcW w:w="8870" w:type="dxa"/>
            <w:gridSpan w:val="3"/>
            <w:tcBorders>
              <w:top w:val="single" w:color="000000" w:sz="6" w:space="0"/>
              <w:left w:val="single" w:color="000000" w:sz="6" w:space="0"/>
              <w:bottom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荣成市自然资源局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exact"/>
          <w:jc w:val="center"/>
        </w:trPr>
        <w:tc>
          <w:tcPr>
            <w:tcW w:w="1770"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办公地址</w:t>
            </w:r>
          </w:p>
        </w:tc>
        <w:tc>
          <w:tcPr>
            <w:tcW w:w="5872" w:type="dxa"/>
            <w:tcBorders>
              <w:top w:val="single" w:color="000000" w:sz="6" w:space="0"/>
              <w:left w:val="single" w:color="000000" w:sz="6"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荣成市观海东路14号</w:t>
            </w:r>
          </w:p>
        </w:tc>
        <w:tc>
          <w:tcPr>
            <w:tcW w:w="654" w:type="dxa"/>
            <w:tcBorders>
              <w:top w:val="single" w:color="000000" w:sz="6" w:space="0"/>
              <w:left w:val="single" w:color="000000" w:sz="6" w:space="0"/>
              <w:bottom w:val="single" w:color="000000" w:sz="6" w:space="0"/>
              <w:right w:val="single" w:color="000000" w:sz="6" w:space="0"/>
            </w:tcBorders>
            <w:vAlign w:val="center"/>
          </w:tcPr>
          <w:p>
            <w:pPr>
              <w:spacing w:line="260" w:lineRule="exact"/>
              <w:rPr>
                <w:rFonts w:ascii="仿宋_GB2312" w:hAnsi="宋体" w:eastAsia="仿宋_GB2312"/>
                <w:color w:val="000000"/>
              </w:rPr>
            </w:pPr>
            <w:r>
              <w:rPr>
                <w:rFonts w:hint="eastAsia" w:ascii="仿宋_GB2312" w:hAnsi="宋体" w:eastAsia="仿宋_GB2312"/>
                <w:color w:val="000000"/>
              </w:rPr>
              <w:t>邮编</w:t>
            </w:r>
          </w:p>
        </w:tc>
        <w:tc>
          <w:tcPr>
            <w:tcW w:w="2344" w:type="dxa"/>
            <w:tcBorders>
              <w:top w:val="single" w:color="000000" w:sz="6" w:space="0"/>
              <w:left w:val="single" w:color="000000" w:sz="6" w:space="0"/>
              <w:bottom w:val="single" w:color="000000" w:sz="6" w:space="0"/>
              <w:right w:val="single" w:color="auto" w:sz="8"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264300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exact"/>
          <w:jc w:val="center"/>
        </w:trPr>
        <w:tc>
          <w:tcPr>
            <w:tcW w:w="1770"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机构性质</w:t>
            </w:r>
          </w:p>
        </w:tc>
        <w:tc>
          <w:tcPr>
            <w:tcW w:w="8870" w:type="dxa"/>
            <w:gridSpan w:val="3"/>
            <w:tcBorders>
              <w:top w:val="single" w:color="000000" w:sz="6" w:space="0"/>
              <w:left w:val="single" w:color="000000" w:sz="6" w:space="0"/>
              <w:bottom w:val="single" w:color="000000" w:sz="6" w:space="0"/>
              <w:right w:val="single" w:color="auto" w:sz="8" w:space="0"/>
            </w:tcBorders>
          </w:tcPr>
          <w:p>
            <w:pPr>
              <w:spacing w:line="440" w:lineRule="exact"/>
              <w:ind w:firstLine="440" w:firstLineChars="200"/>
              <w:rPr>
                <w:rFonts w:ascii="仿宋_GB2312" w:hAnsi="宋体" w:eastAsia="仿宋_GB2312"/>
                <w:color w:val="000000"/>
              </w:rPr>
            </w:pPr>
            <w:r>
              <w:rPr>
                <w:rFonts w:eastAsia="仿宋_GB2312"/>
                <w:sz w:val="22"/>
                <w:szCs w:val="32"/>
              </w:rPr>
              <w:sym w:font="Wingdings 2" w:char="F052"/>
            </w:r>
            <w:r>
              <w:rPr>
                <w:rFonts w:hint="eastAsia" w:ascii="仿宋_GB2312" w:hAnsi="宋体" w:eastAsia="仿宋_GB2312"/>
                <w:color w:val="000000"/>
              </w:rPr>
              <w:t xml:space="preserve">行政机关  </w:t>
            </w:r>
            <w:r>
              <w:rPr>
                <w:rFonts w:hint="eastAsia" w:ascii="仿宋_GB2312" w:hAnsi="宋体" w:eastAsia="仿宋_GB2312"/>
                <w:color w:val="000000"/>
                <w:szCs w:val="32"/>
              </w:rPr>
              <w:t xml:space="preserve"> □</w:t>
            </w:r>
            <w:r>
              <w:rPr>
                <w:rFonts w:hint="eastAsia" w:ascii="仿宋_GB2312" w:hAnsi="宋体" w:eastAsia="仿宋_GB2312"/>
                <w:color w:val="000000"/>
              </w:rPr>
              <w:t xml:space="preserve">事业单位 </w:t>
            </w:r>
            <w:r>
              <w:rPr>
                <w:rFonts w:hint="eastAsia" w:ascii="仿宋_GB2312" w:hAnsi="宋体" w:eastAsia="仿宋_GB2312"/>
                <w:color w:val="000000"/>
                <w:szCs w:val="32"/>
              </w:rPr>
              <w:t xml:space="preserve"> </w:t>
            </w:r>
            <w:r>
              <w:rPr>
                <w:rFonts w:hint="eastAsia" w:ascii="仿宋_GB2312" w:hAnsi="宋体" w:eastAsia="仿宋_GB2312"/>
                <w:color w:val="000000"/>
              </w:rPr>
              <w:t xml:space="preserve">   </w:t>
            </w:r>
            <w:r>
              <w:rPr>
                <w:rFonts w:hint="eastAsia" w:ascii="仿宋_GB2312" w:hAnsi="宋体" w:eastAsia="仿宋_GB2312"/>
                <w:color w:val="000000"/>
                <w:szCs w:val="32"/>
              </w:rPr>
              <w:t>□</w:t>
            </w:r>
            <w:r>
              <w:rPr>
                <w:rFonts w:hint="eastAsia" w:ascii="仿宋_GB2312" w:hAnsi="宋体" w:eastAsia="仿宋_GB2312"/>
                <w:color w:val="000000"/>
              </w:rPr>
              <w:t xml:space="preserve">内设机构  </w:t>
            </w:r>
            <w:r>
              <w:rPr>
                <w:rFonts w:hint="eastAsia" w:ascii="仿宋_GB2312" w:hAnsi="宋体" w:eastAsia="仿宋_GB2312"/>
                <w:color w:val="000000"/>
                <w:szCs w:val="36"/>
              </w:rPr>
              <w:t xml:space="preserve"> </w:t>
            </w:r>
            <w:r>
              <w:rPr>
                <w:rFonts w:hint="eastAsia" w:ascii="仿宋_GB2312" w:hAnsi="宋体" w:eastAsia="仿宋_GB2312"/>
                <w:color w:val="000000"/>
                <w:szCs w:val="32"/>
              </w:rPr>
              <w:t>□</w:t>
            </w:r>
            <w:r>
              <w:rPr>
                <w:rFonts w:hint="eastAsia" w:ascii="仿宋_GB2312" w:hAnsi="宋体" w:eastAsia="仿宋_GB2312"/>
                <w:color w:val="000000"/>
              </w:rPr>
              <w:t xml:space="preserve">临时机构     </w:t>
            </w:r>
            <w:r>
              <w:rPr>
                <w:rFonts w:hint="eastAsia" w:ascii="仿宋_GB2312" w:hAnsi="宋体" w:eastAsia="仿宋_GB2312"/>
                <w:color w:val="000000"/>
                <w:szCs w:val="32"/>
              </w:rPr>
              <w:t>□</w:t>
            </w:r>
            <w:r>
              <w:rPr>
                <w:rFonts w:hint="eastAsia" w:ascii="仿宋_GB2312" w:hAnsi="宋体" w:eastAsia="仿宋_GB2312"/>
                <w:color w:val="000000"/>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exact"/>
          <w:jc w:val="center"/>
        </w:trPr>
        <w:tc>
          <w:tcPr>
            <w:tcW w:w="1770" w:type="dxa"/>
            <w:tcBorders>
              <w:top w:val="single" w:color="000000" w:sz="6" w:space="0"/>
              <w:left w:val="single" w:color="auto" w:sz="8" w:space="0"/>
              <w:bottom w:val="single" w:color="auto" w:sz="4" w:space="0"/>
              <w:right w:val="single" w:color="auto" w:sz="8" w:space="0"/>
            </w:tcBorders>
            <w:vAlign w:val="center"/>
          </w:tcPr>
          <w:p>
            <w:pPr>
              <w:spacing w:line="260" w:lineRule="exact"/>
              <w:jc w:val="center"/>
              <w:rPr>
                <w:rFonts w:ascii="仿宋_GB2312" w:hAnsi="宋体" w:eastAsia="仿宋_GB2312"/>
                <w:color w:val="000000"/>
                <w:szCs w:val="21"/>
              </w:rPr>
            </w:pPr>
            <w:r>
              <w:rPr>
                <w:rFonts w:hint="eastAsia" w:ascii="仿宋_GB2312" w:hAnsi="宋体" w:eastAsia="仿宋_GB2312"/>
                <w:color w:val="000000"/>
              </w:rPr>
              <w:t>主体类别</w:t>
            </w:r>
          </w:p>
        </w:tc>
        <w:tc>
          <w:tcPr>
            <w:tcW w:w="8870" w:type="dxa"/>
            <w:gridSpan w:val="3"/>
            <w:tcBorders>
              <w:top w:val="single" w:color="000000" w:sz="6" w:space="0"/>
              <w:left w:val="single" w:color="000000" w:sz="6" w:space="0"/>
              <w:bottom w:val="single" w:color="auto" w:sz="4" w:space="0"/>
              <w:right w:val="single" w:color="auto" w:sz="8" w:space="0"/>
            </w:tcBorders>
            <w:vAlign w:val="center"/>
          </w:tcPr>
          <w:p>
            <w:pPr>
              <w:spacing w:line="260" w:lineRule="exact"/>
              <w:rPr>
                <w:rFonts w:ascii="仿宋_GB2312" w:hAnsi="宋体" w:eastAsia="仿宋_GB2312"/>
                <w:color w:val="000000"/>
                <w:szCs w:val="21"/>
              </w:rPr>
            </w:pPr>
            <w:r>
              <w:rPr>
                <w:rFonts w:hint="eastAsia" w:ascii="仿宋_GB2312" w:hAnsi="宋体" w:eastAsia="仿宋_GB2312" w:cs="宋体"/>
                <w:color w:val="000000"/>
                <w:kern w:val="0"/>
                <w:szCs w:val="21"/>
              </w:rPr>
              <w:t xml:space="preserve">    </w:t>
            </w:r>
            <w:r>
              <w:rPr>
                <w:rFonts w:eastAsia="仿宋_GB2312"/>
                <w:sz w:val="22"/>
                <w:szCs w:val="32"/>
              </w:rPr>
              <w:sym w:font="Wingdings 2" w:char="F052"/>
            </w:r>
            <w:r>
              <w:rPr>
                <w:rFonts w:hint="eastAsia" w:ascii="仿宋_GB2312" w:hAnsi="宋体" w:eastAsia="仿宋_GB2312" w:cs="宋体"/>
                <w:color w:val="000000"/>
                <w:kern w:val="0"/>
                <w:szCs w:val="21"/>
              </w:rPr>
              <w:t xml:space="preserve">法定行政机关     </w:t>
            </w:r>
            <w:r>
              <w:rPr>
                <w:rFonts w:hint="eastAsia" w:ascii="仿宋_GB2312" w:hAnsi="宋体" w:eastAsia="仿宋_GB2312" w:cs="宋体"/>
                <w:color w:val="000000"/>
                <w:kern w:val="0"/>
                <w:szCs w:val="21"/>
              </w:rPr>
              <w:sym w:font="Wingdings 2" w:char="00A3"/>
            </w:r>
            <w:r>
              <w:rPr>
                <w:rFonts w:hint="eastAsia" w:ascii="仿宋_GB2312" w:hAnsi="宋体" w:eastAsia="仿宋_GB2312" w:cs="宋体"/>
                <w:color w:val="000000"/>
                <w:kern w:val="0"/>
                <w:szCs w:val="21"/>
              </w:rPr>
              <w:t xml:space="preserve">法律、法规授权的组织    </w:t>
            </w:r>
            <w:r>
              <w:rPr>
                <w:rFonts w:eastAsia="仿宋_GB2312"/>
                <w:sz w:val="22"/>
                <w:szCs w:val="32"/>
              </w:rPr>
              <w:sym w:font="Wingdings 2" w:char="00A3"/>
            </w:r>
            <w:r>
              <w:rPr>
                <w:rFonts w:hint="eastAsia" w:ascii="仿宋_GB2312" w:hAnsi="宋体" w:eastAsia="仿宋_GB2312" w:cs="宋体"/>
                <w:color w:val="000000"/>
                <w:kern w:val="0"/>
                <w:szCs w:val="21"/>
              </w:rPr>
              <w:t xml:space="preserve">依法受委托执法的组织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6" w:hRule="atLeast"/>
          <w:jc w:val="center"/>
        </w:trPr>
        <w:tc>
          <w:tcPr>
            <w:tcW w:w="1770"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执法职权</w:t>
            </w:r>
          </w:p>
          <w:p>
            <w:pPr>
              <w:spacing w:line="260" w:lineRule="exact"/>
              <w:jc w:val="center"/>
              <w:rPr>
                <w:rFonts w:ascii="仿宋_GB2312" w:hAnsi="宋体" w:eastAsia="仿宋_GB2312"/>
                <w:color w:val="000000"/>
              </w:rPr>
            </w:pPr>
            <w:r>
              <w:rPr>
                <w:rFonts w:hint="eastAsia" w:ascii="仿宋_GB2312" w:hAnsi="宋体" w:eastAsia="仿宋_GB2312"/>
                <w:color w:val="000000"/>
              </w:rPr>
              <w:t>类型</w:t>
            </w:r>
          </w:p>
        </w:tc>
        <w:tc>
          <w:tcPr>
            <w:tcW w:w="8870" w:type="dxa"/>
            <w:gridSpan w:val="3"/>
            <w:tcBorders>
              <w:top w:val="single" w:color="000000" w:sz="6" w:space="0"/>
              <w:left w:val="single" w:color="000000" w:sz="6" w:space="0"/>
              <w:right w:val="single" w:color="auto" w:sz="8" w:space="0"/>
            </w:tcBorders>
            <w:vAlign w:val="center"/>
          </w:tcPr>
          <w:p>
            <w:pPr>
              <w:spacing w:line="260" w:lineRule="exact"/>
              <w:rPr>
                <w:rFonts w:ascii="仿宋_GB2312" w:hAnsi="宋体" w:eastAsia="仿宋_GB2312"/>
                <w:color w:val="000000"/>
                <w:szCs w:val="32"/>
              </w:rPr>
            </w:pPr>
            <w:r>
              <w:rPr>
                <w:rFonts w:hint="eastAsia" w:ascii="仿宋_GB2312" w:hAnsi="宋体" w:eastAsia="仿宋_GB2312"/>
                <w:color w:val="000000"/>
                <w:szCs w:val="32"/>
              </w:rPr>
              <w:t xml:space="preserve">    </w:t>
            </w:r>
            <w:r>
              <w:rPr>
                <w:rFonts w:eastAsia="仿宋_GB2312"/>
                <w:sz w:val="22"/>
                <w:szCs w:val="32"/>
              </w:rPr>
              <w:sym w:font="Wingdings 2" w:char="F052"/>
            </w:r>
            <w:r>
              <w:rPr>
                <w:rFonts w:hint="eastAsia" w:ascii="仿宋_GB2312" w:hAnsi="宋体" w:eastAsia="仿宋_GB2312"/>
                <w:color w:val="000000"/>
                <w:szCs w:val="32"/>
              </w:rPr>
              <w:t xml:space="preserve">行政许可  </w:t>
            </w:r>
            <w:r>
              <w:rPr>
                <w:rFonts w:eastAsia="仿宋_GB2312"/>
                <w:sz w:val="22"/>
                <w:szCs w:val="32"/>
              </w:rPr>
              <w:sym w:font="Wingdings 2" w:char="F052"/>
            </w:r>
            <w:r>
              <w:rPr>
                <w:rFonts w:hint="eastAsia" w:ascii="仿宋_GB2312" w:hAnsi="宋体" w:eastAsia="仿宋_GB2312"/>
                <w:color w:val="000000"/>
                <w:szCs w:val="32"/>
              </w:rPr>
              <w:t xml:space="preserve">行政处罚  </w:t>
            </w:r>
            <w:r>
              <w:rPr>
                <w:rFonts w:eastAsia="仿宋_GB2312"/>
                <w:sz w:val="22"/>
                <w:szCs w:val="32"/>
              </w:rPr>
              <w:sym w:font="Wingdings 2" w:char="F052"/>
            </w:r>
            <w:r>
              <w:rPr>
                <w:rFonts w:hint="eastAsia" w:ascii="仿宋_GB2312" w:hAnsi="宋体" w:eastAsia="仿宋_GB2312"/>
                <w:color w:val="000000"/>
                <w:szCs w:val="32"/>
              </w:rPr>
              <w:t xml:space="preserve">行政强制  </w:t>
            </w:r>
            <w:r>
              <w:rPr>
                <w:rFonts w:eastAsia="仿宋_GB2312"/>
                <w:sz w:val="22"/>
                <w:szCs w:val="32"/>
              </w:rPr>
              <w:sym w:font="Wingdings 2" w:char="F052"/>
            </w:r>
            <w:r>
              <w:rPr>
                <w:rFonts w:hint="eastAsia" w:ascii="仿宋_GB2312" w:hAnsi="宋体" w:eastAsia="仿宋_GB2312"/>
                <w:color w:val="000000"/>
                <w:szCs w:val="32"/>
              </w:rPr>
              <w:t>行政征收</w:t>
            </w:r>
          </w:p>
          <w:p>
            <w:pPr>
              <w:spacing w:line="260" w:lineRule="exact"/>
              <w:rPr>
                <w:rFonts w:ascii="仿宋_GB2312" w:hAnsi="宋体" w:eastAsia="仿宋_GB2312"/>
                <w:color w:val="000000"/>
              </w:rPr>
            </w:pPr>
            <w:r>
              <w:rPr>
                <w:rFonts w:hint="eastAsia" w:ascii="仿宋_GB2312" w:hAnsi="宋体" w:eastAsia="仿宋_GB2312"/>
                <w:color w:val="000000"/>
                <w:szCs w:val="32"/>
              </w:rPr>
              <w:t xml:space="preserve">    □行政征用  </w:t>
            </w:r>
            <w:r>
              <w:rPr>
                <w:rFonts w:hint="eastAsia" w:ascii="仿宋_GB2312" w:hAnsi="宋体" w:eastAsia="仿宋_GB2312"/>
                <w:color w:val="000000"/>
                <w:szCs w:val="32"/>
              </w:rPr>
              <w:sym w:font="Wingdings 2" w:char="0052"/>
            </w:r>
            <w:r>
              <w:rPr>
                <w:rFonts w:hint="eastAsia" w:ascii="仿宋_GB2312" w:hAnsi="宋体" w:eastAsia="仿宋_GB2312"/>
                <w:color w:val="000000"/>
                <w:szCs w:val="32"/>
              </w:rPr>
              <w:t xml:space="preserve">行政检查  </w:t>
            </w:r>
            <w:r>
              <w:rPr>
                <w:rFonts w:eastAsia="仿宋_GB2312"/>
                <w:sz w:val="22"/>
                <w:szCs w:val="32"/>
              </w:rPr>
              <w:sym w:font="Wingdings 2" w:char="F052"/>
            </w:r>
            <w:r>
              <w:rPr>
                <w:rFonts w:hint="eastAsia" w:ascii="仿宋_GB2312" w:hAnsi="宋体" w:eastAsia="仿宋_GB2312"/>
                <w:color w:val="000000"/>
                <w:szCs w:val="32"/>
              </w:rPr>
              <w:t>其他行政执法行为</w:t>
            </w:r>
            <w:r>
              <w:rPr>
                <w:rFonts w:hint="eastAsia" w:ascii="仿宋_GB2312" w:hAnsi="宋体" w:eastAsia="仿宋_GB2312"/>
                <w:color w:val="000000"/>
                <w:szCs w:val="21"/>
                <w:u w:val="single"/>
              </w:rPr>
              <w:t xml:space="preserve">  行政</w:t>
            </w:r>
            <w:r>
              <w:rPr>
                <w:rFonts w:hint="eastAsia" w:ascii="仿宋_GB2312" w:hAnsi="宋体" w:eastAsia="仿宋_GB2312"/>
                <w:color w:val="000000"/>
                <w:szCs w:val="21"/>
                <w:u w:val="single"/>
                <w:lang w:eastAsia="zh-CN"/>
              </w:rPr>
              <w:t>确认、行政裁决</w:t>
            </w:r>
            <w:r>
              <w:rPr>
                <w:rFonts w:hint="eastAsia" w:ascii="仿宋_GB2312" w:hAnsi="宋体" w:eastAsia="仿宋_GB2312"/>
                <w:color w:val="000000"/>
                <w:szCs w:val="21"/>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770" w:type="dxa"/>
            <w:tcBorders>
              <w:top w:val="single" w:color="000000" w:sz="6" w:space="0"/>
              <w:left w:val="single" w:color="auto" w:sz="8" w:space="0"/>
              <w:bottom w:val="single" w:color="auto" w:sz="4" w:space="0"/>
              <w:right w:val="single" w:color="000000" w:sz="6" w:space="0"/>
            </w:tcBorders>
            <w:vAlign w:val="center"/>
          </w:tcPr>
          <w:p>
            <w:pPr>
              <w:spacing w:line="260" w:lineRule="exact"/>
              <w:ind w:firstLine="105" w:firstLineChars="50"/>
              <w:jc w:val="center"/>
              <w:rPr>
                <w:rFonts w:ascii="仿宋_GB2312" w:hAnsi="宋体" w:eastAsia="仿宋_GB2312"/>
                <w:color w:val="000000"/>
                <w:szCs w:val="21"/>
              </w:rPr>
            </w:pPr>
            <w:r>
              <w:rPr>
                <w:rFonts w:hint="eastAsia" w:ascii="仿宋_GB2312" w:hAnsi="宋体" w:eastAsia="仿宋_GB2312"/>
                <w:color w:val="000000"/>
                <w:szCs w:val="21"/>
              </w:rPr>
              <w:t>经费来源</w:t>
            </w:r>
          </w:p>
        </w:tc>
        <w:tc>
          <w:tcPr>
            <w:tcW w:w="8870" w:type="dxa"/>
            <w:gridSpan w:val="3"/>
            <w:tcBorders>
              <w:top w:val="single" w:color="000000" w:sz="6" w:space="0"/>
              <w:left w:val="single" w:color="000000" w:sz="6" w:space="0"/>
              <w:bottom w:val="single" w:color="auto" w:sz="4" w:space="0"/>
              <w:right w:val="single" w:color="auto" w:sz="8" w:space="0"/>
            </w:tcBorders>
            <w:vAlign w:val="center"/>
          </w:tcPr>
          <w:p>
            <w:pPr>
              <w:spacing w:line="260" w:lineRule="exact"/>
              <w:rPr>
                <w:rFonts w:ascii="仿宋_GB2312" w:hAnsi="宋体" w:eastAsia="仿宋_GB2312"/>
                <w:color w:val="000000"/>
                <w:szCs w:val="21"/>
              </w:rPr>
            </w:pPr>
            <w:r>
              <w:rPr>
                <w:rFonts w:hint="eastAsia" w:ascii="仿宋_GB2312" w:hAnsi="宋体" w:eastAsia="仿宋_GB2312"/>
                <w:color w:val="000000"/>
                <w:szCs w:val="21"/>
              </w:rPr>
              <w:t xml:space="preserve">    </w:t>
            </w:r>
            <w:r>
              <w:rPr>
                <w:rFonts w:eastAsia="仿宋_GB2312"/>
                <w:sz w:val="22"/>
                <w:szCs w:val="32"/>
              </w:rPr>
              <w:sym w:font="Wingdings 2" w:char="F052"/>
            </w:r>
            <w:r>
              <w:rPr>
                <w:rFonts w:hint="eastAsia" w:ascii="仿宋_GB2312" w:hAnsi="宋体" w:eastAsia="仿宋_GB2312"/>
                <w:color w:val="000000"/>
                <w:szCs w:val="21"/>
              </w:rPr>
              <w:t>财政全额拨款</w:t>
            </w:r>
            <w:r>
              <w:rPr>
                <w:rFonts w:hint="eastAsia" w:ascii="仿宋_GB2312" w:hAnsi="Arial" w:eastAsia="仿宋_GB2312" w:cs="Arial"/>
                <w:color w:val="000000"/>
                <w:szCs w:val="21"/>
              </w:rPr>
              <w:t xml:space="preserve">   </w:t>
            </w:r>
            <w:r>
              <w:rPr>
                <w:rFonts w:hint="eastAsia" w:ascii="仿宋_GB2312" w:hAnsi="宋体" w:eastAsia="仿宋_GB2312"/>
                <w:color w:val="000000"/>
                <w:szCs w:val="21"/>
              </w:rPr>
              <w:t>□财政差额拨款   □自收自支   □其他</w:t>
            </w:r>
            <w:r>
              <w:rPr>
                <w:rFonts w:hint="eastAsia" w:ascii="仿宋_GB2312" w:hAnsi="宋体" w:eastAsia="仿宋_GB2312"/>
                <w:color w:val="000000"/>
                <w:szCs w:val="21"/>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42" w:hRule="atLeast"/>
          <w:jc w:val="center"/>
        </w:trPr>
        <w:tc>
          <w:tcPr>
            <w:tcW w:w="1770" w:type="dxa"/>
            <w:tcBorders>
              <w:top w:val="single" w:color="auto" w:sz="4" w:space="0"/>
              <w:left w:val="single" w:color="auto" w:sz="8" w:space="0"/>
              <w:right w:val="single" w:color="000000" w:sz="6" w:space="0"/>
            </w:tcBorders>
            <w:vAlign w:val="center"/>
          </w:tcPr>
          <w:p>
            <w:pPr>
              <w:spacing w:line="400" w:lineRule="exact"/>
              <w:jc w:val="center"/>
              <w:rPr>
                <w:rFonts w:ascii="仿宋_GB2312" w:eastAsia="仿宋_GB2312"/>
                <w:color w:val="000000"/>
                <w:sz w:val="24"/>
              </w:rPr>
            </w:pPr>
            <w:r>
              <w:rPr>
                <w:rFonts w:hint="eastAsia" w:ascii="仿宋_GB2312" w:hAnsi="Calibri" w:eastAsia="仿宋_GB2312"/>
                <w:color w:val="000000"/>
                <w:sz w:val="24"/>
              </w:rPr>
              <w:t>执法依据</w:t>
            </w:r>
          </w:p>
        </w:tc>
        <w:tc>
          <w:tcPr>
            <w:tcW w:w="8870" w:type="dxa"/>
            <w:gridSpan w:val="3"/>
            <w:tcBorders>
              <w:top w:val="single" w:color="auto" w:sz="4" w:space="0"/>
              <w:left w:val="single" w:color="000000" w:sz="6" w:space="0"/>
              <w:right w:val="single" w:color="auto" w:sz="8" w:space="0"/>
            </w:tcBorders>
            <w:vAlign w:val="center"/>
          </w:tcPr>
          <w:p>
            <w:pPr>
              <w:spacing w:line="400" w:lineRule="exact"/>
              <w:ind w:right="240" w:firstLine="360" w:firstLineChars="200"/>
              <w:jc w:val="left"/>
              <w:rPr>
                <w:rFonts w:hint="eastAsia"/>
                <w:sz w:val="18"/>
                <w:szCs w:val="18"/>
              </w:rPr>
            </w:pPr>
            <w:r>
              <w:rPr>
                <w:rFonts w:hint="eastAsia"/>
                <w:sz w:val="18"/>
                <w:szCs w:val="18"/>
              </w:rPr>
              <w:t>1</w:t>
            </w:r>
            <w:r>
              <w:rPr>
                <w:rFonts w:hint="eastAsia"/>
                <w:sz w:val="18"/>
                <w:szCs w:val="18"/>
                <w:lang w:eastAsia="zh-CN"/>
              </w:rPr>
              <w:t>.</w:t>
            </w:r>
            <w:r>
              <w:rPr>
                <w:rFonts w:hint="eastAsia"/>
                <w:sz w:val="18"/>
                <w:szCs w:val="18"/>
              </w:rPr>
              <w:t>事项：对临时用地的行政许可</w:t>
            </w:r>
          </w:p>
          <w:p>
            <w:pPr>
              <w:spacing w:line="400" w:lineRule="exact"/>
              <w:ind w:right="240"/>
              <w:jc w:val="left"/>
              <w:rPr>
                <w:rFonts w:hint="eastAsia"/>
                <w:sz w:val="18"/>
                <w:szCs w:val="18"/>
              </w:rPr>
            </w:pPr>
            <w:r>
              <w:rPr>
                <w:rFonts w:hint="eastAsia"/>
                <w:sz w:val="18"/>
                <w:szCs w:val="18"/>
              </w:rPr>
              <w:t>依据：【法律】《土地管理法》（1986年6月通过，2019年8月修正）</w:t>
            </w:r>
          </w:p>
          <w:p>
            <w:pPr>
              <w:spacing w:line="400" w:lineRule="exact"/>
              <w:ind w:right="240"/>
              <w:jc w:val="left"/>
              <w:rPr>
                <w:rFonts w:hint="eastAsia"/>
                <w:sz w:val="18"/>
                <w:szCs w:val="18"/>
              </w:rPr>
            </w:pPr>
            <w:r>
              <w:rPr>
                <w:rFonts w:hint="eastAsia"/>
                <w:sz w:val="18"/>
                <w:szCs w:val="18"/>
              </w:rPr>
              <w:t>第五十七条：“建设项目施工和地质勘查需要临时使用国有土地或者农民集体所有的土地的，由县级以上人民政府自然资源主管部门批准。其中，在城市规划区内的临时用地，在报批前，应当先经有关城市规划行政主管部门同意。土地使用者应当根据土地权属，与有关自然资源主管部门或者农村集体经济组织、村民委员会签订临时使用土地合同，并按照合同的约定支付临时使用土地补偿费。临时使用土地的使用者应当按照临时使用土地合同约定的用途使用土地，并不得修建永久性建筑物。临时使用土地期限一般不超过二年。”</w:t>
            </w:r>
          </w:p>
          <w:p>
            <w:pPr>
              <w:spacing w:line="400" w:lineRule="exact"/>
              <w:ind w:right="240" w:firstLine="360" w:firstLineChars="200"/>
              <w:jc w:val="left"/>
              <w:rPr>
                <w:rFonts w:hint="eastAsia"/>
                <w:sz w:val="18"/>
                <w:szCs w:val="18"/>
                <w:lang w:val="en-US" w:eastAsia="zh-CN"/>
              </w:rPr>
            </w:pPr>
            <w:r>
              <w:rPr>
                <w:rFonts w:hint="eastAsia"/>
                <w:sz w:val="18"/>
                <w:szCs w:val="18"/>
                <w:lang w:val="en-US" w:eastAsia="zh-CN"/>
              </w:rPr>
              <w:t>2.事项：对非法占用土地行为的行政处罚</w:t>
            </w:r>
          </w:p>
          <w:p>
            <w:pPr>
              <w:spacing w:line="400" w:lineRule="exact"/>
              <w:ind w:right="240"/>
              <w:jc w:val="left"/>
              <w:rPr>
                <w:rFonts w:hint="eastAsia"/>
                <w:sz w:val="18"/>
                <w:szCs w:val="18"/>
                <w:lang w:val="en-US" w:eastAsia="zh-CN"/>
              </w:rPr>
            </w:pPr>
            <w:r>
              <w:rPr>
                <w:rFonts w:hint="eastAsia"/>
                <w:sz w:val="18"/>
                <w:szCs w:val="18"/>
                <w:lang w:val="en-US" w:eastAsia="zh-CN"/>
              </w:rPr>
              <w:t>依据：【法律】《土地管理法》（1986年6月通过，2019年8月修正）</w:t>
            </w:r>
          </w:p>
          <w:p>
            <w:pPr>
              <w:spacing w:line="400" w:lineRule="exact"/>
              <w:ind w:right="240"/>
              <w:jc w:val="left"/>
              <w:rPr>
                <w:rFonts w:hint="eastAsia"/>
                <w:sz w:val="18"/>
                <w:szCs w:val="18"/>
                <w:lang w:val="en-US" w:eastAsia="zh-CN"/>
              </w:rPr>
            </w:pPr>
            <w:r>
              <w:rPr>
                <w:rFonts w:hint="eastAsia"/>
                <w:sz w:val="18"/>
                <w:szCs w:val="18"/>
                <w:lang w:val="en-US" w:eastAsia="zh-CN"/>
              </w:rPr>
              <w:t>第七十七条：“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超过批准的数量占用土地，多占的土地以非法占用土地论处。”</w:t>
            </w:r>
          </w:p>
          <w:p>
            <w:pPr>
              <w:spacing w:line="400" w:lineRule="exact"/>
              <w:ind w:right="240" w:firstLine="360" w:firstLineChars="200"/>
              <w:jc w:val="left"/>
              <w:rPr>
                <w:rFonts w:hint="eastAsia"/>
                <w:sz w:val="18"/>
                <w:szCs w:val="18"/>
              </w:rPr>
            </w:pPr>
            <w:r>
              <w:rPr>
                <w:rFonts w:hint="eastAsia"/>
                <w:sz w:val="18"/>
                <w:szCs w:val="18"/>
                <w:lang w:val="en-US" w:eastAsia="zh-CN"/>
              </w:rPr>
              <w:t>3.</w:t>
            </w:r>
            <w:r>
              <w:rPr>
                <w:rFonts w:hint="eastAsia"/>
                <w:sz w:val="18"/>
                <w:szCs w:val="18"/>
              </w:rPr>
              <w:t>事项：对违反规定调运的森林植物及其产品予以封存、没收、销毁或者责令改变用途的行政强制</w:t>
            </w:r>
          </w:p>
          <w:p>
            <w:pPr>
              <w:spacing w:line="400" w:lineRule="exact"/>
              <w:ind w:right="240"/>
              <w:jc w:val="left"/>
              <w:rPr>
                <w:rFonts w:hint="eastAsia"/>
                <w:sz w:val="18"/>
                <w:szCs w:val="18"/>
              </w:rPr>
            </w:pPr>
            <w:r>
              <w:rPr>
                <w:rFonts w:hint="eastAsia"/>
                <w:sz w:val="18"/>
                <w:szCs w:val="18"/>
              </w:rPr>
              <w:t>依据：【行政法规】《植物检疫条例》（1983年1月,2017年10月修改）</w:t>
            </w:r>
          </w:p>
          <w:p>
            <w:pPr>
              <w:spacing w:line="400" w:lineRule="exact"/>
              <w:ind w:right="240"/>
              <w:jc w:val="left"/>
              <w:rPr>
                <w:rFonts w:hint="eastAsia"/>
                <w:sz w:val="18"/>
                <w:szCs w:val="18"/>
              </w:rPr>
            </w:pPr>
            <w:r>
              <w:rPr>
                <w:rFonts w:hint="eastAsia"/>
                <w:sz w:val="18"/>
                <w:szCs w:val="18"/>
              </w:rPr>
              <w:t>第十八条第三款：“对违反本条例规定调运的植物和植物产品，植物检疫机构有权予以封存、没收、销毁或者责令改变用途。销毁所需费用由责任人承担。”</w:t>
            </w:r>
          </w:p>
          <w:p>
            <w:pPr>
              <w:spacing w:line="400" w:lineRule="exact"/>
              <w:ind w:right="240"/>
              <w:jc w:val="left"/>
              <w:rPr>
                <w:rFonts w:hint="eastAsia"/>
                <w:sz w:val="18"/>
                <w:szCs w:val="18"/>
              </w:rPr>
            </w:pPr>
            <w:r>
              <w:rPr>
                <w:rFonts w:hint="eastAsia"/>
                <w:sz w:val="18"/>
                <w:szCs w:val="18"/>
              </w:rPr>
              <w:t>【其他规范性文件】《山东省人民政府关于2017年第二批削减省级行政权力事项的通知》（2017年12月鲁政字〔2017〕220号）</w:t>
            </w:r>
          </w:p>
          <w:p>
            <w:pPr>
              <w:spacing w:line="400" w:lineRule="exact"/>
              <w:ind w:right="240"/>
              <w:jc w:val="left"/>
              <w:rPr>
                <w:rFonts w:hint="default"/>
                <w:sz w:val="18"/>
                <w:szCs w:val="18"/>
                <w:lang w:val="en-US" w:eastAsia="zh-CN"/>
              </w:rPr>
            </w:pPr>
            <w:r>
              <w:rPr>
                <w:rFonts w:hint="eastAsia"/>
                <w:sz w:val="18"/>
                <w:szCs w:val="18"/>
              </w:rPr>
              <w:t>附件2：“将‘封存、没收、销毁违法调运森林植物和森林植物产品’下放至市、县（市、区）人民政府林业主管部门。”</w:t>
            </w:r>
          </w:p>
          <w:p>
            <w:pPr>
              <w:spacing w:line="400" w:lineRule="exact"/>
              <w:ind w:right="240" w:firstLine="360" w:firstLineChars="200"/>
              <w:jc w:val="left"/>
              <w:rPr>
                <w:rFonts w:hint="eastAsia"/>
                <w:sz w:val="18"/>
                <w:szCs w:val="18"/>
                <w:lang w:val="en-US" w:eastAsia="zh-CN"/>
              </w:rPr>
            </w:pPr>
            <w:r>
              <w:rPr>
                <w:rFonts w:hint="eastAsia"/>
                <w:sz w:val="18"/>
                <w:szCs w:val="18"/>
                <w:lang w:val="en-US" w:eastAsia="zh-CN"/>
              </w:rPr>
              <w:t>4.事项：对土地整治项目的行政检查</w:t>
            </w:r>
          </w:p>
          <w:p>
            <w:pPr>
              <w:spacing w:line="400" w:lineRule="exact"/>
              <w:ind w:right="240"/>
              <w:jc w:val="left"/>
              <w:rPr>
                <w:rFonts w:hint="eastAsia"/>
                <w:sz w:val="18"/>
                <w:szCs w:val="18"/>
                <w:lang w:val="en-US" w:eastAsia="zh-CN"/>
              </w:rPr>
            </w:pPr>
            <w:r>
              <w:rPr>
                <w:rFonts w:hint="eastAsia"/>
                <w:sz w:val="18"/>
                <w:szCs w:val="18"/>
                <w:lang w:val="en-US" w:eastAsia="zh-CN"/>
              </w:rPr>
              <w:t>依据：【法律】《土地管理法》（1986年6月通过，2019年8月修正）</w:t>
            </w:r>
          </w:p>
          <w:p>
            <w:pPr>
              <w:spacing w:line="400" w:lineRule="exact"/>
              <w:ind w:right="240"/>
              <w:jc w:val="left"/>
              <w:rPr>
                <w:rFonts w:hint="eastAsia"/>
                <w:sz w:val="18"/>
                <w:szCs w:val="18"/>
                <w:lang w:val="en-US" w:eastAsia="zh-CN"/>
              </w:rPr>
            </w:pPr>
            <w:r>
              <w:rPr>
                <w:rFonts w:hint="eastAsia"/>
                <w:sz w:val="18"/>
                <w:szCs w:val="18"/>
                <w:lang w:val="en-US" w:eastAsia="zh-CN"/>
              </w:rPr>
              <w:t>第六十七条：“县级以上人民政府自然资源主管部门对违反土地管理法律、法规的行为进行监督检查。”</w:t>
            </w:r>
          </w:p>
          <w:p>
            <w:pPr>
              <w:spacing w:line="400" w:lineRule="exact"/>
              <w:ind w:right="240" w:firstLine="360" w:firstLineChars="200"/>
              <w:jc w:val="left"/>
              <w:rPr>
                <w:rFonts w:hint="eastAsia"/>
                <w:sz w:val="18"/>
                <w:szCs w:val="18"/>
                <w:lang w:val="en-US" w:eastAsia="zh-CN"/>
              </w:rPr>
            </w:pPr>
            <w:r>
              <w:rPr>
                <w:rFonts w:hint="eastAsia"/>
                <w:sz w:val="18"/>
                <w:szCs w:val="18"/>
                <w:lang w:val="en-US" w:eastAsia="zh-CN"/>
              </w:rPr>
              <w:t>5.事项：对土地闲置费的行政征收</w:t>
            </w:r>
          </w:p>
          <w:p>
            <w:pPr>
              <w:spacing w:line="400" w:lineRule="exact"/>
              <w:ind w:right="240"/>
              <w:jc w:val="left"/>
              <w:rPr>
                <w:rFonts w:hint="eastAsia"/>
                <w:sz w:val="18"/>
                <w:szCs w:val="18"/>
                <w:lang w:val="en-US" w:eastAsia="zh-CN"/>
              </w:rPr>
            </w:pPr>
            <w:r>
              <w:rPr>
                <w:rFonts w:hint="eastAsia"/>
                <w:sz w:val="18"/>
                <w:szCs w:val="18"/>
                <w:lang w:val="en-US" w:eastAsia="zh-CN"/>
              </w:rPr>
              <w:t>依据：【法律】《土地管理法》（1986年6月通过，2019年8月修正）</w:t>
            </w:r>
          </w:p>
          <w:p>
            <w:pPr>
              <w:spacing w:line="400" w:lineRule="exact"/>
              <w:ind w:right="240"/>
              <w:jc w:val="left"/>
              <w:rPr>
                <w:rFonts w:hint="eastAsia"/>
                <w:sz w:val="18"/>
                <w:szCs w:val="18"/>
                <w:lang w:val="en-US" w:eastAsia="zh-CN"/>
              </w:rPr>
            </w:pPr>
            <w:r>
              <w:rPr>
                <w:rFonts w:hint="eastAsia"/>
                <w:sz w:val="18"/>
                <w:szCs w:val="18"/>
                <w:lang w:val="en-US" w:eastAsia="zh-CN"/>
              </w:rPr>
              <w:t>第三十八条：“禁止任何单位和个人闲置、荒芜耕地。已经办理审批手续的非农业建设占用耕地，一年内不用而又可以耕种并收获的，应当由原耕种该幅耕地的集体或者个人恢复耕种，也可以由用地单位组织耕种；一年以上未动工建设的，应当按照省、自治区、直辖市的规定缴纳闲置费；连续二年未使用的，经原批准机关批准，由县级以上人民政府无偿收回用地单位的土地使用权；该幅土地原为农民集体所有的，应当交由原农村集体经济组织恢复耕种。在城市规划区范围内，以出让方式取得土地使用权进行房地产开发的闲置土地，依照《中华人民共和国城市房地产管理法》的有关规定办理。”</w:t>
            </w:r>
          </w:p>
          <w:p>
            <w:pPr>
              <w:spacing w:line="400" w:lineRule="exact"/>
              <w:ind w:right="240"/>
              <w:jc w:val="left"/>
              <w:rPr>
                <w:rFonts w:hint="eastAsia"/>
                <w:sz w:val="18"/>
                <w:szCs w:val="18"/>
                <w:lang w:val="en-US" w:eastAsia="zh-CN"/>
              </w:rPr>
            </w:pPr>
            <w:r>
              <w:rPr>
                <w:rFonts w:hint="eastAsia"/>
                <w:sz w:val="18"/>
                <w:szCs w:val="18"/>
                <w:lang w:val="en-US" w:eastAsia="zh-CN"/>
              </w:rPr>
              <w:t>【地方性法规】《山东省实施&lt;土地管理法&gt;办法》（1999年8月通过， 2015年7月修改）第十九条：“禁止任何单位和个人闲置、荒芜耕地。已经办理审批手续的非农业建设占用耕地，一年内不用而又可以耕种并收获的，应当由原耕种该幅耕地的集体或者个人恢复耕种，也可由用地单位组织耕种；一年以上未动工建设的，由市、县人民政府土地行政主管部门按照该耕地前三年平均年产值的三倍收取土地闲置费。”</w:t>
            </w:r>
          </w:p>
          <w:p>
            <w:pPr>
              <w:spacing w:line="400" w:lineRule="exact"/>
              <w:ind w:right="240" w:firstLine="360" w:firstLineChars="200"/>
              <w:jc w:val="left"/>
              <w:rPr>
                <w:rFonts w:hint="eastAsia"/>
                <w:sz w:val="18"/>
                <w:szCs w:val="18"/>
                <w:lang w:val="en-US" w:eastAsia="zh-CN"/>
              </w:rPr>
            </w:pPr>
            <w:r>
              <w:rPr>
                <w:rFonts w:hint="eastAsia"/>
                <w:sz w:val="18"/>
                <w:szCs w:val="18"/>
                <w:lang w:val="en-US" w:eastAsia="zh-CN"/>
              </w:rPr>
              <w:t>6.事项：对建设工程竣工规划核实的行政确认</w:t>
            </w:r>
          </w:p>
          <w:p>
            <w:pPr>
              <w:spacing w:line="400" w:lineRule="exact"/>
              <w:ind w:right="240"/>
              <w:jc w:val="left"/>
              <w:rPr>
                <w:rFonts w:hint="eastAsia"/>
                <w:sz w:val="18"/>
                <w:szCs w:val="18"/>
                <w:lang w:val="en-US" w:eastAsia="zh-CN"/>
              </w:rPr>
            </w:pPr>
            <w:r>
              <w:rPr>
                <w:rFonts w:hint="eastAsia"/>
                <w:sz w:val="18"/>
                <w:szCs w:val="18"/>
                <w:lang w:val="en-US" w:eastAsia="zh-CN"/>
              </w:rPr>
              <w:t>依据：【法律】《城乡规划法》（2007年10月通过，2015年4月修正）</w:t>
            </w:r>
          </w:p>
          <w:p>
            <w:pPr>
              <w:spacing w:line="400" w:lineRule="exact"/>
              <w:ind w:right="240"/>
              <w:jc w:val="left"/>
              <w:rPr>
                <w:rFonts w:hint="eastAsia"/>
                <w:sz w:val="18"/>
                <w:szCs w:val="18"/>
                <w:lang w:val="en-US" w:eastAsia="zh-CN"/>
              </w:rPr>
            </w:pPr>
            <w:r>
              <w:rPr>
                <w:rFonts w:hint="eastAsia"/>
                <w:sz w:val="18"/>
                <w:szCs w:val="18"/>
                <w:lang w:val="en-US" w:eastAsia="zh-CN"/>
              </w:rPr>
              <w:t>第四十五条:“县级以上地方人民政府城乡规划主管部门按照国务院规定对建设工程是否符合规划条件予以核实。未经核实或者经核实不符合规划条件的，建设单位不得组织竣工验收。建设单位应当在竣工验收后六个月内向城乡规划主管部门报送有关竣工验收资料。”</w:t>
            </w:r>
          </w:p>
          <w:p>
            <w:pPr>
              <w:spacing w:line="400" w:lineRule="exact"/>
              <w:ind w:right="240" w:firstLine="360" w:firstLineChars="200"/>
              <w:jc w:val="left"/>
              <w:rPr>
                <w:rFonts w:hint="eastAsia"/>
                <w:sz w:val="18"/>
                <w:szCs w:val="18"/>
                <w:lang w:val="en-US" w:eastAsia="zh-CN"/>
              </w:rPr>
            </w:pPr>
            <w:r>
              <w:rPr>
                <w:rFonts w:hint="eastAsia"/>
                <w:sz w:val="18"/>
                <w:szCs w:val="18"/>
                <w:lang w:val="en-US" w:eastAsia="zh-CN"/>
              </w:rPr>
              <w:t>7.事项：对土地所有权和使用权争议处理的行政裁决</w:t>
            </w:r>
          </w:p>
          <w:p>
            <w:pPr>
              <w:spacing w:line="400" w:lineRule="exact"/>
              <w:ind w:right="240"/>
              <w:jc w:val="left"/>
              <w:rPr>
                <w:rFonts w:hint="eastAsia"/>
                <w:sz w:val="18"/>
                <w:szCs w:val="18"/>
                <w:lang w:val="en-US" w:eastAsia="zh-CN"/>
              </w:rPr>
            </w:pPr>
            <w:r>
              <w:rPr>
                <w:rFonts w:hint="eastAsia"/>
                <w:sz w:val="18"/>
                <w:szCs w:val="18"/>
                <w:lang w:val="en-US" w:eastAsia="zh-CN"/>
              </w:rPr>
              <w:t>依据：【法律】《土地管理法》（1986年6月通过，2019年8月修正）</w:t>
            </w:r>
          </w:p>
          <w:p>
            <w:pPr>
              <w:spacing w:line="400" w:lineRule="exact"/>
              <w:ind w:right="240"/>
              <w:jc w:val="left"/>
              <w:rPr>
                <w:rFonts w:hint="eastAsia"/>
                <w:sz w:val="18"/>
                <w:szCs w:val="18"/>
                <w:lang w:val="en-US" w:eastAsia="zh-CN"/>
              </w:rPr>
            </w:pPr>
            <w:r>
              <w:rPr>
                <w:rFonts w:hint="eastAsia"/>
                <w:sz w:val="18"/>
                <w:szCs w:val="18"/>
                <w:lang w:val="en-US" w:eastAsia="zh-CN"/>
              </w:rPr>
              <w:t>第十四条：“土地所有权和使用权争议，由当事人协商解决；协商不成的，由人民政府处理。单位之间的争议，由县级以上人民政府处理；个人之间、个人与单位之间的争议，由乡级人民政府或者县级以上人民政府处理。当事人对有关人民政府的处理决定不服的，可以自接到处理决定通知之日起三十日内，向人民法院起诉。在土地所有权和使用权争议解决前，任何一方不得改变土地利用现状。”</w:t>
            </w:r>
          </w:p>
          <w:p>
            <w:pPr>
              <w:spacing w:line="400" w:lineRule="exact"/>
              <w:ind w:right="240"/>
              <w:jc w:val="left"/>
              <w:rPr>
                <w:rFonts w:hint="eastAsia"/>
                <w:sz w:val="18"/>
                <w:szCs w:val="18"/>
                <w:lang w:val="en-US" w:eastAsia="zh-CN"/>
              </w:rPr>
            </w:pPr>
            <w:r>
              <w:rPr>
                <w:rFonts w:hint="eastAsia"/>
                <w:sz w:val="18"/>
                <w:szCs w:val="18"/>
                <w:lang w:val="en-US" w:eastAsia="zh-CN"/>
              </w:rPr>
              <w:t>【部委规章】《土地权属争议调查处理办法》（2003年1月公布，2010年11月修订）</w:t>
            </w:r>
          </w:p>
          <w:p>
            <w:pPr>
              <w:spacing w:line="400" w:lineRule="exact"/>
              <w:ind w:right="240"/>
              <w:jc w:val="left"/>
              <w:rPr>
                <w:rFonts w:hint="default"/>
                <w:sz w:val="18"/>
                <w:szCs w:val="18"/>
                <w:lang w:val="en-US" w:eastAsia="zh-CN"/>
              </w:rPr>
            </w:pPr>
            <w:r>
              <w:rPr>
                <w:rFonts w:hint="eastAsia"/>
                <w:sz w:val="18"/>
                <w:szCs w:val="18"/>
                <w:lang w:val="en-US" w:eastAsia="zh-CN"/>
              </w:rPr>
              <w:t>第四条：“县级以上国土资源行政主管部门可以指定专门机构或者人员负责办理争议案件有关事宜。”</w:t>
            </w:r>
          </w:p>
        </w:tc>
      </w:tr>
    </w:tbl>
    <w:p>
      <w:pPr>
        <w:widowControl/>
        <w:spacing w:line="240" w:lineRule="atLeast"/>
        <w:jc w:val="both"/>
        <w:rPr>
          <w:rFonts w:hint="eastAsia" w:ascii="方正小标宋简体" w:hAnsi="宋体" w:eastAsia="方正小标宋简体" w:cs="宋体"/>
          <w:color w:val="000000"/>
          <w:kern w:val="0"/>
          <w:sz w:val="44"/>
          <w:szCs w:val="44"/>
          <w:lang w:eastAsia="zh-CN"/>
        </w:rPr>
      </w:pPr>
    </w:p>
    <w:p>
      <w:pPr>
        <w:widowControl/>
        <w:spacing w:line="240" w:lineRule="atLeast"/>
        <w:jc w:val="both"/>
        <w:rPr>
          <w:rFonts w:hint="eastAsia" w:ascii="方正小标宋简体" w:hAnsi="宋体" w:eastAsia="方正小标宋简体" w:cs="宋体"/>
          <w:color w:val="000000"/>
          <w:kern w:val="0"/>
          <w:sz w:val="44"/>
          <w:szCs w:val="44"/>
          <w:lang w:eastAsia="zh-CN"/>
        </w:rPr>
      </w:pPr>
    </w:p>
    <w:p>
      <w:pPr>
        <w:widowControl/>
        <w:spacing w:line="240" w:lineRule="atLeast"/>
        <w:jc w:val="both"/>
        <w:rPr>
          <w:rFonts w:hint="eastAsia" w:ascii="方正小标宋简体" w:hAnsi="宋体" w:eastAsia="方正小标宋简体" w:cs="宋体"/>
          <w:color w:val="000000"/>
          <w:kern w:val="0"/>
          <w:sz w:val="44"/>
          <w:szCs w:val="44"/>
          <w:lang w:eastAsia="zh-CN"/>
        </w:rPr>
      </w:pPr>
    </w:p>
    <w:p>
      <w:pPr>
        <w:widowControl/>
        <w:spacing w:line="240" w:lineRule="atLeast"/>
        <w:jc w:val="both"/>
        <w:rPr>
          <w:rFonts w:hint="eastAsia" w:ascii="方正小标宋简体" w:hAnsi="宋体" w:eastAsia="方正小标宋简体" w:cs="宋体"/>
          <w:color w:val="000000"/>
          <w:kern w:val="0"/>
          <w:sz w:val="44"/>
          <w:szCs w:val="44"/>
          <w:lang w:eastAsia="zh-CN"/>
        </w:rPr>
      </w:pPr>
    </w:p>
    <w:tbl>
      <w:tblPr>
        <w:tblStyle w:val="5"/>
        <w:tblW w:w="106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62"/>
        <w:gridCol w:w="5855"/>
        <w:gridCol w:w="654"/>
        <w:gridCol w:w="29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exact"/>
          <w:jc w:val="center"/>
        </w:trPr>
        <w:tc>
          <w:tcPr>
            <w:tcW w:w="1262" w:type="dxa"/>
            <w:tcBorders>
              <w:top w:val="single" w:color="000000" w:sz="6" w:space="0"/>
              <w:left w:val="single" w:color="auto" w:sz="8" w:space="0"/>
              <w:bottom w:val="single" w:color="000000" w:sz="6" w:space="0"/>
              <w:right w:val="single" w:color="000000" w:sz="6" w:space="0"/>
            </w:tcBorders>
            <w:vAlign w:val="center"/>
          </w:tcPr>
          <w:p>
            <w:pPr>
              <w:spacing w:line="260" w:lineRule="exact"/>
              <w:jc w:val="both"/>
              <w:rPr>
                <w:rFonts w:ascii="仿宋_GB2312" w:hAnsi="宋体" w:eastAsia="仿宋_GB2312"/>
                <w:color w:val="000000"/>
              </w:rPr>
            </w:pPr>
            <w:r>
              <w:rPr>
                <w:rFonts w:hint="eastAsia" w:ascii="仿宋_GB2312" w:hAnsi="宋体" w:eastAsia="仿宋_GB2312"/>
                <w:color w:val="000000"/>
              </w:rPr>
              <w:t>单位全称</w:t>
            </w:r>
          </w:p>
        </w:tc>
        <w:tc>
          <w:tcPr>
            <w:tcW w:w="9411" w:type="dxa"/>
            <w:gridSpan w:val="3"/>
            <w:tcBorders>
              <w:top w:val="single" w:color="000000" w:sz="6" w:space="0"/>
              <w:left w:val="single" w:color="000000" w:sz="6" w:space="0"/>
              <w:bottom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荣成市自然资源综合执法大队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exact"/>
          <w:jc w:val="center"/>
        </w:trPr>
        <w:tc>
          <w:tcPr>
            <w:tcW w:w="1262"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办公地址</w:t>
            </w:r>
          </w:p>
        </w:tc>
        <w:tc>
          <w:tcPr>
            <w:tcW w:w="5855" w:type="dxa"/>
            <w:tcBorders>
              <w:top w:val="single" w:color="000000" w:sz="6" w:space="0"/>
              <w:left w:val="single" w:color="000000" w:sz="6"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荣成市观海东路14号</w:t>
            </w:r>
          </w:p>
        </w:tc>
        <w:tc>
          <w:tcPr>
            <w:tcW w:w="654" w:type="dxa"/>
            <w:tcBorders>
              <w:top w:val="single" w:color="000000" w:sz="6" w:space="0"/>
              <w:left w:val="single" w:color="000000" w:sz="6" w:space="0"/>
              <w:bottom w:val="single" w:color="000000" w:sz="6" w:space="0"/>
              <w:right w:val="single" w:color="000000" w:sz="6" w:space="0"/>
            </w:tcBorders>
            <w:vAlign w:val="center"/>
          </w:tcPr>
          <w:p>
            <w:pPr>
              <w:spacing w:line="260" w:lineRule="exact"/>
              <w:rPr>
                <w:rFonts w:ascii="仿宋_GB2312" w:hAnsi="宋体" w:eastAsia="仿宋_GB2312"/>
                <w:color w:val="000000"/>
              </w:rPr>
            </w:pPr>
            <w:r>
              <w:rPr>
                <w:rFonts w:hint="eastAsia" w:ascii="仿宋_GB2312" w:hAnsi="宋体" w:eastAsia="仿宋_GB2312"/>
                <w:color w:val="000000"/>
              </w:rPr>
              <w:t>邮编</w:t>
            </w:r>
          </w:p>
        </w:tc>
        <w:tc>
          <w:tcPr>
            <w:tcW w:w="2902" w:type="dxa"/>
            <w:tcBorders>
              <w:top w:val="single" w:color="000000" w:sz="6" w:space="0"/>
              <w:left w:val="single" w:color="000000" w:sz="6" w:space="0"/>
              <w:bottom w:val="single" w:color="000000" w:sz="6" w:space="0"/>
              <w:right w:val="single" w:color="auto" w:sz="8"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264300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exact"/>
          <w:jc w:val="center"/>
        </w:trPr>
        <w:tc>
          <w:tcPr>
            <w:tcW w:w="1262"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机构性质</w:t>
            </w:r>
          </w:p>
        </w:tc>
        <w:tc>
          <w:tcPr>
            <w:tcW w:w="9411" w:type="dxa"/>
            <w:gridSpan w:val="3"/>
            <w:tcBorders>
              <w:top w:val="single" w:color="000000" w:sz="6" w:space="0"/>
              <w:left w:val="single" w:color="000000" w:sz="6" w:space="0"/>
              <w:bottom w:val="single" w:color="000000" w:sz="6" w:space="0"/>
              <w:right w:val="single" w:color="auto" w:sz="8" w:space="0"/>
            </w:tcBorders>
          </w:tcPr>
          <w:p>
            <w:pPr>
              <w:spacing w:line="440" w:lineRule="exact"/>
              <w:ind w:firstLine="420" w:firstLineChars="200"/>
              <w:rPr>
                <w:rFonts w:ascii="仿宋_GB2312" w:hAnsi="宋体" w:eastAsia="仿宋_GB2312"/>
                <w:color w:val="000000"/>
              </w:rPr>
            </w:pPr>
            <w:r>
              <w:rPr>
                <w:rFonts w:hint="eastAsia" w:ascii="仿宋_GB2312" w:hAnsi="宋体" w:eastAsia="仿宋_GB2312"/>
                <w:color w:val="000000"/>
                <w:szCs w:val="32"/>
              </w:rPr>
              <w:t>□</w:t>
            </w:r>
            <w:r>
              <w:rPr>
                <w:rFonts w:hint="eastAsia" w:ascii="仿宋_GB2312" w:hAnsi="宋体" w:eastAsia="仿宋_GB2312"/>
                <w:color w:val="000000"/>
              </w:rPr>
              <w:t xml:space="preserve">行政机关  </w:t>
            </w:r>
            <w:r>
              <w:rPr>
                <w:rFonts w:hint="eastAsia" w:ascii="仿宋_GB2312" w:hAnsi="宋体" w:eastAsia="仿宋_GB2312"/>
                <w:color w:val="000000"/>
                <w:szCs w:val="32"/>
              </w:rPr>
              <w:t xml:space="preserve"> </w:t>
            </w:r>
            <w:r>
              <w:rPr>
                <w:rFonts w:eastAsia="仿宋_GB2312"/>
                <w:sz w:val="22"/>
                <w:szCs w:val="32"/>
              </w:rPr>
              <w:sym w:font="Wingdings 2" w:char="F052"/>
            </w:r>
            <w:r>
              <w:rPr>
                <w:rFonts w:hint="eastAsia" w:ascii="仿宋_GB2312" w:hAnsi="宋体" w:eastAsia="仿宋_GB2312"/>
                <w:color w:val="000000"/>
              </w:rPr>
              <w:t xml:space="preserve">事业单位 </w:t>
            </w:r>
            <w:r>
              <w:rPr>
                <w:rFonts w:hint="eastAsia" w:ascii="仿宋_GB2312" w:hAnsi="宋体" w:eastAsia="仿宋_GB2312"/>
                <w:color w:val="000000"/>
                <w:szCs w:val="32"/>
              </w:rPr>
              <w:t xml:space="preserve"> </w:t>
            </w:r>
            <w:r>
              <w:rPr>
                <w:rFonts w:hint="eastAsia" w:ascii="仿宋_GB2312" w:hAnsi="宋体" w:eastAsia="仿宋_GB2312"/>
                <w:color w:val="000000"/>
              </w:rPr>
              <w:t xml:space="preserve">   </w:t>
            </w:r>
            <w:r>
              <w:rPr>
                <w:rFonts w:hint="eastAsia" w:ascii="仿宋_GB2312" w:hAnsi="宋体" w:eastAsia="仿宋_GB2312"/>
                <w:color w:val="000000"/>
                <w:szCs w:val="32"/>
              </w:rPr>
              <w:t>□</w:t>
            </w:r>
            <w:r>
              <w:rPr>
                <w:rFonts w:hint="eastAsia" w:ascii="仿宋_GB2312" w:hAnsi="宋体" w:eastAsia="仿宋_GB2312"/>
                <w:color w:val="000000"/>
              </w:rPr>
              <w:t xml:space="preserve">内设机构  </w:t>
            </w:r>
            <w:r>
              <w:rPr>
                <w:rFonts w:hint="eastAsia" w:ascii="仿宋_GB2312" w:hAnsi="宋体" w:eastAsia="仿宋_GB2312"/>
                <w:color w:val="000000"/>
                <w:szCs w:val="36"/>
              </w:rPr>
              <w:t xml:space="preserve"> </w:t>
            </w:r>
            <w:r>
              <w:rPr>
                <w:rFonts w:hint="eastAsia" w:ascii="仿宋_GB2312" w:hAnsi="宋体" w:eastAsia="仿宋_GB2312"/>
                <w:color w:val="000000"/>
                <w:szCs w:val="32"/>
              </w:rPr>
              <w:t>□</w:t>
            </w:r>
            <w:r>
              <w:rPr>
                <w:rFonts w:hint="eastAsia" w:ascii="仿宋_GB2312" w:hAnsi="宋体" w:eastAsia="仿宋_GB2312"/>
                <w:color w:val="000000"/>
              </w:rPr>
              <w:t xml:space="preserve">临时机构     </w:t>
            </w:r>
            <w:r>
              <w:rPr>
                <w:rFonts w:hint="eastAsia" w:ascii="仿宋_GB2312" w:hAnsi="宋体" w:eastAsia="仿宋_GB2312"/>
                <w:color w:val="000000"/>
                <w:szCs w:val="32"/>
              </w:rPr>
              <w:t>□</w:t>
            </w:r>
            <w:r>
              <w:rPr>
                <w:rFonts w:hint="eastAsia" w:ascii="仿宋_GB2312" w:hAnsi="宋体" w:eastAsia="仿宋_GB2312"/>
                <w:color w:val="000000"/>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exact"/>
          <w:jc w:val="center"/>
        </w:trPr>
        <w:tc>
          <w:tcPr>
            <w:tcW w:w="1262" w:type="dxa"/>
            <w:tcBorders>
              <w:top w:val="single" w:color="000000" w:sz="6" w:space="0"/>
              <w:left w:val="single" w:color="auto" w:sz="8" w:space="0"/>
              <w:bottom w:val="single" w:color="auto" w:sz="4" w:space="0"/>
              <w:right w:val="single" w:color="auto" w:sz="8" w:space="0"/>
            </w:tcBorders>
            <w:vAlign w:val="center"/>
          </w:tcPr>
          <w:p>
            <w:pPr>
              <w:spacing w:line="260" w:lineRule="exact"/>
              <w:jc w:val="center"/>
              <w:rPr>
                <w:rFonts w:ascii="仿宋_GB2312" w:hAnsi="宋体" w:eastAsia="仿宋_GB2312"/>
                <w:color w:val="000000"/>
                <w:szCs w:val="21"/>
              </w:rPr>
            </w:pPr>
            <w:r>
              <w:rPr>
                <w:rFonts w:hint="eastAsia" w:ascii="仿宋_GB2312" w:hAnsi="宋体" w:eastAsia="仿宋_GB2312"/>
                <w:color w:val="000000"/>
              </w:rPr>
              <w:t>主体类别</w:t>
            </w:r>
          </w:p>
        </w:tc>
        <w:tc>
          <w:tcPr>
            <w:tcW w:w="9411" w:type="dxa"/>
            <w:gridSpan w:val="3"/>
            <w:tcBorders>
              <w:top w:val="single" w:color="000000" w:sz="6" w:space="0"/>
              <w:left w:val="single" w:color="000000" w:sz="6" w:space="0"/>
              <w:bottom w:val="single" w:color="auto" w:sz="4" w:space="0"/>
              <w:right w:val="single" w:color="auto" w:sz="8" w:space="0"/>
            </w:tcBorders>
            <w:vAlign w:val="center"/>
          </w:tcPr>
          <w:p>
            <w:pPr>
              <w:spacing w:line="260" w:lineRule="exact"/>
              <w:rPr>
                <w:rFonts w:ascii="仿宋_GB2312" w:hAnsi="宋体" w:eastAsia="仿宋_GB2312"/>
                <w:color w:val="000000"/>
                <w:szCs w:val="21"/>
              </w:rPr>
            </w:pPr>
            <w:r>
              <w:rPr>
                <w:rFonts w:hint="eastAsia" w:ascii="仿宋_GB2312" w:hAnsi="宋体" w:eastAsia="仿宋_GB2312" w:cs="宋体"/>
                <w:color w:val="000000"/>
                <w:kern w:val="0"/>
                <w:szCs w:val="21"/>
              </w:rPr>
              <w:t xml:space="preserve">    □法定行政机关     □法律、法规授权的组织   </w:t>
            </w:r>
            <w:r>
              <w:rPr>
                <w:rFonts w:eastAsia="仿宋_GB2312"/>
                <w:sz w:val="22"/>
                <w:szCs w:val="32"/>
              </w:rPr>
              <w:sym w:font="Wingdings 2" w:char="F052"/>
            </w:r>
            <w:r>
              <w:rPr>
                <w:rFonts w:hint="eastAsia" w:ascii="仿宋_GB2312" w:hAnsi="宋体" w:eastAsia="仿宋_GB2312" w:cs="宋体"/>
                <w:color w:val="000000"/>
                <w:kern w:val="0"/>
                <w:szCs w:val="21"/>
              </w:rPr>
              <w:t xml:space="preserve">依法受委托执法的组织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6" w:hRule="atLeast"/>
          <w:jc w:val="center"/>
        </w:trPr>
        <w:tc>
          <w:tcPr>
            <w:tcW w:w="1262"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执法职权</w:t>
            </w:r>
          </w:p>
          <w:p>
            <w:pPr>
              <w:spacing w:line="260" w:lineRule="exact"/>
              <w:jc w:val="center"/>
              <w:rPr>
                <w:rFonts w:ascii="仿宋_GB2312" w:hAnsi="宋体" w:eastAsia="仿宋_GB2312"/>
                <w:color w:val="000000"/>
              </w:rPr>
            </w:pPr>
            <w:r>
              <w:rPr>
                <w:rFonts w:hint="eastAsia" w:ascii="仿宋_GB2312" w:hAnsi="宋体" w:eastAsia="仿宋_GB2312"/>
                <w:color w:val="000000"/>
              </w:rPr>
              <w:t>类型</w:t>
            </w:r>
          </w:p>
        </w:tc>
        <w:tc>
          <w:tcPr>
            <w:tcW w:w="9411" w:type="dxa"/>
            <w:gridSpan w:val="3"/>
            <w:tcBorders>
              <w:top w:val="single" w:color="000000" w:sz="6" w:space="0"/>
              <w:left w:val="single" w:color="000000" w:sz="6" w:space="0"/>
              <w:right w:val="single" w:color="auto" w:sz="8" w:space="0"/>
            </w:tcBorders>
            <w:vAlign w:val="center"/>
          </w:tcPr>
          <w:p>
            <w:pPr>
              <w:spacing w:line="260" w:lineRule="exact"/>
              <w:rPr>
                <w:rFonts w:ascii="仿宋_GB2312" w:hAnsi="宋体" w:eastAsia="仿宋_GB2312"/>
                <w:color w:val="000000"/>
                <w:szCs w:val="32"/>
              </w:rPr>
            </w:pPr>
            <w:r>
              <w:rPr>
                <w:rFonts w:hint="eastAsia" w:ascii="仿宋_GB2312" w:hAnsi="宋体" w:eastAsia="仿宋_GB2312"/>
                <w:color w:val="000000"/>
                <w:szCs w:val="32"/>
              </w:rPr>
              <w:t xml:space="preserve">    □行政许可  </w:t>
            </w:r>
            <w:r>
              <w:rPr>
                <w:rFonts w:eastAsia="仿宋_GB2312"/>
                <w:sz w:val="22"/>
                <w:szCs w:val="32"/>
              </w:rPr>
              <w:sym w:font="Wingdings 2" w:char="F052"/>
            </w:r>
            <w:r>
              <w:rPr>
                <w:rFonts w:hint="eastAsia" w:ascii="仿宋_GB2312" w:hAnsi="宋体" w:eastAsia="仿宋_GB2312"/>
                <w:color w:val="000000"/>
                <w:szCs w:val="32"/>
              </w:rPr>
              <w:t xml:space="preserve">行政处罚  </w:t>
            </w:r>
            <w:r>
              <w:rPr>
                <w:rFonts w:eastAsia="仿宋_GB2312"/>
                <w:sz w:val="22"/>
                <w:szCs w:val="32"/>
              </w:rPr>
              <w:sym w:font="Wingdings 2" w:char="00A3"/>
            </w:r>
            <w:r>
              <w:rPr>
                <w:rFonts w:hint="eastAsia" w:ascii="仿宋_GB2312" w:hAnsi="宋体" w:eastAsia="仿宋_GB2312"/>
                <w:color w:val="000000"/>
                <w:szCs w:val="32"/>
              </w:rPr>
              <w:t>行政强制  □行政征收</w:t>
            </w:r>
          </w:p>
          <w:p>
            <w:pPr>
              <w:spacing w:line="260" w:lineRule="exact"/>
              <w:rPr>
                <w:rFonts w:ascii="仿宋_GB2312" w:hAnsi="宋体" w:eastAsia="仿宋_GB2312"/>
                <w:color w:val="000000"/>
              </w:rPr>
            </w:pPr>
            <w:r>
              <w:rPr>
                <w:rFonts w:hint="eastAsia" w:ascii="仿宋_GB2312" w:hAnsi="宋体" w:eastAsia="仿宋_GB2312"/>
                <w:color w:val="000000"/>
                <w:szCs w:val="32"/>
              </w:rPr>
              <w:t xml:space="preserve">    □行政征用  </w:t>
            </w:r>
            <w:r>
              <w:rPr>
                <w:rFonts w:hint="eastAsia" w:ascii="仿宋_GB2312" w:hAnsi="宋体" w:eastAsia="仿宋_GB2312"/>
                <w:color w:val="000000"/>
                <w:szCs w:val="32"/>
              </w:rPr>
              <w:sym w:font="Wingdings 2" w:char="0052"/>
            </w:r>
            <w:r>
              <w:rPr>
                <w:rFonts w:hint="eastAsia" w:ascii="仿宋_GB2312" w:hAnsi="宋体" w:eastAsia="仿宋_GB2312"/>
                <w:color w:val="000000"/>
                <w:szCs w:val="32"/>
              </w:rPr>
              <w:t>行政检查  □其他行政执法行为</w:t>
            </w:r>
            <w:r>
              <w:rPr>
                <w:rFonts w:hint="eastAsia" w:ascii="仿宋_GB2312" w:hAnsi="宋体" w:eastAsia="仿宋_GB2312"/>
                <w:color w:val="000000"/>
                <w:szCs w:val="21"/>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262" w:type="dxa"/>
            <w:tcBorders>
              <w:top w:val="single" w:color="000000" w:sz="6" w:space="0"/>
              <w:left w:val="single" w:color="auto" w:sz="8" w:space="0"/>
              <w:bottom w:val="single" w:color="auto" w:sz="4" w:space="0"/>
              <w:right w:val="single" w:color="000000" w:sz="6" w:space="0"/>
            </w:tcBorders>
            <w:vAlign w:val="center"/>
          </w:tcPr>
          <w:p>
            <w:pPr>
              <w:spacing w:line="260" w:lineRule="exact"/>
              <w:ind w:firstLine="105" w:firstLineChars="50"/>
              <w:jc w:val="center"/>
              <w:rPr>
                <w:rFonts w:ascii="仿宋_GB2312" w:hAnsi="宋体" w:eastAsia="仿宋_GB2312"/>
                <w:color w:val="000000"/>
                <w:szCs w:val="21"/>
              </w:rPr>
            </w:pPr>
            <w:r>
              <w:rPr>
                <w:rFonts w:hint="eastAsia" w:ascii="仿宋_GB2312" w:hAnsi="宋体" w:eastAsia="仿宋_GB2312"/>
                <w:color w:val="000000"/>
                <w:szCs w:val="21"/>
              </w:rPr>
              <w:t>经费来源</w:t>
            </w:r>
          </w:p>
        </w:tc>
        <w:tc>
          <w:tcPr>
            <w:tcW w:w="9411" w:type="dxa"/>
            <w:gridSpan w:val="3"/>
            <w:tcBorders>
              <w:top w:val="single" w:color="000000" w:sz="6" w:space="0"/>
              <w:left w:val="single" w:color="000000" w:sz="6" w:space="0"/>
              <w:bottom w:val="single" w:color="auto" w:sz="4" w:space="0"/>
              <w:right w:val="single" w:color="auto" w:sz="8" w:space="0"/>
            </w:tcBorders>
            <w:vAlign w:val="center"/>
          </w:tcPr>
          <w:p>
            <w:pPr>
              <w:spacing w:line="260" w:lineRule="exact"/>
              <w:rPr>
                <w:rFonts w:ascii="仿宋_GB2312" w:hAnsi="宋体" w:eastAsia="仿宋_GB2312"/>
                <w:color w:val="000000"/>
                <w:szCs w:val="21"/>
              </w:rPr>
            </w:pPr>
            <w:r>
              <w:rPr>
                <w:rFonts w:hint="eastAsia" w:ascii="仿宋_GB2312" w:hAnsi="宋体" w:eastAsia="仿宋_GB2312"/>
                <w:color w:val="000000"/>
                <w:szCs w:val="21"/>
              </w:rPr>
              <w:t xml:space="preserve">    </w:t>
            </w:r>
            <w:r>
              <w:rPr>
                <w:rFonts w:eastAsia="仿宋_GB2312"/>
                <w:sz w:val="22"/>
                <w:szCs w:val="32"/>
              </w:rPr>
              <w:sym w:font="Wingdings 2" w:char="F052"/>
            </w:r>
            <w:r>
              <w:rPr>
                <w:rFonts w:hint="eastAsia" w:ascii="仿宋_GB2312" w:hAnsi="宋体" w:eastAsia="仿宋_GB2312"/>
                <w:color w:val="000000"/>
                <w:szCs w:val="21"/>
              </w:rPr>
              <w:t>财政全额拨款</w:t>
            </w:r>
            <w:r>
              <w:rPr>
                <w:rFonts w:hint="eastAsia" w:ascii="仿宋_GB2312" w:hAnsi="Arial" w:eastAsia="仿宋_GB2312" w:cs="Arial"/>
                <w:color w:val="000000"/>
                <w:szCs w:val="21"/>
              </w:rPr>
              <w:t xml:space="preserve">   </w:t>
            </w:r>
            <w:r>
              <w:rPr>
                <w:rFonts w:hint="eastAsia" w:ascii="仿宋_GB2312" w:hAnsi="宋体" w:eastAsia="仿宋_GB2312"/>
                <w:color w:val="000000"/>
                <w:szCs w:val="21"/>
              </w:rPr>
              <w:t>□财政差额拨款   □自收自支   □其他</w:t>
            </w:r>
            <w:r>
              <w:rPr>
                <w:rFonts w:hint="eastAsia" w:ascii="仿宋_GB2312" w:hAnsi="宋体" w:eastAsia="仿宋_GB2312"/>
                <w:color w:val="000000"/>
                <w:szCs w:val="21"/>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6" w:hRule="atLeast"/>
          <w:jc w:val="center"/>
        </w:trPr>
        <w:tc>
          <w:tcPr>
            <w:tcW w:w="1262" w:type="dxa"/>
            <w:tcBorders>
              <w:top w:val="single" w:color="auto" w:sz="4" w:space="0"/>
              <w:left w:val="single" w:color="auto" w:sz="8" w:space="0"/>
              <w:right w:val="single" w:color="000000" w:sz="6" w:space="0"/>
            </w:tcBorders>
            <w:vAlign w:val="center"/>
          </w:tcPr>
          <w:p>
            <w:pPr>
              <w:spacing w:line="400" w:lineRule="exact"/>
              <w:jc w:val="center"/>
              <w:rPr>
                <w:rFonts w:ascii="仿宋_GB2312" w:eastAsia="仿宋_GB2312"/>
                <w:color w:val="000000"/>
                <w:sz w:val="24"/>
              </w:rPr>
            </w:pPr>
            <w:r>
              <w:rPr>
                <w:rFonts w:hint="eastAsia" w:ascii="仿宋_GB2312" w:hAnsi="Calibri" w:eastAsia="仿宋_GB2312"/>
                <w:color w:val="000000"/>
                <w:sz w:val="24"/>
              </w:rPr>
              <w:t>执法依据</w:t>
            </w:r>
          </w:p>
        </w:tc>
        <w:tc>
          <w:tcPr>
            <w:tcW w:w="9411" w:type="dxa"/>
            <w:gridSpan w:val="3"/>
            <w:tcBorders>
              <w:top w:val="single" w:color="auto" w:sz="4" w:space="0"/>
              <w:left w:val="single" w:color="000000" w:sz="6" w:space="0"/>
              <w:right w:val="single" w:color="auto" w:sz="8" w:space="0"/>
            </w:tcBorders>
            <w:vAlign w:val="center"/>
          </w:tcPr>
          <w:p>
            <w:pPr>
              <w:ind w:firstLine="420" w:firstLineChars="200"/>
              <w:rPr>
                <w:rFonts w:hint="eastAsia"/>
                <w:color w:val="auto"/>
                <w:highlight w:val="none"/>
              </w:rPr>
            </w:pPr>
            <w:r>
              <w:rPr>
                <w:rFonts w:hint="eastAsia"/>
                <w:color w:val="auto"/>
                <w:highlight w:val="none"/>
                <w:lang w:val="en-US" w:eastAsia="zh-CN"/>
              </w:rPr>
              <w:t>1.</w:t>
            </w:r>
            <w:r>
              <w:rPr>
                <w:rFonts w:hint="eastAsia"/>
                <w:color w:val="auto"/>
                <w:highlight w:val="none"/>
              </w:rPr>
              <w:t>事项：对非法占地行为的行政处罚</w:t>
            </w:r>
          </w:p>
          <w:p>
            <w:pPr>
              <w:rPr>
                <w:rFonts w:hint="eastAsia"/>
              </w:rPr>
            </w:pPr>
            <w:r>
              <w:rPr>
                <w:rFonts w:hint="eastAsia"/>
              </w:rPr>
              <w:t>依据：【部门规章】《自然资源执法监督规定》（2018年1月发布，2020年3月修改）</w:t>
            </w:r>
          </w:p>
          <w:p>
            <w:pPr>
              <w:rPr>
                <w:rFonts w:hint="eastAsia"/>
              </w:rPr>
            </w:pPr>
            <w:r>
              <w:rPr>
                <w:rFonts w:hint="eastAsia"/>
              </w:rPr>
              <w:t>第八条：“县级以上地方自然资源主管部门根据工作需要，可以委托自然资源执法监督队伍行使执法监督职权。具体职权范围由委托机关决定。上级自然资源主管部门应当加强对下级自然资源主管部门行政执法行为的监督和指导。”</w:t>
            </w:r>
          </w:p>
          <w:p>
            <w:pPr>
              <w:rPr>
                <w:rFonts w:hint="eastAsia"/>
              </w:rPr>
            </w:pPr>
            <w:r>
              <w:rPr>
                <w:rFonts w:hint="eastAsia"/>
              </w:rPr>
              <w:t>【规范性文件】《国土资源违法行为查处工作规程》（2014年9月国土资发[2014]117号）</w:t>
            </w:r>
          </w:p>
          <w:p>
            <w:pPr>
              <w:rPr>
                <w:rFonts w:hint="eastAsia"/>
              </w:rPr>
            </w:pPr>
            <w:r>
              <w:rPr>
                <w:rFonts w:hint="eastAsia"/>
              </w:rPr>
              <w:t xml:space="preserve"> 4.3查处国土资源违法行为的实施主体 县级人民政府国土资源主管部门可以根据需要依法明确国土资源管理所、执法监察中队承担相应的国土资源执法监察工作。</w:t>
            </w:r>
          </w:p>
          <w:p>
            <w:pPr>
              <w:rPr>
                <w:rFonts w:hint="eastAsia"/>
              </w:rPr>
            </w:pPr>
            <w:r>
              <w:rPr>
                <w:rFonts w:hint="eastAsia"/>
              </w:rPr>
              <w:t>【法律】《行政处罚法》（1996年3月公布，2009年8月修正）</w:t>
            </w:r>
          </w:p>
          <w:p>
            <w:pPr>
              <w:rPr>
                <w:rFonts w:hint="eastAsia"/>
              </w:rPr>
            </w:pPr>
            <w:r>
              <w:rPr>
                <w:rFonts w:hint="eastAsia"/>
              </w:rPr>
              <w:t>第十八条：“行政机关依照法律、法规或者规章的规定，可以在其法定权限内委托符合本法第十九条规定条件的组织实施行政处罚。行政机关不得委托其他组织或者个人实施行政处罚。”</w:t>
            </w:r>
          </w:p>
          <w:p>
            <w:pPr>
              <w:rPr>
                <w:rFonts w:hint="eastAsia"/>
              </w:rPr>
            </w:pPr>
            <w:r>
              <w:rPr>
                <w:rFonts w:hint="eastAsia"/>
              </w:rPr>
              <w:t>【法律】《土地管理法》（1986年6月通过，2019年8月修正）</w:t>
            </w:r>
          </w:p>
          <w:p>
            <w:pPr>
              <w:rPr>
                <w:rFonts w:hint="eastAsia"/>
              </w:rPr>
            </w:pPr>
            <w:r>
              <w:rPr>
                <w:rFonts w:hint="eastAsia"/>
              </w:rPr>
              <w:t>第七十七条：“未经批准或者采取欺骗手段骗取批准，非法占用土地的，由县级以上人民政府自然资源主管部门责令退还非法占用的土地，对违反土地利用总体规划擅自将农用地改为建设用地的，限期拆除在非法占用的土地上新建的建筑物和其他设施，恢复土地原状，对符合土地利用总体规划的，没收在非法占用的土地上新建的建筑物和其他设施，可以并处罚款；对非法占用土地单位的直接负责的主管人员和其他直接责任人员，依法给予处分；构成犯罪的，依法追究刑事责任。”</w:t>
            </w:r>
          </w:p>
          <w:p>
            <w:pPr>
              <w:ind w:firstLine="420" w:firstLineChars="200"/>
              <w:rPr>
                <w:rFonts w:hint="eastAsia"/>
                <w:color w:val="auto"/>
                <w:highlight w:val="none"/>
              </w:rPr>
            </w:pPr>
            <w:r>
              <w:rPr>
                <w:rFonts w:hint="eastAsia"/>
                <w:color w:val="auto"/>
                <w:highlight w:val="none"/>
                <w:lang w:val="en-US" w:eastAsia="zh-CN"/>
              </w:rPr>
              <w:t>2.</w:t>
            </w:r>
            <w:r>
              <w:rPr>
                <w:rFonts w:hint="eastAsia"/>
                <w:color w:val="auto"/>
                <w:highlight w:val="none"/>
              </w:rPr>
              <w:t>事项：对违反土地管理法律、法规行为的行政检查</w:t>
            </w:r>
          </w:p>
          <w:p>
            <w:pPr>
              <w:rPr>
                <w:rFonts w:hint="eastAsia"/>
              </w:rPr>
            </w:pPr>
            <w:r>
              <w:rPr>
                <w:rFonts w:hint="eastAsia"/>
              </w:rPr>
              <w:t>依据：【法律】《土地管理法》（1986年6月通过，2019年8月修正）</w:t>
            </w:r>
          </w:p>
          <w:p>
            <w:pPr>
              <w:rPr>
                <w:sz w:val="18"/>
                <w:szCs w:val="18"/>
              </w:rPr>
            </w:pPr>
            <w:r>
              <w:rPr>
                <w:rFonts w:hint="eastAsia"/>
              </w:rPr>
              <w:t>第六十七条：“县级以上人民政府自然资源主管部门对违反土地管理法律、法规的行为进行监督检查。”</w:t>
            </w:r>
          </w:p>
        </w:tc>
      </w:tr>
    </w:tbl>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p>
      <w:pPr>
        <w:spacing w:line="0" w:lineRule="atLeast"/>
        <w:rPr>
          <w:rFonts w:ascii="仿宋" w:hAnsi="仿宋" w:eastAsia="仿宋"/>
        </w:rPr>
      </w:pPr>
    </w:p>
    <w:tbl>
      <w:tblPr>
        <w:tblStyle w:val="5"/>
        <w:tblW w:w="107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25"/>
        <w:gridCol w:w="5993"/>
        <w:gridCol w:w="654"/>
        <w:gridCol w:w="28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exact"/>
          <w:jc w:val="center"/>
        </w:trPr>
        <w:tc>
          <w:tcPr>
            <w:tcW w:w="1225"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单位全称</w:t>
            </w:r>
          </w:p>
        </w:tc>
        <w:tc>
          <w:tcPr>
            <w:tcW w:w="9497" w:type="dxa"/>
            <w:gridSpan w:val="3"/>
            <w:tcBorders>
              <w:top w:val="single" w:color="000000" w:sz="6" w:space="0"/>
              <w:left w:val="single" w:color="000000" w:sz="6" w:space="0"/>
              <w:bottom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荣成市野生动植物保护站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 w:hRule="exact"/>
          <w:jc w:val="center"/>
        </w:trPr>
        <w:tc>
          <w:tcPr>
            <w:tcW w:w="1225"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办公地址</w:t>
            </w:r>
          </w:p>
        </w:tc>
        <w:tc>
          <w:tcPr>
            <w:tcW w:w="5993" w:type="dxa"/>
            <w:tcBorders>
              <w:top w:val="single" w:color="000000" w:sz="6" w:space="0"/>
              <w:left w:val="single" w:color="000000" w:sz="6"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荣成市观海东路14号</w:t>
            </w:r>
          </w:p>
        </w:tc>
        <w:tc>
          <w:tcPr>
            <w:tcW w:w="654" w:type="dxa"/>
            <w:tcBorders>
              <w:top w:val="single" w:color="000000" w:sz="6" w:space="0"/>
              <w:left w:val="single" w:color="000000" w:sz="6" w:space="0"/>
              <w:bottom w:val="single" w:color="000000" w:sz="6" w:space="0"/>
              <w:right w:val="single" w:color="000000" w:sz="6" w:space="0"/>
            </w:tcBorders>
            <w:vAlign w:val="center"/>
          </w:tcPr>
          <w:p>
            <w:pPr>
              <w:spacing w:line="260" w:lineRule="exact"/>
              <w:rPr>
                <w:rFonts w:ascii="仿宋_GB2312" w:hAnsi="宋体" w:eastAsia="仿宋_GB2312"/>
                <w:color w:val="000000"/>
              </w:rPr>
            </w:pPr>
            <w:r>
              <w:rPr>
                <w:rFonts w:hint="eastAsia" w:ascii="仿宋_GB2312" w:hAnsi="宋体" w:eastAsia="仿宋_GB2312"/>
                <w:color w:val="000000"/>
              </w:rPr>
              <w:t>邮编</w:t>
            </w:r>
          </w:p>
        </w:tc>
        <w:tc>
          <w:tcPr>
            <w:tcW w:w="2850" w:type="dxa"/>
            <w:tcBorders>
              <w:top w:val="single" w:color="000000" w:sz="6" w:space="0"/>
              <w:left w:val="single" w:color="000000" w:sz="6" w:space="0"/>
              <w:bottom w:val="single" w:color="000000" w:sz="6" w:space="0"/>
              <w:right w:val="single" w:color="auto" w:sz="8"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264300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exact"/>
          <w:jc w:val="center"/>
        </w:trPr>
        <w:tc>
          <w:tcPr>
            <w:tcW w:w="1225"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机构性质</w:t>
            </w:r>
          </w:p>
        </w:tc>
        <w:tc>
          <w:tcPr>
            <w:tcW w:w="9497" w:type="dxa"/>
            <w:gridSpan w:val="3"/>
            <w:tcBorders>
              <w:top w:val="single" w:color="000000" w:sz="6" w:space="0"/>
              <w:left w:val="single" w:color="000000" w:sz="6" w:space="0"/>
              <w:bottom w:val="single" w:color="000000" w:sz="6" w:space="0"/>
              <w:right w:val="single" w:color="auto" w:sz="8" w:space="0"/>
            </w:tcBorders>
          </w:tcPr>
          <w:p>
            <w:pPr>
              <w:spacing w:line="440" w:lineRule="exact"/>
              <w:ind w:firstLine="420" w:firstLineChars="200"/>
              <w:rPr>
                <w:rFonts w:ascii="仿宋_GB2312" w:hAnsi="宋体" w:eastAsia="仿宋_GB2312"/>
                <w:color w:val="000000"/>
              </w:rPr>
            </w:pPr>
            <w:r>
              <w:rPr>
                <w:rFonts w:hint="eastAsia" w:ascii="仿宋_GB2312" w:hAnsi="宋体" w:eastAsia="仿宋_GB2312"/>
                <w:color w:val="000000"/>
                <w:szCs w:val="32"/>
              </w:rPr>
              <w:t>□</w:t>
            </w:r>
            <w:r>
              <w:rPr>
                <w:rFonts w:hint="eastAsia" w:ascii="仿宋_GB2312" w:hAnsi="宋体" w:eastAsia="仿宋_GB2312"/>
                <w:color w:val="000000"/>
              </w:rPr>
              <w:t xml:space="preserve">行政机关  </w:t>
            </w:r>
            <w:r>
              <w:rPr>
                <w:rFonts w:hint="eastAsia" w:ascii="仿宋_GB2312" w:hAnsi="宋体" w:eastAsia="仿宋_GB2312"/>
                <w:color w:val="000000"/>
                <w:szCs w:val="32"/>
              </w:rPr>
              <w:t xml:space="preserve"> </w:t>
            </w:r>
            <w:r>
              <w:rPr>
                <w:rFonts w:eastAsia="仿宋_GB2312"/>
                <w:sz w:val="22"/>
                <w:szCs w:val="32"/>
              </w:rPr>
              <w:sym w:font="Wingdings 2" w:char="F052"/>
            </w:r>
            <w:r>
              <w:rPr>
                <w:rFonts w:hint="eastAsia" w:ascii="仿宋_GB2312" w:hAnsi="宋体" w:eastAsia="仿宋_GB2312"/>
                <w:color w:val="000000"/>
              </w:rPr>
              <w:t xml:space="preserve">事业单位 </w:t>
            </w:r>
            <w:r>
              <w:rPr>
                <w:rFonts w:hint="eastAsia" w:ascii="仿宋_GB2312" w:hAnsi="宋体" w:eastAsia="仿宋_GB2312"/>
                <w:color w:val="000000"/>
                <w:szCs w:val="32"/>
              </w:rPr>
              <w:t xml:space="preserve"> </w:t>
            </w:r>
            <w:r>
              <w:rPr>
                <w:rFonts w:hint="eastAsia" w:ascii="仿宋_GB2312" w:hAnsi="宋体" w:eastAsia="仿宋_GB2312"/>
                <w:color w:val="000000"/>
              </w:rPr>
              <w:t xml:space="preserve">   </w:t>
            </w:r>
            <w:r>
              <w:rPr>
                <w:rFonts w:hint="eastAsia" w:ascii="仿宋_GB2312" w:hAnsi="宋体" w:eastAsia="仿宋_GB2312"/>
                <w:color w:val="000000"/>
                <w:szCs w:val="32"/>
              </w:rPr>
              <w:t>□</w:t>
            </w:r>
            <w:r>
              <w:rPr>
                <w:rFonts w:hint="eastAsia" w:ascii="仿宋_GB2312" w:hAnsi="宋体" w:eastAsia="仿宋_GB2312"/>
                <w:color w:val="000000"/>
              </w:rPr>
              <w:t xml:space="preserve">内设机构  </w:t>
            </w:r>
            <w:r>
              <w:rPr>
                <w:rFonts w:hint="eastAsia" w:ascii="仿宋_GB2312" w:hAnsi="宋体" w:eastAsia="仿宋_GB2312"/>
                <w:color w:val="000000"/>
                <w:szCs w:val="36"/>
              </w:rPr>
              <w:t xml:space="preserve"> </w:t>
            </w:r>
            <w:r>
              <w:rPr>
                <w:rFonts w:hint="eastAsia" w:ascii="仿宋_GB2312" w:hAnsi="宋体" w:eastAsia="仿宋_GB2312"/>
                <w:color w:val="000000"/>
                <w:szCs w:val="32"/>
              </w:rPr>
              <w:t>□</w:t>
            </w:r>
            <w:r>
              <w:rPr>
                <w:rFonts w:hint="eastAsia" w:ascii="仿宋_GB2312" w:hAnsi="宋体" w:eastAsia="仿宋_GB2312"/>
                <w:color w:val="000000"/>
              </w:rPr>
              <w:t xml:space="preserve">临时机构     </w:t>
            </w:r>
            <w:r>
              <w:rPr>
                <w:rFonts w:hint="eastAsia" w:ascii="仿宋_GB2312" w:hAnsi="宋体" w:eastAsia="仿宋_GB2312"/>
                <w:color w:val="000000"/>
                <w:szCs w:val="32"/>
              </w:rPr>
              <w:t>□</w:t>
            </w:r>
            <w:r>
              <w:rPr>
                <w:rFonts w:hint="eastAsia" w:ascii="仿宋_GB2312" w:hAnsi="宋体" w:eastAsia="仿宋_GB2312"/>
                <w:color w:val="000000"/>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exact"/>
          <w:jc w:val="center"/>
        </w:trPr>
        <w:tc>
          <w:tcPr>
            <w:tcW w:w="1225" w:type="dxa"/>
            <w:tcBorders>
              <w:top w:val="single" w:color="000000" w:sz="6" w:space="0"/>
              <w:left w:val="single" w:color="auto" w:sz="8" w:space="0"/>
              <w:bottom w:val="single" w:color="auto" w:sz="4" w:space="0"/>
              <w:right w:val="single" w:color="auto" w:sz="8" w:space="0"/>
            </w:tcBorders>
            <w:vAlign w:val="center"/>
          </w:tcPr>
          <w:p>
            <w:pPr>
              <w:spacing w:line="260" w:lineRule="exact"/>
              <w:jc w:val="center"/>
              <w:rPr>
                <w:rFonts w:ascii="仿宋_GB2312" w:hAnsi="宋体" w:eastAsia="仿宋_GB2312"/>
                <w:color w:val="000000"/>
                <w:szCs w:val="21"/>
              </w:rPr>
            </w:pPr>
            <w:r>
              <w:rPr>
                <w:rFonts w:hint="eastAsia" w:ascii="仿宋_GB2312" w:hAnsi="宋体" w:eastAsia="仿宋_GB2312"/>
                <w:color w:val="000000"/>
              </w:rPr>
              <w:t>主体类别</w:t>
            </w:r>
          </w:p>
        </w:tc>
        <w:tc>
          <w:tcPr>
            <w:tcW w:w="9497" w:type="dxa"/>
            <w:gridSpan w:val="3"/>
            <w:tcBorders>
              <w:top w:val="single" w:color="000000" w:sz="6" w:space="0"/>
              <w:left w:val="single" w:color="000000" w:sz="6" w:space="0"/>
              <w:bottom w:val="single" w:color="auto" w:sz="4" w:space="0"/>
              <w:right w:val="single" w:color="auto" w:sz="8" w:space="0"/>
            </w:tcBorders>
            <w:vAlign w:val="center"/>
          </w:tcPr>
          <w:p>
            <w:pPr>
              <w:spacing w:line="260" w:lineRule="exact"/>
              <w:rPr>
                <w:rFonts w:ascii="仿宋_GB2312" w:hAnsi="宋体" w:eastAsia="仿宋_GB2312"/>
                <w:color w:val="000000"/>
                <w:szCs w:val="21"/>
              </w:rPr>
            </w:pPr>
            <w:r>
              <w:rPr>
                <w:rFonts w:hint="eastAsia" w:ascii="仿宋_GB2312" w:hAnsi="宋体" w:eastAsia="仿宋_GB2312" w:cs="宋体"/>
                <w:color w:val="000000"/>
                <w:kern w:val="0"/>
                <w:szCs w:val="21"/>
              </w:rPr>
              <w:t xml:space="preserve">    □法定行政机关     □法律、法规授权的组织   </w:t>
            </w:r>
            <w:r>
              <w:rPr>
                <w:rFonts w:eastAsia="仿宋_GB2312"/>
                <w:sz w:val="22"/>
                <w:szCs w:val="32"/>
              </w:rPr>
              <w:sym w:font="Wingdings 2" w:char="F052"/>
            </w:r>
            <w:r>
              <w:rPr>
                <w:rFonts w:hint="eastAsia" w:ascii="仿宋_GB2312" w:hAnsi="宋体" w:eastAsia="仿宋_GB2312" w:cs="宋体"/>
                <w:color w:val="000000"/>
                <w:kern w:val="0"/>
                <w:szCs w:val="21"/>
              </w:rPr>
              <w:t xml:space="preserve">依法受委托执法的组织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6" w:hRule="atLeast"/>
          <w:jc w:val="center"/>
        </w:trPr>
        <w:tc>
          <w:tcPr>
            <w:tcW w:w="1225" w:type="dxa"/>
            <w:tcBorders>
              <w:top w:val="single" w:color="000000" w:sz="6" w:space="0"/>
              <w:left w:val="single" w:color="auto" w:sz="8" w:space="0"/>
              <w:bottom w:val="single" w:color="000000" w:sz="6" w:space="0"/>
              <w:right w:val="single" w:color="000000" w:sz="6" w:space="0"/>
            </w:tcBorders>
            <w:vAlign w:val="center"/>
          </w:tcPr>
          <w:p>
            <w:pPr>
              <w:spacing w:line="260" w:lineRule="exact"/>
              <w:jc w:val="center"/>
              <w:rPr>
                <w:rFonts w:ascii="仿宋_GB2312" w:hAnsi="宋体" w:eastAsia="仿宋_GB2312"/>
                <w:color w:val="000000"/>
              </w:rPr>
            </w:pPr>
            <w:r>
              <w:rPr>
                <w:rFonts w:hint="eastAsia" w:ascii="仿宋_GB2312" w:hAnsi="宋体" w:eastAsia="仿宋_GB2312"/>
                <w:color w:val="000000"/>
              </w:rPr>
              <w:t>执法职权</w:t>
            </w:r>
          </w:p>
          <w:p>
            <w:pPr>
              <w:spacing w:line="260" w:lineRule="exact"/>
              <w:jc w:val="center"/>
              <w:rPr>
                <w:rFonts w:ascii="仿宋_GB2312" w:hAnsi="宋体" w:eastAsia="仿宋_GB2312"/>
                <w:color w:val="000000"/>
              </w:rPr>
            </w:pPr>
            <w:r>
              <w:rPr>
                <w:rFonts w:hint="eastAsia" w:ascii="仿宋_GB2312" w:hAnsi="宋体" w:eastAsia="仿宋_GB2312"/>
                <w:color w:val="000000"/>
              </w:rPr>
              <w:t>类型</w:t>
            </w:r>
          </w:p>
        </w:tc>
        <w:tc>
          <w:tcPr>
            <w:tcW w:w="9497" w:type="dxa"/>
            <w:gridSpan w:val="3"/>
            <w:tcBorders>
              <w:top w:val="single" w:color="000000" w:sz="6" w:space="0"/>
              <w:left w:val="single" w:color="000000" w:sz="6" w:space="0"/>
              <w:right w:val="single" w:color="auto" w:sz="8" w:space="0"/>
            </w:tcBorders>
            <w:vAlign w:val="center"/>
          </w:tcPr>
          <w:p>
            <w:pPr>
              <w:spacing w:line="260" w:lineRule="exact"/>
              <w:rPr>
                <w:rFonts w:ascii="仿宋_GB2312" w:hAnsi="宋体" w:eastAsia="仿宋_GB2312"/>
                <w:color w:val="000000"/>
                <w:szCs w:val="32"/>
              </w:rPr>
            </w:pPr>
            <w:r>
              <w:rPr>
                <w:rFonts w:hint="eastAsia" w:ascii="仿宋_GB2312" w:hAnsi="宋体" w:eastAsia="仿宋_GB2312"/>
                <w:color w:val="000000"/>
                <w:szCs w:val="32"/>
              </w:rPr>
              <w:t xml:space="preserve">    </w:t>
            </w:r>
            <w:r>
              <w:rPr>
                <w:rFonts w:eastAsia="仿宋_GB2312"/>
                <w:sz w:val="22"/>
                <w:szCs w:val="32"/>
              </w:rPr>
              <w:sym w:font="Wingdings 2" w:char="F052"/>
            </w:r>
            <w:r>
              <w:rPr>
                <w:rFonts w:hint="eastAsia" w:ascii="仿宋_GB2312" w:hAnsi="宋体" w:eastAsia="仿宋_GB2312"/>
                <w:color w:val="000000"/>
                <w:szCs w:val="32"/>
              </w:rPr>
              <w:t xml:space="preserve">行政许可  </w:t>
            </w:r>
            <w:r>
              <w:rPr>
                <w:rFonts w:eastAsia="仿宋_GB2312"/>
                <w:sz w:val="22"/>
                <w:szCs w:val="32"/>
              </w:rPr>
              <w:sym w:font="Wingdings 2" w:char="F052"/>
            </w:r>
            <w:r>
              <w:rPr>
                <w:rFonts w:hint="eastAsia" w:ascii="仿宋_GB2312" w:hAnsi="宋体" w:eastAsia="仿宋_GB2312"/>
                <w:color w:val="000000"/>
                <w:szCs w:val="32"/>
              </w:rPr>
              <w:t xml:space="preserve">行政处罚  </w:t>
            </w:r>
            <w:r>
              <w:rPr>
                <w:rFonts w:eastAsia="仿宋_GB2312"/>
                <w:sz w:val="22"/>
                <w:szCs w:val="32"/>
              </w:rPr>
              <w:sym w:font="Wingdings 2" w:char="F052"/>
            </w:r>
            <w:r>
              <w:rPr>
                <w:rFonts w:hint="eastAsia" w:ascii="仿宋_GB2312" w:hAnsi="宋体" w:eastAsia="仿宋_GB2312"/>
                <w:color w:val="000000"/>
                <w:szCs w:val="32"/>
              </w:rPr>
              <w:t>行政强制  □行政征收</w:t>
            </w:r>
          </w:p>
          <w:p>
            <w:pPr>
              <w:spacing w:line="260" w:lineRule="exact"/>
              <w:rPr>
                <w:rFonts w:ascii="仿宋_GB2312" w:hAnsi="宋体" w:eastAsia="仿宋_GB2312"/>
                <w:color w:val="000000"/>
              </w:rPr>
            </w:pPr>
            <w:r>
              <w:rPr>
                <w:rFonts w:hint="eastAsia" w:ascii="仿宋_GB2312" w:hAnsi="宋体" w:eastAsia="仿宋_GB2312"/>
                <w:color w:val="000000"/>
                <w:szCs w:val="32"/>
              </w:rPr>
              <w:t xml:space="preserve">    □行政征用  </w:t>
            </w:r>
            <w:r>
              <w:rPr>
                <w:rFonts w:hint="eastAsia" w:ascii="仿宋_GB2312" w:hAnsi="宋体" w:eastAsia="仿宋_GB2312"/>
                <w:color w:val="000000"/>
                <w:szCs w:val="32"/>
              </w:rPr>
              <w:sym w:font="Wingdings 2" w:char="0052"/>
            </w:r>
            <w:r>
              <w:rPr>
                <w:rFonts w:hint="eastAsia" w:ascii="仿宋_GB2312" w:hAnsi="宋体" w:eastAsia="仿宋_GB2312"/>
                <w:color w:val="000000"/>
                <w:szCs w:val="32"/>
              </w:rPr>
              <w:t>行政检查  □其他行政执法行为</w:t>
            </w:r>
            <w:r>
              <w:rPr>
                <w:rFonts w:hint="eastAsia" w:ascii="仿宋_GB2312" w:hAnsi="宋体" w:eastAsia="仿宋_GB2312"/>
                <w:color w:val="000000"/>
                <w:szCs w:val="21"/>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225" w:type="dxa"/>
            <w:tcBorders>
              <w:top w:val="single" w:color="000000" w:sz="6" w:space="0"/>
              <w:left w:val="single" w:color="auto" w:sz="8" w:space="0"/>
              <w:bottom w:val="single" w:color="auto" w:sz="4" w:space="0"/>
              <w:right w:val="single" w:color="000000" w:sz="6" w:space="0"/>
            </w:tcBorders>
            <w:vAlign w:val="center"/>
          </w:tcPr>
          <w:p>
            <w:pPr>
              <w:spacing w:line="260" w:lineRule="exact"/>
              <w:ind w:firstLine="105" w:firstLineChars="50"/>
              <w:jc w:val="center"/>
              <w:rPr>
                <w:rFonts w:ascii="仿宋_GB2312" w:hAnsi="宋体" w:eastAsia="仿宋_GB2312"/>
                <w:color w:val="000000"/>
                <w:szCs w:val="21"/>
              </w:rPr>
            </w:pPr>
            <w:r>
              <w:rPr>
                <w:rFonts w:hint="eastAsia" w:ascii="仿宋_GB2312" w:hAnsi="宋体" w:eastAsia="仿宋_GB2312"/>
                <w:color w:val="000000"/>
                <w:szCs w:val="21"/>
              </w:rPr>
              <w:t>经费来源</w:t>
            </w:r>
          </w:p>
        </w:tc>
        <w:tc>
          <w:tcPr>
            <w:tcW w:w="9497" w:type="dxa"/>
            <w:gridSpan w:val="3"/>
            <w:tcBorders>
              <w:top w:val="single" w:color="000000" w:sz="6" w:space="0"/>
              <w:left w:val="single" w:color="000000" w:sz="6" w:space="0"/>
              <w:bottom w:val="single" w:color="auto" w:sz="4" w:space="0"/>
              <w:right w:val="single" w:color="auto" w:sz="8" w:space="0"/>
            </w:tcBorders>
            <w:vAlign w:val="center"/>
          </w:tcPr>
          <w:p>
            <w:pPr>
              <w:spacing w:line="260" w:lineRule="exact"/>
              <w:rPr>
                <w:rFonts w:ascii="仿宋_GB2312" w:hAnsi="宋体" w:eastAsia="仿宋_GB2312"/>
                <w:color w:val="000000"/>
                <w:szCs w:val="21"/>
              </w:rPr>
            </w:pPr>
            <w:r>
              <w:rPr>
                <w:rFonts w:hint="eastAsia" w:ascii="仿宋_GB2312" w:hAnsi="宋体" w:eastAsia="仿宋_GB2312"/>
                <w:color w:val="000000"/>
                <w:szCs w:val="21"/>
              </w:rPr>
              <w:t xml:space="preserve">    </w:t>
            </w:r>
            <w:r>
              <w:rPr>
                <w:rFonts w:eastAsia="仿宋_GB2312"/>
                <w:sz w:val="22"/>
                <w:szCs w:val="32"/>
              </w:rPr>
              <w:sym w:font="Wingdings 2" w:char="F052"/>
            </w:r>
            <w:r>
              <w:rPr>
                <w:rFonts w:hint="eastAsia" w:ascii="仿宋_GB2312" w:hAnsi="宋体" w:eastAsia="仿宋_GB2312"/>
                <w:color w:val="000000"/>
                <w:szCs w:val="21"/>
              </w:rPr>
              <w:t>财政全额拨款</w:t>
            </w:r>
            <w:r>
              <w:rPr>
                <w:rFonts w:hint="eastAsia" w:ascii="仿宋_GB2312" w:hAnsi="Arial" w:eastAsia="仿宋_GB2312" w:cs="Arial"/>
                <w:color w:val="000000"/>
                <w:szCs w:val="21"/>
              </w:rPr>
              <w:t xml:space="preserve">   </w:t>
            </w:r>
            <w:r>
              <w:rPr>
                <w:rFonts w:hint="eastAsia" w:ascii="仿宋_GB2312" w:hAnsi="宋体" w:eastAsia="仿宋_GB2312"/>
                <w:color w:val="000000"/>
                <w:szCs w:val="21"/>
              </w:rPr>
              <w:t>□财政差额拨款   □自收自支   □其他</w:t>
            </w:r>
            <w:r>
              <w:rPr>
                <w:rFonts w:hint="eastAsia" w:ascii="仿宋_GB2312" w:hAnsi="宋体" w:eastAsia="仿宋_GB2312"/>
                <w:color w:val="000000"/>
                <w:szCs w:val="21"/>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2" w:hRule="atLeast"/>
          <w:jc w:val="center"/>
        </w:trPr>
        <w:tc>
          <w:tcPr>
            <w:tcW w:w="1225" w:type="dxa"/>
            <w:tcBorders>
              <w:top w:val="single" w:color="auto" w:sz="4" w:space="0"/>
              <w:left w:val="single" w:color="auto" w:sz="8" w:space="0"/>
              <w:right w:val="single" w:color="000000" w:sz="6" w:space="0"/>
            </w:tcBorders>
            <w:vAlign w:val="center"/>
          </w:tcPr>
          <w:p>
            <w:pPr>
              <w:spacing w:line="400" w:lineRule="exact"/>
              <w:jc w:val="center"/>
              <w:rPr>
                <w:rFonts w:ascii="仿宋_GB2312" w:eastAsia="仿宋_GB2312"/>
                <w:color w:val="000000"/>
                <w:sz w:val="24"/>
              </w:rPr>
            </w:pPr>
            <w:r>
              <w:rPr>
                <w:rFonts w:hint="eastAsia" w:ascii="仿宋_GB2312" w:hAnsi="Calibri" w:eastAsia="仿宋_GB2312"/>
                <w:color w:val="000000"/>
                <w:sz w:val="24"/>
              </w:rPr>
              <w:t>执法依据</w:t>
            </w:r>
          </w:p>
        </w:tc>
        <w:tc>
          <w:tcPr>
            <w:tcW w:w="9497" w:type="dxa"/>
            <w:gridSpan w:val="3"/>
            <w:tcBorders>
              <w:top w:val="single" w:color="auto" w:sz="4" w:space="0"/>
              <w:left w:val="single" w:color="000000" w:sz="6" w:space="0"/>
              <w:right w:val="single" w:color="auto" w:sz="8" w:space="0"/>
            </w:tcBorders>
            <w:vAlign w:val="center"/>
          </w:tcPr>
          <w:p>
            <w:pPr>
              <w:ind w:firstLine="420" w:firstLineChars="200"/>
              <w:rPr>
                <w:rFonts w:hint="eastAsia"/>
                <w:highlight w:val="none"/>
              </w:rPr>
            </w:pPr>
            <w:r>
              <w:rPr>
                <w:rFonts w:hint="eastAsia"/>
                <w:highlight w:val="none"/>
                <w:lang w:val="en-US" w:eastAsia="zh-CN"/>
              </w:rPr>
              <w:t>1.</w:t>
            </w:r>
            <w:r>
              <w:rPr>
                <w:rFonts w:hint="eastAsia"/>
                <w:highlight w:val="none"/>
              </w:rPr>
              <w:t>事项：对植物检疫审批的行政许可</w:t>
            </w:r>
          </w:p>
          <w:p>
            <w:pPr>
              <w:rPr>
                <w:rFonts w:hint="eastAsia"/>
              </w:rPr>
            </w:pPr>
            <w:r>
              <w:rPr>
                <w:rFonts w:hint="eastAsia"/>
              </w:rPr>
              <w:t>依据：【行政法规】《植物检疫条例》（1983年1月发布,2017年10月修正）</w:t>
            </w:r>
          </w:p>
          <w:p>
            <w:pPr>
              <w:rPr>
                <w:rFonts w:hint="eastAsia"/>
              </w:rPr>
            </w:pPr>
            <w:r>
              <w:rPr>
                <w:rFonts w:hint="eastAsia"/>
              </w:rPr>
              <w:t>第二条：“国务院农业主管部门、林业主管部门主管全国的植物检疫工作，各省、自治区、直辖市农业主管部门、林业主管部门主管本地区的植物检疫工作。”；第三条第一款：“县级以上地方和各级农业主管部门、林业主管部门所属的植物检疫机构，负责执行国家的植物检疫任务。”；第七条：“调运植物和植物产品，属于下列情况的，必须经过检疫：（一）列入应施检疫的植物、植物产品名单的，运出发生疫情的县级行政区域之前，必须经过检疫；（二）凡种子、苗木和其他繁殖材料，不论是否列入应施检疫的植物、植物产品名单和运往何地，在调运之前，都必须经过检疫。”；第十二条第一款：“从国外引进种子、苗木，引进单位应当向所在地的省、自治区、直辖市植物检疫机构提出申请，办理检疫审批手续。”</w:t>
            </w:r>
          </w:p>
          <w:p>
            <w:pPr>
              <w:ind w:firstLine="420" w:firstLineChars="200"/>
              <w:rPr>
                <w:rFonts w:hint="eastAsia"/>
                <w:highlight w:val="none"/>
              </w:rPr>
            </w:pPr>
            <w:r>
              <w:rPr>
                <w:rFonts w:hint="eastAsia"/>
                <w:highlight w:val="none"/>
                <w:lang w:val="en-US" w:eastAsia="zh-CN"/>
              </w:rPr>
              <w:t>2.</w:t>
            </w:r>
            <w:r>
              <w:rPr>
                <w:rFonts w:hint="eastAsia"/>
                <w:highlight w:val="none"/>
              </w:rPr>
              <w:t>事项：对未调运、隔离试种或者生产应施检疫的植物、植物产品的行政处罚</w:t>
            </w:r>
          </w:p>
          <w:p>
            <w:pPr>
              <w:rPr>
                <w:rFonts w:hint="eastAsia"/>
              </w:rPr>
            </w:pPr>
            <w:r>
              <w:rPr>
                <w:rFonts w:hint="eastAsia"/>
              </w:rPr>
              <w:t>依据：【行政法规】《植物检疫条例》（1983年1月,2017年10月修改）</w:t>
            </w:r>
          </w:p>
          <w:p>
            <w:pPr>
              <w:rPr>
                <w:rFonts w:hint="eastAsia"/>
              </w:rPr>
            </w:pPr>
            <w:r>
              <w:rPr>
                <w:rFonts w:hint="eastAsia"/>
              </w:rPr>
              <w:t>第十八条：“有下列行为之一的，植物检疫机构应当责令纠正，可以处以罚款；造成损失的，应当负责赔偿；构成犯罪的，由司法机关依法追究刑事责任：（一）未依照本条例规定办理植物检疫证书或者在报检过程中弄虚作假的；（二）伪造、涂改、买卖、转让植物检疫单证、印章、标志、封识的；（三）未依照本条例规定调运、隔离试种或者生产应施检疫的植物、植物产品的；（四）违反本条例规定，擅自开拆植物、植物产品包装，调换植物、植物产品，或者擅自改变植物、植物产品的规定用途的；（五）违反本条例规定，引起疫情扩散的。有前款第（一）、（二）、（三）、（四）项所列情形之一，尚不构成犯罪的，植物检疫机构可以没收非法所得。对违反本条例规定调运的植物和植物产品，植物检疫机构有权予以封存、没收、销毁或者责令改变用途。销毁所需费用由责任人承担。”</w:t>
            </w:r>
          </w:p>
          <w:p>
            <w:pPr>
              <w:rPr>
                <w:rFonts w:hint="eastAsia"/>
              </w:rPr>
            </w:pPr>
            <w:r>
              <w:rPr>
                <w:rFonts w:hint="eastAsia"/>
              </w:rPr>
              <w:t>【其他规范性文件】《山东省人民政府关于2017年第二批削减省级行政权力事项的通知》（2017年12月鲁政字〔2017〕220号）</w:t>
            </w:r>
          </w:p>
          <w:p>
            <w:pPr>
              <w:rPr>
                <w:rFonts w:hint="eastAsia"/>
              </w:rPr>
            </w:pPr>
            <w:r>
              <w:rPr>
                <w:rFonts w:hint="eastAsia"/>
              </w:rPr>
              <w:t>附件2：“将‘违反植物检疫规定的处罚’下放至市、县（市、区）人民政府林业主管部门。”</w:t>
            </w:r>
          </w:p>
          <w:p>
            <w:pPr>
              <w:ind w:firstLine="420" w:firstLineChars="200"/>
              <w:rPr>
                <w:rFonts w:hint="eastAsia"/>
                <w:highlight w:val="none"/>
              </w:rPr>
            </w:pPr>
            <w:r>
              <w:rPr>
                <w:rFonts w:hint="eastAsia"/>
                <w:highlight w:val="none"/>
                <w:lang w:val="en-US" w:eastAsia="zh-CN"/>
              </w:rPr>
              <w:t>3.</w:t>
            </w:r>
            <w:r>
              <w:rPr>
                <w:rFonts w:hint="eastAsia"/>
                <w:highlight w:val="none"/>
              </w:rPr>
              <w:t>事项：对违反规定调运的森林植物及其产品予以封存、没收、销毁或者责令改变用途的行政强制</w:t>
            </w:r>
            <w:bookmarkStart w:id="0" w:name="_GoBack"/>
            <w:bookmarkEnd w:id="0"/>
          </w:p>
          <w:p>
            <w:pPr>
              <w:rPr>
                <w:rFonts w:hint="eastAsia"/>
              </w:rPr>
            </w:pPr>
            <w:r>
              <w:rPr>
                <w:rFonts w:hint="eastAsia"/>
              </w:rPr>
              <w:t>依据：【行政法规】《植物检疫条例》（1983年1月,2017年10月修改）</w:t>
            </w:r>
          </w:p>
          <w:p>
            <w:pPr>
              <w:rPr>
                <w:rFonts w:hint="eastAsia"/>
              </w:rPr>
            </w:pPr>
            <w:r>
              <w:rPr>
                <w:rFonts w:hint="eastAsia"/>
              </w:rPr>
              <w:t>第十八条第三款：“对违反本条例规定调运的植物和植物产品，植物检疫机构有权予以封存、没收、销毁或者责令改变用途。销毁所需费用由责任人承担。”</w:t>
            </w:r>
          </w:p>
          <w:p>
            <w:pPr>
              <w:rPr>
                <w:rFonts w:hint="eastAsia"/>
              </w:rPr>
            </w:pPr>
            <w:r>
              <w:rPr>
                <w:rFonts w:hint="eastAsia"/>
              </w:rPr>
              <w:t>【其他规范性文件】《山东省人民政府关于2017年第二批削减省级行政权力事项的通知》（2017年12月鲁政字〔2017〕220号）</w:t>
            </w:r>
          </w:p>
          <w:p>
            <w:pPr>
              <w:rPr>
                <w:rFonts w:hint="eastAsia"/>
              </w:rPr>
            </w:pPr>
            <w:r>
              <w:rPr>
                <w:rFonts w:hint="eastAsia"/>
              </w:rPr>
              <w:t>附件2：“将‘封存、没收、销毁违法调运森林植物和森林植物产品’下放至市、县（市、区）人民政府林业主管部门。”</w:t>
            </w:r>
          </w:p>
          <w:p>
            <w:pPr>
              <w:ind w:firstLine="420" w:firstLineChars="200"/>
              <w:rPr>
                <w:rFonts w:hint="eastAsia"/>
                <w:highlight w:val="none"/>
              </w:rPr>
            </w:pPr>
            <w:r>
              <w:rPr>
                <w:rFonts w:hint="eastAsia"/>
                <w:highlight w:val="none"/>
                <w:lang w:val="en-US" w:eastAsia="zh-CN"/>
              </w:rPr>
              <w:t>4.</w:t>
            </w:r>
            <w:r>
              <w:rPr>
                <w:rFonts w:hint="eastAsia"/>
                <w:highlight w:val="none"/>
              </w:rPr>
              <w:t>事项：对科学研究、人工繁育、公众展示展演等利用野生动物及其制品的活动进行监督管理的行政检查</w:t>
            </w:r>
          </w:p>
          <w:p>
            <w:pPr>
              <w:rPr>
                <w:rFonts w:hint="eastAsia"/>
              </w:rPr>
            </w:pPr>
            <w:r>
              <w:rPr>
                <w:rFonts w:hint="eastAsia"/>
              </w:rPr>
              <w:t>依据：【法律】《野生动物保护法》（1988年11月通过， 2018年10月修正）</w:t>
            </w:r>
          </w:p>
          <w:p>
            <w:pPr>
              <w:rPr>
                <w:rFonts w:hint="eastAsia"/>
              </w:rPr>
            </w:pPr>
            <w:r>
              <w:rPr>
                <w:rFonts w:hint="eastAsia"/>
              </w:rPr>
              <w:t>第三十四条：“县级以上人民政府野生动物保护主管部门应当对科学研究、人工繁育、公众展示展演等利用野生动物及其制品的活动进行监督管理。县级以上人民政府其他有关部门，应当按照职责分工对野生动物及其制品出售、购买、利用、运输、寄递等活动进行监督检查。”</w:t>
            </w:r>
          </w:p>
          <w:p>
            <w:pPr>
              <w:rPr>
                <w:rFonts w:hint="eastAsia"/>
              </w:rPr>
            </w:pPr>
            <w:r>
              <w:rPr>
                <w:rFonts w:hint="eastAsia"/>
              </w:rPr>
              <w:t>【行政法规】《陆生野生动物保护实施条例》（1992年2月国务院批准，根据2016年2月6日国务院第666号令《国务院关于修改部分行政法规的决定》第二次修订。）</w:t>
            </w:r>
          </w:p>
          <w:p>
            <w:pPr>
              <w:rPr>
                <w:sz w:val="18"/>
                <w:szCs w:val="18"/>
              </w:rPr>
            </w:pPr>
            <w:r>
              <w:rPr>
                <w:rFonts w:hint="eastAsia"/>
              </w:rPr>
              <w:t>第五条：“野生动物行政主管部门有权对《野生动物保护法》和本条例的实施情况进行监督检查，被检查的单位和个人应当给予配合。”；第二十七条：“县级以上各级人民政府野生动物行政主管部门和工商行政管理部门，应当对野生动物或者其产品的经营利用建立监督检查制度，加强对经营利用野生动物或者其产品的监督管理。 对进入集贸市场的野生动物或者其产品，由工商行政管理部门进行监督管理；在集贸市场以外经营野生动物或者其产品，由野生动物行政主管部门、工商行政管理部门或者其授权的单位进行监督管理。”</w:t>
            </w:r>
          </w:p>
        </w:tc>
      </w:tr>
    </w:tbl>
    <w:p>
      <w:pPr>
        <w:spacing w:line="0" w:lineRule="atLeast"/>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2E8"/>
    <w:rsid w:val="00162538"/>
    <w:rsid w:val="001A1A65"/>
    <w:rsid w:val="004B5A20"/>
    <w:rsid w:val="004E408E"/>
    <w:rsid w:val="005E426E"/>
    <w:rsid w:val="009517A0"/>
    <w:rsid w:val="00A7101B"/>
    <w:rsid w:val="00B911E0"/>
    <w:rsid w:val="00BC62E8"/>
    <w:rsid w:val="00C31CCF"/>
    <w:rsid w:val="00E27CA7"/>
    <w:rsid w:val="00FE7334"/>
    <w:rsid w:val="03F56885"/>
    <w:rsid w:val="06021415"/>
    <w:rsid w:val="0740383A"/>
    <w:rsid w:val="0CD86BDF"/>
    <w:rsid w:val="0F826E3F"/>
    <w:rsid w:val="1C2D30B2"/>
    <w:rsid w:val="32C51F3C"/>
    <w:rsid w:val="4AE31095"/>
    <w:rsid w:val="4F19223A"/>
    <w:rsid w:val="52AB35DC"/>
    <w:rsid w:val="61C961D4"/>
    <w:rsid w:val="6AC521A4"/>
    <w:rsid w:val="71735CC6"/>
    <w:rsid w:val="726A7234"/>
    <w:rsid w:val="73AE7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Pages>
  <Words>181</Words>
  <Characters>1036</Characters>
  <Lines>8</Lines>
  <Paragraphs>2</Paragraphs>
  <TotalTime>3</TotalTime>
  <ScaleCrop>false</ScaleCrop>
  <LinksUpToDate>false</LinksUpToDate>
  <CharactersWithSpaces>1215</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2019-07-11T06:22:00Z</dcterms:created>
  <dc:creator>freeuser</dc:creator>
  <cp:lastModifiedBy>NTKO</cp:lastModifiedBy>
  <dcterms:modified xsi:type="dcterms:W3CDTF">2021-05-17T08:09:45Z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A9FEFDBF7F1E45D3A57DFB723E923E75</vt:lpwstr>
  </property>
</Properties>
</file>