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  <w:t>市</w:t>
      </w: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卫生健康</w:t>
      </w: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  <w:t>局</w:t>
      </w: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  <w:highlight w:val="none"/>
          <w:lang w:val="en-US" w:eastAsia="zh-CN"/>
          <w14:textFill>
            <w14:solidFill>
              <w14:schemeClr w14:val="tx1"/>
            </w14:solidFill>
          </w14:textFill>
        </w:rPr>
        <w:t>2024</w:t>
      </w: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  <w:t>年工作思路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年，市卫健局将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坚持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以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党的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二十大提出的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推进健康中国建设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为目标，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紧扣市委市政府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决策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部署，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围绕深化医药卫生体制改革、提升综合医疗水平、强化健康服务保障、守牢卫健事业发展底线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等重点工作，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全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力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守护人民生命健康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推动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全市卫生健康工作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高质量发展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一、政企联合，着力做好项目实施和企业发展服务工作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（一）助力合作项目走深走实。继续推进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精准营养与健康KAP专项行动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  <w:lang w:val="en-US" w:eastAsia="zh-CN"/>
        </w:rPr>
        <w:t>，有序启动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第二期精准营养进万家公益活动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，按计划完成5万人的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筛查防治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任务，并以此为基础，开展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大型精准营养与健康干预研究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建设高标准研究体系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_GB231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二）做好企业资本上市服务保障工作。建立工作专班，加强与深圳奥萨集团沟通，就山东芙莱特在资本上市前置准备工作进行对接，配合其完成厂房回购，并在原料药生产项目、北方检测实验室建设上给予协调保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二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做强龙头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>，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全面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>深化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公立医院综合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>改革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cs="Times New Roman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highlight w:val="none"/>
          <w:lang w:eastAsia="zh-CN"/>
        </w:rPr>
        <w:t>（一）</w:t>
      </w:r>
      <w:r>
        <w:rPr>
          <w:rFonts w:hint="default" w:ascii="Times New Roman" w:hAnsi="Times New Roman" w:eastAsia="楷体_GB2312" w:cs="Times New Roman"/>
          <w:highlight w:val="none"/>
          <w:lang w:val="en-US" w:eastAsia="zh-CN"/>
        </w:rPr>
        <w:t>提升医疗集团管理质效</w:t>
      </w:r>
      <w:r>
        <w:rPr>
          <w:rFonts w:hint="default" w:ascii="Times New Roman" w:hAnsi="Times New Roman" w:eastAsia="仿宋_GB2312" w:cs="Times New Roman"/>
          <w:highlight w:val="none"/>
          <w:lang w:val="en-US" w:eastAsia="zh-CN"/>
        </w:rPr>
        <w:t>。围绕</w:t>
      </w:r>
      <w:r>
        <w:rPr>
          <w:rFonts w:hint="default" w:ascii="Times New Roman" w:hAnsi="Times New Roman" w:cs="Times New Roman"/>
          <w:highlight w:val="none"/>
          <w:lang w:val="en-US" w:eastAsia="zh-CN"/>
        </w:rPr>
        <w:t>公立医院综合改革和高质量发展需要，理顺管理机制，建立联席会议制度，对公立医院功能定位、学科建设、招才引智、重大招采等关键事项进行论证分析，推动公立医院错位发展、互补共赢。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楷体_GB2312" w:cs="Times New Roman"/>
          <w:highlight w:val="none"/>
          <w:lang w:val="en-US" w:eastAsia="zh-CN"/>
        </w:rPr>
        <w:sectPr>
          <w:pgSz w:w="11906" w:h="16838"/>
          <w:pgMar w:top="1814" w:right="1417" w:bottom="1814" w:left="1474" w:header="851" w:footer="992" w:gutter="0"/>
          <w:pgNumType w:fmt="decimal"/>
          <w:cols w:space="0" w:num="1"/>
          <w:docGrid w:type="lines" w:linePitch="312" w:charSpace="0"/>
        </w:sect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cs="Times New Roman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highlight w:val="none"/>
          <w:lang w:val="en-US" w:eastAsia="zh-CN"/>
        </w:rPr>
        <w:t>（二）优化市级医辅中心运行</w:t>
      </w:r>
      <w:r>
        <w:rPr>
          <w:rFonts w:hint="default" w:ascii="Times New Roman" w:hAnsi="Times New Roman" w:cs="Times New Roman"/>
          <w:highlight w:val="none"/>
          <w:lang w:val="en-US" w:eastAsia="zh-CN"/>
        </w:rPr>
        <w:t>。围绕进一步</w:t>
      </w:r>
      <w:r>
        <w:rPr>
          <w:rFonts w:hint="default" w:ascii="Times New Roman" w:hAnsi="Times New Roman" w:cs="Times New Roman"/>
          <w:highlight w:val="none"/>
          <w:lang w:eastAsia="zh-CN"/>
        </w:rPr>
        <w:t>提质增效，</w:t>
      </w:r>
      <w:r>
        <w:rPr>
          <w:rFonts w:hint="default" w:ascii="Times New Roman" w:hAnsi="Times New Roman" w:cs="Times New Roman"/>
          <w:highlight w:val="none"/>
          <w:lang w:val="en-US" w:eastAsia="zh-CN"/>
        </w:rPr>
        <w:t>计划投资160万元，对</w:t>
      </w:r>
      <w:r>
        <w:rPr>
          <w:rFonts w:hint="default" w:ascii="Times New Roman" w:hAnsi="Times New Roman" w:cs="Times New Roman"/>
          <w:highlight w:val="none"/>
          <w:lang w:eastAsia="zh-CN"/>
        </w:rPr>
        <w:t>心电、</w:t>
      </w:r>
      <w:r>
        <w:rPr>
          <w:rFonts w:hint="default" w:ascii="Times New Roman" w:hAnsi="Times New Roman" w:cs="Times New Roman"/>
          <w:highlight w:val="none"/>
          <w:lang w:val="en-US" w:eastAsia="zh-CN"/>
        </w:rPr>
        <w:t>影</w:t>
      </w:r>
      <w:r>
        <w:rPr>
          <w:rFonts w:hint="eastAsia" w:ascii="Times New Roman" w:hAnsi="Times New Roman" w:cs="Times New Roman"/>
          <w:highlight w:val="none"/>
          <w:lang w:val="en-US" w:eastAsia="zh-CN"/>
        </w:rPr>
        <w:t>像</w:t>
      </w:r>
      <w:r>
        <w:rPr>
          <w:rFonts w:hint="default" w:ascii="Times New Roman" w:hAnsi="Times New Roman" w:cs="Times New Roman"/>
          <w:highlight w:val="none"/>
          <w:lang w:eastAsia="zh-CN"/>
        </w:rPr>
        <w:t>诊断中心</w:t>
      </w:r>
      <w:r>
        <w:rPr>
          <w:rFonts w:hint="default" w:ascii="Times New Roman" w:hAnsi="Times New Roman" w:cs="Times New Roman"/>
          <w:highlight w:val="none"/>
          <w:lang w:val="en-US" w:eastAsia="zh-CN"/>
        </w:rPr>
        <w:t>进行升级完善</w:t>
      </w:r>
      <w:r>
        <w:rPr>
          <w:rFonts w:hint="default" w:ascii="Times New Roman" w:hAnsi="Times New Roman" w:cs="Times New Roman"/>
          <w:highlight w:val="none"/>
          <w:lang w:eastAsia="zh-CN"/>
        </w:rPr>
        <w:t>，</w:t>
      </w:r>
      <w:r>
        <w:rPr>
          <w:rFonts w:hint="default" w:ascii="Times New Roman" w:hAnsi="Times New Roman" w:cs="Times New Roman"/>
          <w:highlight w:val="none"/>
          <w:lang w:val="en-US" w:eastAsia="zh-CN"/>
        </w:rPr>
        <w:t>实现</w:t>
      </w:r>
      <w:r>
        <w:rPr>
          <w:rFonts w:hint="default" w:ascii="Times New Roman" w:hAnsi="Times New Roman" w:cs="Times New Roman"/>
          <w:highlight w:val="none"/>
          <w:lang w:eastAsia="zh-CN"/>
        </w:rPr>
        <w:t>网络心电图机全区域覆盖、影像数据集中</w:t>
      </w:r>
      <w:r>
        <w:rPr>
          <w:rFonts w:hint="default" w:ascii="Times New Roman" w:hAnsi="Times New Roman" w:cs="Times New Roman"/>
          <w:highlight w:val="none"/>
          <w:lang w:val="en-US" w:eastAsia="zh-CN"/>
        </w:rPr>
        <w:t>存储</w:t>
      </w:r>
      <w:r>
        <w:rPr>
          <w:rFonts w:hint="default" w:ascii="Times New Roman" w:hAnsi="Times New Roman" w:cs="Times New Roman"/>
          <w:highlight w:val="none"/>
          <w:lang w:eastAsia="zh-CN"/>
        </w:rPr>
        <w:t>托管，确保数据安全，</w:t>
      </w:r>
      <w:r>
        <w:rPr>
          <w:rFonts w:hint="default" w:ascii="Times New Roman" w:hAnsi="Times New Roman" w:cs="Times New Roman"/>
          <w:highlight w:val="none"/>
          <w:lang w:val="en-US" w:eastAsia="zh-CN"/>
        </w:rPr>
        <w:t>完善中药配送中心建设，改造煎药室、中药房及中药库等，满足群众日益增长的用药需求。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cs="Times New Roman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highlight w:val="none"/>
          <w:lang w:eastAsia="zh-CN"/>
        </w:rPr>
        <w:t>（</w:t>
      </w:r>
      <w:r>
        <w:rPr>
          <w:rFonts w:hint="default" w:ascii="Times New Roman" w:hAnsi="Times New Roman" w:eastAsia="楷体_GB2312" w:cs="Times New Roman"/>
          <w:highlight w:val="none"/>
          <w:lang w:val="en-US" w:eastAsia="zh-CN"/>
        </w:rPr>
        <w:t>三</w:t>
      </w:r>
      <w:r>
        <w:rPr>
          <w:rFonts w:hint="default" w:ascii="Times New Roman" w:hAnsi="Times New Roman" w:eastAsia="楷体_GB2312" w:cs="Times New Roman"/>
          <w:highlight w:val="none"/>
          <w:lang w:eastAsia="zh-CN"/>
        </w:rPr>
        <w:t>）建</w:t>
      </w:r>
      <w:r>
        <w:rPr>
          <w:rFonts w:hint="default" w:ascii="Times New Roman" w:hAnsi="Times New Roman" w:eastAsia="楷体_GB2312" w:cs="Times New Roman"/>
          <w:highlight w:val="none"/>
          <w:lang w:val="en-US" w:eastAsia="zh-CN"/>
        </w:rPr>
        <w:t>立</w:t>
      </w:r>
      <w:r>
        <w:rPr>
          <w:rFonts w:hint="default" w:ascii="Times New Roman" w:hAnsi="Times New Roman" w:eastAsia="楷体_GB2312" w:cs="Times New Roman"/>
          <w:highlight w:val="none"/>
          <w:lang w:eastAsia="zh-CN"/>
        </w:rPr>
        <w:t>药械集采</w:t>
      </w:r>
      <w:r>
        <w:rPr>
          <w:rFonts w:hint="default" w:ascii="Times New Roman" w:hAnsi="Times New Roman" w:eastAsia="楷体_GB2312" w:cs="Times New Roman"/>
          <w:highlight w:val="none"/>
          <w:lang w:val="en-US" w:eastAsia="zh-CN"/>
        </w:rPr>
        <w:t>保障制度</w:t>
      </w:r>
      <w:r>
        <w:rPr>
          <w:rFonts w:hint="default" w:ascii="Times New Roman" w:hAnsi="Times New Roman" w:cs="Times New Roman"/>
          <w:highlight w:val="none"/>
          <w:lang w:eastAsia="zh-CN"/>
        </w:rPr>
        <w:t>。</w:t>
      </w:r>
      <w:r>
        <w:rPr>
          <w:rFonts w:hint="default" w:ascii="Times New Roman" w:hAnsi="Times New Roman" w:cs="Times New Roman"/>
          <w:highlight w:val="none"/>
          <w:lang w:val="en-US" w:eastAsia="zh-CN"/>
        </w:rPr>
        <w:t>①</w:t>
      </w:r>
      <w:r>
        <w:rPr>
          <w:rFonts w:hint="default" w:ascii="Times New Roman" w:hAnsi="Times New Roman" w:cs="Times New Roman"/>
          <w:highlight w:val="none"/>
          <w:lang w:eastAsia="zh-CN"/>
        </w:rPr>
        <w:t>在基本药物集采方面，</w:t>
      </w:r>
      <w:r>
        <w:rPr>
          <w:rFonts w:hint="default" w:ascii="Times New Roman" w:hAnsi="Times New Roman" w:cs="Times New Roman"/>
          <w:highlight w:val="none"/>
          <w:lang w:val="en-US" w:eastAsia="zh-CN"/>
        </w:rPr>
        <w:t>建设医疗集团药品集采目录，统一药事管理；</w:t>
      </w:r>
      <w:r>
        <w:rPr>
          <w:rFonts w:hint="default" w:ascii="Times New Roman" w:hAnsi="Times New Roman" w:cs="Times New Roman"/>
          <w:highlight w:val="none"/>
          <w:lang w:eastAsia="zh-CN"/>
        </w:rPr>
        <w:t>基层医疗机构按照医共体所属单位，成立</w:t>
      </w:r>
      <w:r>
        <w:rPr>
          <w:rFonts w:hint="eastAsia" w:ascii="Times New Roman" w:hAnsi="Times New Roman" w:cs="Times New Roman"/>
          <w:highlight w:val="none"/>
          <w:lang w:eastAsia="zh-CN"/>
        </w:rPr>
        <w:t>“</w:t>
      </w:r>
      <w:r>
        <w:rPr>
          <w:rFonts w:hint="default" w:ascii="Times New Roman" w:hAnsi="Times New Roman" w:cs="Times New Roman"/>
          <w:highlight w:val="none"/>
          <w:lang w:val="en-US" w:eastAsia="zh-CN"/>
        </w:rPr>
        <w:t>5+2</w:t>
      </w:r>
      <w:r>
        <w:rPr>
          <w:rFonts w:hint="eastAsia" w:ascii="Times New Roman" w:hAnsi="Times New Roman" w:cs="Times New Roman"/>
          <w:highlight w:val="none"/>
          <w:lang w:eastAsia="zh-CN"/>
        </w:rPr>
        <w:t>”</w:t>
      </w:r>
      <w:r>
        <w:rPr>
          <w:rFonts w:hint="default" w:ascii="Times New Roman" w:hAnsi="Times New Roman" w:cs="Times New Roman"/>
          <w:highlight w:val="none"/>
          <w:lang w:val="en-US" w:eastAsia="zh-CN"/>
        </w:rPr>
        <w:t>管理模式的</w:t>
      </w:r>
      <w:r>
        <w:rPr>
          <w:rFonts w:hint="default" w:ascii="Times New Roman" w:hAnsi="Times New Roman" w:cs="Times New Roman"/>
          <w:highlight w:val="none"/>
          <w:lang w:eastAsia="zh-CN"/>
        </w:rPr>
        <w:t>医共体中心药房，</w:t>
      </w:r>
      <w:r>
        <w:rPr>
          <w:rFonts w:hint="default" w:ascii="Times New Roman" w:hAnsi="Times New Roman" w:cs="Times New Roman"/>
          <w:highlight w:val="none"/>
          <w:lang w:val="en-US" w:eastAsia="zh-CN"/>
        </w:rPr>
        <w:t>实现上下用药有效衔接。②</w:t>
      </w:r>
      <w:r>
        <w:rPr>
          <w:rFonts w:hint="default" w:ascii="Times New Roman" w:hAnsi="Times New Roman" w:cs="Times New Roman"/>
          <w:highlight w:val="none"/>
          <w:lang w:eastAsia="zh-CN"/>
        </w:rPr>
        <w:t>中药饮片集采方面，对市人民医院、中医院、石岛人民医院尚未实施集采的部分中药饮片进行全面梳理，逐步建立全市中药集中采购工作机制。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cs="Times New Roman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highlight w:val="none"/>
          <w:lang w:eastAsia="zh-CN"/>
        </w:rPr>
        <w:t>（</w:t>
      </w:r>
      <w:r>
        <w:rPr>
          <w:rFonts w:hint="default" w:ascii="Times New Roman" w:hAnsi="Times New Roman" w:eastAsia="楷体_GB2312" w:cs="Times New Roman"/>
          <w:highlight w:val="none"/>
          <w:lang w:val="en-US" w:eastAsia="zh-CN"/>
        </w:rPr>
        <w:t>四</w:t>
      </w:r>
      <w:r>
        <w:rPr>
          <w:rFonts w:hint="default" w:ascii="Times New Roman" w:hAnsi="Times New Roman" w:eastAsia="楷体_GB2312" w:cs="Times New Roman"/>
          <w:highlight w:val="none"/>
          <w:lang w:eastAsia="zh-CN"/>
        </w:rPr>
        <w:t>）</w:t>
      </w:r>
      <w:r>
        <w:rPr>
          <w:rFonts w:hint="default" w:ascii="Times New Roman" w:hAnsi="Times New Roman" w:eastAsia="楷体_GB2312" w:cs="Times New Roman"/>
          <w:highlight w:val="none"/>
          <w:lang w:val="en-US" w:eastAsia="zh-CN"/>
        </w:rPr>
        <w:t>加强临床重点专科培育</w:t>
      </w:r>
      <w:r>
        <w:rPr>
          <w:rFonts w:hint="default" w:ascii="Times New Roman" w:hAnsi="Times New Roman" w:cs="Times New Roman"/>
          <w:highlight w:val="none"/>
          <w:lang w:eastAsia="zh-CN"/>
        </w:rPr>
        <w:t>。</w:t>
      </w:r>
      <w:r>
        <w:rPr>
          <w:rFonts w:hint="default" w:ascii="Times New Roman" w:hAnsi="Times New Roman" w:cs="Times New Roman"/>
          <w:highlight w:val="none"/>
          <w:lang w:val="en-US" w:eastAsia="zh-CN"/>
        </w:rPr>
        <w:t>利用市级医院与省立医院、省中医院等10余家知名三甲医院建立合作的契机，按照远学近追、借梯登高思路，有针对性地开展重点学科建设，年内计划争创肝胆外科、神经内科等10个威海市级重点专科，2年内争取打造消化内科、男科亚专科2个省级重点专科；推广肿瘤微创治疗等22项新技术。同时，建设市人民医院男科治疗中心，确保妇幼保健院通过三级乙等复审，推动石岛人民医院创伤中心加入省创伤救治联盟</w:t>
      </w:r>
      <w:r>
        <w:rPr>
          <w:rFonts w:hint="eastAsia" w:ascii="Times New Roman" w:hAnsi="Times New Roman" w:cs="Times New Roman"/>
          <w:highlight w:val="none"/>
          <w:lang w:val="en-US" w:eastAsia="zh-CN"/>
        </w:rPr>
        <w:t>，</w:t>
      </w:r>
      <w:r>
        <w:rPr>
          <w:rFonts w:hint="eastAsia" w:ascii="Times New Roman" w:hAnsi="Times New Roman" w:cs="Times New Roman"/>
          <w:highlight w:val="none"/>
          <w:lang w:val="en-US" w:eastAsia="zh-CN"/>
        </w:rPr>
        <w:t>并</w:t>
      </w:r>
      <w:r>
        <w:rPr>
          <w:rFonts w:hint="default" w:ascii="Times New Roman" w:hAnsi="Times New Roman" w:cs="Times New Roman"/>
          <w:highlight w:val="none"/>
          <w:lang w:val="en-US" w:eastAsia="zh-CN"/>
        </w:rPr>
        <w:t>依托滨州医学院烟台附属医院李善会教授在创伤关节骨病领域</w:t>
      </w:r>
      <w:r>
        <w:rPr>
          <w:rFonts w:hint="eastAsia" w:ascii="Times New Roman" w:hAnsi="Times New Roman" w:cs="Times New Roman"/>
          <w:highlight w:val="none"/>
          <w:lang w:val="en-US" w:eastAsia="zh-CN"/>
        </w:rPr>
        <w:t>继续做大做强，为石岛及周边区域工业、渔业等从业者提供贴合实际的高水平诊疗服务。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cs="Times New Roman"/>
          <w:highlight w:val="none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三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</w:rPr>
        <w:t>、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打牢基础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</w:rPr>
        <w:t>，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持续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>提升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基层医疗服务能力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（一）打造基层医院特色科室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。对全市乡镇卫生院服务能力进行评估，制定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基层医疗机构特色科室建设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方案，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按照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一院一特色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发展路径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打造特色科室不少于10个，支持具备条件的特色科室向专科医院方向发展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（二）推动名医基层工作站达标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。在实现全市名医基层工作站全覆盖的基础上，发挥医共体牵头医院专家引领作用，通过专科建设、诊疗服务、人员带教等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途径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确保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名医基层工作站创评达标率不低于90%，名医驻站工作服务时长不低于350小时。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（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三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）实施家庭医生高质量发展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。以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五师（员）融合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家庭医生团队签约服务模式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为创新引领，深入开展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四进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”“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六个拓展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”“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三个延伸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服务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，丰富签约服务内涵，稳步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提高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家庭医生签约率、履约率、续约率。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年内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全人群和重点人群总体签约率提升3个百分点，满意度达到90%以上。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（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四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）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提高村级卫生室服务能力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。①利用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大中专毕业生聚荣就业支持政策，计划与20名荣成籍高中毕业生签订乡医定向培养协议，面向社会公开招聘50名基层医疗服务人员，作为编外人员纳入乡医队伍管理。②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实施基层医务人员和乡医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三基三严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大比武活动，全市基层医疗机构培训场次不低于40场，基层医务人员外出进修率不低于5%。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四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</w:rPr>
        <w:t>、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>传承发展，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擦亮中医药服务品牌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（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一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）提高中医服务能力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eastAsia="zh-CN"/>
        </w:rPr>
        <w:t>①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扩大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eastAsia="zh-CN"/>
        </w:rPr>
        <w:t>中医院引领带动作用，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释放中医五个全科化、两专科一中心以及齐鲁专科集群优势，力保明年4月顺利通过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全国基层中医药工作示范市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试点验收，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eastAsia="zh-CN"/>
        </w:rPr>
        <w:t>全国中医医院绩效考核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位次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eastAsia="zh-CN"/>
        </w:rPr>
        <w:t>提升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到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eastAsia="zh-CN"/>
        </w:rPr>
        <w:t>前200名。②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提升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eastAsia="zh-CN"/>
        </w:rPr>
        <w:t>基层医疗机构中医药服务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能力，依托中医院医共体建设，实现基层医院中药房、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eastAsia="zh-CN"/>
        </w:rPr>
        <w:t>中医康复治疗科、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中医适宜技术推广全覆盖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eastAsia="zh-CN"/>
        </w:rPr>
        <w:t>，中药饮片收入不低于总收入8%，非药物疗法收入不低于12%；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村级卫生室方面鼓励乡医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西学中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，规范打造中医阁，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eastAsia="zh-CN"/>
        </w:rPr>
        <w:t>医疗次中心辖区建成2-3处，卫生院辖区建成1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-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eastAsia="zh-CN"/>
        </w:rPr>
        <w:t>2处。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二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）加强中医适宜技术推广宣传力度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。①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提高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中医院中医药适宜技术推广基地能力，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年底建成符合省级标准的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县域中医药适宜技术推广中心，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对基层临床医师、乡村医生开展不少于6次中医技术全员培训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。②利用中医院儿童青少年脊柱侧弯、近视、肥胖干预基地建设契机，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加强相关病症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中西医综合防控适宜技术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研究应用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，力争申报省级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揭榜挂帅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项目1个，威海市级以上科技立项不少于3个。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cs="Times New Roman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三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）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做好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中医药健康宣教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。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①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建设完善2处中医健康宣教基地，与教育部门加强联动，开展研学交流活动，力争2处学校入选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山东省中医药文化进校园试点单位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。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②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持续开展中医药文化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六进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活动，发挥好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本草飘香志愿服务队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作用，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营造良好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中医药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健康保健氛围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五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</w:rPr>
        <w:t>、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内引外联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</w:rPr>
        <w:t>，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强化卫健人才梯队建设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（一）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优化人才招录途径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做好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卫生事业单位招聘，计划为医疗单位招聘专业技术人员131人，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针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对心脑血管介入等紧缺专业和高层次人才，积极申报威海市紧缺和高层次人才目录，经批准后以免笔试直接面试方式进行招聘。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（二）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加强对外合作交流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。在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现有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与上海长海医院等省内外20余家名院合作基础上，计划与北京积水潭医院等名院合作，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再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引进普外科、肾病透析等专家团队10个以上，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同时从全市遴选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50名以上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骨干医护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围绕神经内科等重点学科外出进修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（三）开展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在岗教育学习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。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①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实施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医疗卫生学科带头人引领计划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和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医疗卫生骨干人才培育计划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，开展组织选拔工作，对管理期满4年，每人每月分别给予1500元、1000元工作津贴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。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②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继续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实施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青苗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”“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拔穗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”“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育英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等人才培养计划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培养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年轻医务在工作中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独当一面的能力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，提拔一批本领过硬、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素质拔尖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的年轻中层干部。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六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全面守护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>，丰富健康保障内涵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（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一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）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提升慢病管理质效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。开展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四高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达标减残提质增效行动，在巩固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四高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达标基础上，建立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六病区域诊疗中心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，形成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四高达标 六病同防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医共体内闭环管理，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确保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六病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检查率达到60%以上，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四高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达标率均达到50%以上。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二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）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强化母婴安全保障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。①落实母婴安全行动提升计划，确保孕产妇零死亡率，婴儿及5岁以下儿童死亡率持续下降。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②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做好婚孕前优生健康检查、农村妇女增补叶酸等11个妇幼健康项目；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加强与市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妇联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和各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镇街沟通协作，持续推进适龄妇女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两癌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筛查工作。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③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积极推动3岁以下婴幼儿养育照护服务工作，加强部门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协调联动，探索社区托育、家庭托育等服务模式，年底每千人托位达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到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4.5个。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（三）推进医养融合发展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。①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以医共体为单位明确老年病科、康复科等医养相关学科发展方向，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建立定期培训制度，规范开展安宁陪护。②以市人民医院成山海景阁健康中心的设置为参考，根据运营成效，探索制定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市级医院+社区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的医养标准流程，规范公立医院与辖区养老机构服务合作。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（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四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）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提升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全民健康素养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①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巩固国家卫生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城市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创建成果，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确保通过每年暗访。②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加大督导力度，定期对已申报的崖西、夏庄、大疃、虎山4处创建国家卫生乡镇单位进行实地督导，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确保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顺利通过后期上级暗访评估。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（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五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）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探索卫生健康信用监管模式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。研究将信用监管、奖惩机制引入民营医疗机构监管的可行性，进一步规范民营医疗行业运营。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七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、守牢底线，保障卫生健康事业高质量发展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eastAsia="zh-CN"/>
        </w:rPr>
        <w:t>（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  <w:t>一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eastAsia="zh-CN"/>
        </w:rPr>
        <w:t>）强化党风廉政建设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。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①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深化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健康先锋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党建品牌建设，开展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先锋领航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行动，组织党员在服务群众、学科发展、医学攻关中发挥作用。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②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深入推进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医心向廉 清风卫健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新时代廉洁文化建设，开展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清廉医院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eastAsia="zh-CN"/>
        </w:rPr>
        <w:t>”“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清廉机关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示范品牌创建活动；扎实开展医药领域腐败问题集中整治、廉洁从业等各类专项治理工作，营造风清气正、真抓实干、办事高效的行业发展新环境。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eastAsia="zh-CN"/>
        </w:rPr>
        <w:t>（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  <w:t>二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eastAsia="zh-CN"/>
        </w:rPr>
        <w:t>）守牢重点传染病防控底线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。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①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全面落实新冠病毒感染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乙类乙管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措施，持续强化监测预警和疫情研判，优化多渠道监测，加强与海关等多部门联动，强化输入疫情和新型变异株监测；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②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加强霍乱、诺如病毒以及疟疾、猴痘等重点及新发传染病防控工作，突出做好学校和托幼机构、养老机构等重点场所的传染病疫情监测处置，防范聚集性疫情发生。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（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三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）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做好计生等特殊家庭人群服务保障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。①对计生特殊家庭持续落实家庭医生每月问诊、绿色就医渠道畅通、免费健康体检、节日祝福慰问等优待政策，确保群体稳定和谐。②对严重精神障碍患者做好救治救助，年内所有医疗机构开设精神卫生门诊，服务开展率达到100%，严重精神障碍患者检出率5‰以上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eastAsia="zh-CN"/>
        </w:rPr>
        <w:t>（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  <w:t>四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eastAsia="zh-CN"/>
        </w:rPr>
        <w:t>）加强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  <w:t>平安医院建设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。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①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建立医疗纠纷案件信息库，对可能产生纠纷的医疗案件进行建档立库，督促责任单位积极沟通解决，避免上升为信访事项。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②加强用药安全管理，重点聚焦麻醉精神类药品、抗菌药品等，防止不良事件发生。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default" w:ascii="Times New Roman" w:hAnsi="Times New Roman" w:cs="Times New Roman"/>
          <w:highlight w:val="none"/>
          <w:lang w:val="en-US"/>
        </w:rPr>
      </w:pP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eastAsia="zh-CN"/>
        </w:rPr>
        <w:t>（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  <w:t>五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eastAsia="zh-CN"/>
        </w:rPr>
        <w:t>）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  <w:t>严抓安全保密工作</w:t>
      </w:r>
      <w:r>
        <w:rPr>
          <w:rFonts w:hint="default" w:ascii="Times New Roman" w:hAnsi="Times New Roman" w:cs="Times New Roman"/>
          <w:b w:val="0"/>
          <w:bCs w:val="0"/>
          <w:sz w:val="32"/>
          <w:szCs w:val="32"/>
          <w:highlight w:val="none"/>
          <w:lang w:eastAsia="zh-CN"/>
        </w:rPr>
        <w:t>。</w:t>
      </w:r>
      <w:r>
        <w:rPr>
          <w:rFonts w:hint="default" w:ascii="Times New Roman" w:hAnsi="Times New Roman" w:cs="Times New Roman"/>
          <w:b w:val="0"/>
          <w:bCs w:val="0"/>
          <w:sz w:val="32"/>
          <w:szCs w:val="32"/>
          <w:highlight w:val="none"/>
          <w:lang w:val="en-US" w:eastAsia="zh-CN"/>
        </w:rPr>
        <w:t>①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持续抓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好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消防安全风险管控、燃气风险隐患排查、医疗特种设备管理、危险化学品管控等工作，严防各类生产安全事故发生。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②严肃抓好信息保密工作落实，在全系统开展医疗数据、患者资料、涉密文件等在内的信息安全培训，全方位覆盖到位，确保信息安全保密工作不出纰漏。</w:t>
      </w:r>
    </w:p>
    <w:sectPr>
      <w:footerReference r:id="rId3" w:type="default"/>
      <w:pgSz w:w="11906" w:h="16838"/>
      <w:pgMar w:top="1814" w:right="1417" w:bottom="1814" w:left="1474" w:header="851" w:footer="992" w:gutter="0"/>
      <w:pgNumType w:fmt="decimal" w:start="2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2547620</wp:posOffset>
              </wp:positionH>
              <wp:positionV relativeFrom="paragraph">
                <wp:posOffset>-200025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0.6pt;margin-top:-15.75pt;height:144pt;width:144pt;mso-position-horizontal-relative:margin;mso-wrap-style:none;z-index:251659264;mso-width-relative:page;mso-height-relative:page;" filled="f" stroked="f" coordsize="21600,21600" o:gfxdata="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PO7S0LZAAAACwEAAA8AAAAAAAAAAQAgAAAAIgAAAGRycy9kb3du&#10;cmV2LnhtbFBLAQIUABQAAAAIAIdO4kC9dBt2NwIAAG8EAAAOAAAAAAAAAAEAIAAAACg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QzNjcxNDJmMmVlNTFiN2M5ODM1NjljNmMyZjNhNWEifQ=="/>
  </w:docVars>
  <w:rsids>
    <w:rsidRoot w:val="5F934D99"/>
    <w:rsid w:val="00031E50"/>
    <w:rsid w:val="000805F7"/>
    <w:rsid w:val="00112131"/>
    <w:rsid w:val="00156EC1"/>
    <w:rsid w:val="00161350"/>
    <w:rsid w:val="00181751"/>
    <w:rsid w:val="00184327"/>
    <w:rsid w:val="001B6A85"/>
    <w:rsid w:val="00260809"/>
    <w:rsid w:val="00262DAB"/>
    <w:rsid w:val="0028746D"/>
    <w:rsid w:val="00427A7C"/>
    <w:rsid w:val="004D750A"/>
    <w:rsid w:val="005339BB"/>
    <w:rsid w:val="006534C6"/>
    <w:rsid w:val="006627EC"/>
    <w:rsid w:val="006B0B26"/>
    <w:rsid w:val="0071736C"/>
    <w:rsid w:val="007A361B"/>
    <w:rsid w:val="00863554"/>
    <w:rsid w:val="008E0A02"/>
    <w:rsid w:val="00995CAA"/>
    <w:rsid w:val="009C77BC"/>
    <w:rsid w:val="00B7788A"/>
    <w:rsid w:val="00B805AE"/>
    <w:rsid w:val="00BE1622"/>
    <w:rsid w:val="00BF5607"/>
    <w:rsid w:val="00C30D30"/>
    <w:rsid w:val="00C469AF"/>
    <w:rsid w:val="00C56488"/>
    <w:rsid w:val="00D019ED"/>
    <w:rsid w:val="00D266E6"/>
    <w:rsid w:val="00D35EE5"/>
    <w:rsid w:val="00D8037A"/>
    <w:rsid w:val="00D81AF4"/>
    <w:rsid w:val="00DE3718"/>
    <w:rsid w:val="00DF6F8E"/>
    <w:rsid w:val="00E9760C"/>
    <w:rsid w:val="00F95DF6"/>
    <w:rsid w:val="00FB197B"/>
    <w:rsid w:val="03BE3F8E"/>
    <w:rsid w:val="047E302A"/>
    <w:rsid w:val="069F6AA0"/>
    <w:rsid w:val="07FD519E"/>
    <w:rsid w:val="0E2C6AB6"/>
    <w:rsid w:val="10F61375"/>
    <w:rsid w:val="10FF1F23"/>
    <w:rsid w:val="13767449"/>
    <w:rsid w:val="19A60EC7"/>
    <w:rsid w:val="1BAB7F04"/>
    <w:rsid w:val="1C5510EC"/>
    <w:rsid w:val="1D59384B"/>
    <w:rsid w:val="20743622"/>
    <w:rsid w:val="27720E80"/>
    <w:rsid w:val="2BE0502F"/>
    <w:rsid w:val="35486CF5"/>
    <w:rsid w:val="3881161E"/>
    <w:rsid w:val="3B7A3C83"/>
    <w:rsid w:val="3BC1522F"/>
    <w:rsid w:val="3C502C92"/>
    <w:rsid w:val="3CD57118"/>
    <w:rsid w:val="3FFF50A9"/>
    <w:rsid w:val="42B21FBA"/>
    <w:rsid w:val="44497655"/>
    <w:rsid w:val="48EA7122"/>
    <w:rsid w:val="4F69660B"/>
    <w:rsid w:val="573B5F34"/>
    <w:rsid w:val="5A832E47"/>
    <w:rsid w:val="5AFF72A8"/>
    <w:rsid w:val="5DEA1289"/>
    <w:rsid w:val="5F733846"/>
    <w:rsid w:val="5F934D99"/>
    <w:rsid w:val="5FAC5EA1"/>
    <w:rsid w:val="60EB40FD"/>
    <w:rsid w:val="61A815D5"/>
    <w:rsid w:val="632A7A13"/>
    <w:rsid w:val="666F3B91"/>
    <w:rsid w:val="690A5DF3"/>
    <w:rsid w:val="6B23193A"/>
    <w:rsid w:val="6E0F2736"/>
    <w:rsid w:val="6FF15617"/>
    <w:rsid w:val="71D13952"/>
    <w:rsid w:val="77A25A77"/>
    <w:rsid w:val="789C283A"/>
    <w:rsid w:val="7A945725"/>
    <w:rsid w:val="7BF65267"/>
    <w:rsid w:val="7F2E70BD"/>
    <w:rsid w:val="7F5E53F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2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1"/>
    <w:pPr>
      <w:ind w:left="754"/>
    </w:pPr>
    <w:rPr>
      <w:rFonts w:ascii="仿宋_GB2312" w:hAnsi="仿宋_GB2312" w:eastAsia="仿宋_GB2312" w:cs="仿宋_GB2312"/>
      <w:sz w:val="32"/>
      <w:szCs w:val="32"/>
      <w:lang w:val="zh-CN" w:bidi="zh-CN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Emphasis"/>
    <w:basedOn w:val="6"/>
    <w:qFormat/>
    <w:uiPriority w:val="20"/>
    <w:rPr>
      <w:i/>
      <w:iCs/>
    </w:rPr>
  </w:style>
  <w:style w:type="character" w:customStyle="1" w:styleId="8">
    <w:name w:val="页眉 Char"/>
    <w:basedOn w:val="6"/>
    <w:link w:val="4"/>
    <w:qFormat/>
    <w:uiPriority w:val="0"/>
    <w:rPr>
      <w:kern w:val="2"/>
      <w:sz w:val="18"/>
      <w:szCs w:val="18"/>
    </w:rPr>
  </w:style>
  <w:style w:type="character" w:customStyle="1" w:styleId="9">
    <w:name w:val="页脚 Char"/>
    <w:basedOn w:val="6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4216727-35D1-4305-85A3-99E1E520F9A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7</Pages>
  <Words>3805</Words>
  <Characters>3862</Characters>
  <Lines>37</Lines>
  <Paragraphs>10</Paragraphs>
  <TotalTime>1</TotalTime>
  <ScaleCrop>false</ScaleCrop>
  <LinksUpToDate>false</LinksUpToDate>
  <CharactersWithSpaces>3864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2022-12-15T11:46:00Z</dcterms:created>
  <dc:creator>Administrator</dc:creator>
  <cp:lastModifiedBy>Administrator</cp:lastModifiedBy>
  <cp:lastPrinted>2023-11-24T06:41:32Z</cp:lastPrinted>
  <dcterms:modified xsi:type="dcterms:W3CDTF">2023-11-24T06:41:36Z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7D7D2F102C4246A1B72E20D392B687DA_13</vt:lpwstr>
  </property>
</Properties>
</file>