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6D6CD5">
      <w:pPr>
        <w:spacing w:line="540" w:lineRule="exact"/>
        <w:jc w:val="center"/>
        <w:rPr>
          <w:rFonts w:hint="eastAsia" w:ascii="方正小标宋简体" w:hAnsi="方正小标宋简体" w:eastAsia="方正小标宋简体" w:cs="方正小标宋简体"/>
          <w:color w:val="auto"/>
          <w:sz w:val="44"/>
          <w:szCs w:val="44"/>
        </w:rPr>
      </w:pPr>
    </w:p>
    <w:p w14:paraId="4ED62B64">
      <w:pPr>
        <w:spacing w:line="540" w:lineRule="exact"/>
        <w:jc w:val="center"/>
        <w:rPr>
          <w:rFonts w:hint="eastAsia" w:ascii="方正小标宋简体" w:hAnsi="方正小标宋简体" w:eastAsia="方正小标宋简体" w:cs="方正小标宋简体"/>
          <w:color w:val="auto"/>
          <w:sz w:val="44"/>
          <w:szCs w:val="44"/>
        </w:rPr>
      </w:pPr>
    </w:p>
    <w:p w14:paraId="11E7FFF8">
      <w:pPr>
        <w:spacing w:line="54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202</w:t>
      </w:r>
      <w:r>
        <w:rPr>
          <w:rFonts w:hint="eastAsia" w:ascii="方正小标宋简体" w:hAnsi="方正小标宋简体" w:eastAsia="方正小标宋简体" w:cs="方正小标宋简体"/>
          <w:color w:val="auto"/>
          <w:sz w:val="44"/>
          <w:szCs w:val="44"/>
          <w:lang w:val="en-US" w:eastAsia="zh-CN"/>
        </w:rPr>
        <w:t>4</w:t>
      </w:r>
      <w:r>
        <w:rPr>
          <w:rFonts w:hint="eastAsia" w:ascii="方正小标宋简体" w:hAnsi="方正小标宋简体" w:eastAsia="方正小标宋简体" w:cs="方正小标宋简体"/>
          <w:color w:val="auto"/>
          <w:sz w:val="44"/>
          <w:szCs w:val="44"/>
        </w:rPr>
        <w:t>年度老年乡医生活补助</w:t>
      </w:r>
    </w:p>
    <w:p w14:paraId="344AD3A5">
      <w:pPr>
        <w:spacing w:line="54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项目支出绩效评价报告</w:t>
      </w:r>
    </w:p>
    <w:p w14:paraId="6C30EB83">
      <w:pPr>
        <w:spacing w:line="540" w:lineRule="exact"/>
        <w:jc w:val="center"/>
        <w:rPr>
          <w:rFonts w:ascii="仿宋_GB2312"/>
          <w:color w:val="auto"/>
        </w:rPr>
      </w:pPr>
    </w:p>
    <w:p w14:paraId="4DF4E7E2">
      <w:pPr>
        <w:spacing w:line="540" w:lineRule="exact"/>
        <w:ind w:firstLine="640" w:firstLineChars="200"/>
        <w:jc w:val="lef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根据《荣成市财政局关于印发</w:t>
      </w:r>
      <w:r>
        <w:rPr>
          <w:rFonts w:hint="eastAsia" w:ascii="仿宋_GB2312" w:hAnsi="仿宋_GB2312" w:eastAsia="仿宋_GB2312" w:cs="仿宋_GB2312"/>
          <w:color w:val="auto"/>
          <w:sz w:val="32"/>
          <w:szCs w:val="32"/>
          <w:lang w:val="en-US" w:eastAsia="zh-CN"/>
        </w:rPr>
        <w:t>2025</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荣成市</w:t>
      </w:r>
      <w:r>
        <w:rPr>
          <w:rFonts w:hint="eastAsia" w:ascii="仿宋_GB2312" w:hAnsi="仿宋_GB2312" w:eastAsia="仿宋_GB2312" w:cs="仿宋_GB2312"/>
          <w:color w:val="auto"/>
          <w:sz w:val="32"/>
          <w:szCs w:val="32"/>
        </w:rPr>
        <w:t>预算绩效管理工作要点的通知》要求，对我市202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年老年乡医生活补助项目支出情况进行了一次绩效评价。现将评价有关情况报告如下：</w:t>
      </w:r>
    </w:p>
    <w:p w14:paraId="4DA0D448">
      <w:pPr>
        <w:spacing w:line="54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一、</w:t>
      </w:r>
      <w:r>
        <w:rPr>
          <w:rFonts w:hint="eastAsia" w:ascii="黑体" w:hAnsi="黑体" w:eastAsia="黑体"/>
          <w:color w:val="auto"/>
          <w:sz w:val="32"/>
          <w:szCs w:val="32"/>
          <w:lang w:val="en-US" w:eastAsia="zh-CN"/>
        </w:rPr>
        <w:t>项目</w:t>
      </w:r>
      <w:r>
        <w:rPr>
          <w:rFonts w:hint="eastAsia" w:ascii="黑体" w:hAnsi="黑体" w:eastAsia="黑体"/>
          <w:color w:val="auto"/>
          <w:sz w:val="32"/>
          <w:szCs w:val="32"/>
        </w:rPr>
        <w:t>基本情况</w:t>
      </w:r>
    </w:p>
    <w:p w14:paraId="6BA6A002">
      <w:pPr>
        <w:spacing w:line="540" w:lineRule="exact"/>
        <w:ind w:firstLine="640" w:firstLineChars="200"/>
        <w:outlineLvl w:val="0"/>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（一）项目概况</w:t>
      </w:r>
    </w:p>
    <w:p w14:paraId="6F3F1890">
      <w:pPr>
        <w:spacing w:line="540" w:lineRule="exact"/>
        <w:ind w:firstLine="640" w:firstLineChars="200"/>
        <w:outlineLvl w:val="0"/>
        <w:rPr>
          <w:rFonts w:ascii="仿宋_GB2312" w:eastAsia="仿宋_GB2312"/>
          <w:color w:val="auto"/>
          <w:sz w:val="32"/>
          <w:szCs w:val="32"/>
          <w:highlight w:val="none"/>
        </w:rPr>
      </w:pPr>
      <w:r>
        <w:rPr>
          <w:rFonts w:hint="eastAsia" w:ascii="仿宋_GB2312" w:eastAsia="仿宋_GB2312"/>
          <w:color w:val="auto"/>
          <w:sz w:val="32"/>
          <w:szCs w:val="32"/>
        </w:rPr>
        <w:t>根据《</w:t>
      </w:r>
      <w:r>
        <w:rPr>
          <w:rFonts w:hint="eastAsia" w:ascii="仿宋_GB2312" w:eastAsia="仿宋_GB2312"/>
          <w:color w:val="auto"/>
          <w:sz w:val="32"/>
          <w:szCs w:val="32"/>
          <w:lang w:val="en-US" w:eastAsia="zh-CN"/>
        </w:rPr>
        <w:t>山东省卫生和计划生育委员会关于做好乡村医生身份和补助年限认证工作的通知</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鲁卫基层字〔</w:t>
      </w:r>
      <w:r>
        <w:rPr>
          <w:rFonts w:hint="eastAsia" w:ascii="仿宋_GB2312" w:eastAsia="仿宋_GB2312"/>
          <w:color w:val="auto"/>
          <w:sz w:val="32"/>
          <w:szCs w:val="32"/>
        </w:rPr>
        <w:t>20</w:t>
      </w:r>
      <w:r>
        <w:rPr>
          <w:rFonts w:hint="eastAsia" w:ascii="仿宋_GB2312" w:eastAsia="仿宋_GB2312"/>
          <w:color w:val="auto"/>
          <w:sz w:val="32"/>
          <w:szCs w:val="32"/>
          <w:lang w:val="en-US" w:eastAsia="zh-CN"/>
        </w:rPr>
        <w:t>15〕3</w:t>
      </w:r>
      <w:r>
        <w:rPr>
          <w:rFonts w:hint="eastAsia" w:ascii="仿宋_GB2312" w:eastAsia="仿宋_GB2312"/>
          <w:color w:val="auto"/>
          <w:sz w:val="32"/>
          <w:szCs w:val="32"/>
        </w:rPr>
        <w:t>号）规定，自20</w:t>
      </w:r>
      <w:r>
        <w:rPr>
          <w:rFonts w:hint="eastAsia" w:ascii="仿宋_GB2312" w:eastAsia="仿宋_GB2312"/>
          <w:color w:val="auto"/>
          <w:sz w:val="32"/>
          <w:szCs w:val="32"/>
          <w:lang w:val="en-US" w:eastAsia="zh-CN"/>
        </w:rPr>
        <w:t>15</w:t>
      </w:r>
      <w:r>
        <w:rPr>
          <w:rFonts w:hint="eastAsia" w:ascii="仿宋_GB2312" w:eastAsia="仿宋_GB2312"/>
          <w:color w:val="auto"/>
          <w:sz w:val="32"/>
          <w:szCs w:val="32"/>
        </w:rPr>
        <w:t>年</w:t>
      </w:r>
      <w:r>
        <w:rPr>
          <w:rFonts w:hint="eastAsia" w:ascii="仿宋_GB2312" w:eastAsia="仿宋_GB2312"/>
          <w:color w:val="auto"/>
          <w:sz w:val="32"/>
          <w:szCs w:val="32"/>
          <w:lang w:val="en-US" w:eastAsia="zh-CN"/>
        </w:rPr>
        <w:t>1月1日起</w:t>
      </w:r>
      <w:r>
        <w:rPr>
          <w:rFonts w:hint="eastAsia" w:ascii="仿宋_GB2312" w:eastAsia="仿宋_GB2312"/>
          <w:color w:val="auto"/>
          <w:sz w:val="32"/>
          <w:szCs w:val="32"/>
        </w:rPr>
        <w:t>，在</w:t>
      </w:r>
      <w:r>
        <w:rPr>
          <w:rFonts w:hint="eastAsia" w:ascii="仿宋_GB2312" w:eastAsia="仿宋_GB2312"/>
          <w:color w:val="auto"/>
          <w:sz w:val="32"/>
          <w:szCs w:val="32"/>
          <w:lang w:val="en-US" w:eastAsia="zh-CN"/>
        </w:rPr>
        <w:t>荣成市</w:t>
      </w:r>
      <w:r>
        <w:rPr>
          <w:rFonts w:hint="eastAsia" w:ascii="仿宋_GB2312" w:eastAsia="仿宋_GB2312"/>
          <w:color w:val="auto"/>
          <w:sz w:val="32"/>
          <w:szCs w:val="32"/>
        </w:rPr>
        <w:t>范围内实行老年乡村医生生活补助发放制度。</w:t>
      </w:r>
      <w:r>
        <w:rPr>
          <w:rFonts w:hint="eastAsia" w:ascii="仿宋_GB2312" w:eastAsia="仿宋_GB2312" w:cs="Times New Roman"/>
          <w:color w:val="auto"/>
          <w:sz w:val="32"/>
          <w:szCs w:val="32"/>
          <w:lang w:val="en-US" w:eastAsia="zh-CN"/>
        </w:rPr>
        <w:t>对符合本意见第一条规定条件的老年乡村医生，按照工作年限每满1年</w:t>
      </w:r>
      <w:r>
        <w:rPr>
          <w:rFonts w:hint="eastAsia" w:ascii="仿宋_GB2312" w:eastAsia="仿宋_GB2312" w:cs="Times New Roman"/>
          <w:color w:val="auto"/>
          <w:sz w:val="32"/>
          <w:szCs w:val="32"/>
          <w:highlight w:val="none"/>
          <w:lang w:val="en-US" w:eastAsia="zh-CN"/>
        </w:rPr>
        <w:t>每月20元的标准发放生活补助，剩下不满一年的工作年限按一年计算。</w:t>
      </w:r>
      <w:r>
        <w:rPr>
          <w:rFonts w:hint="eastAsia" w:ascii="仿宋_GB2312" w:hAnsi="宋体" w:eastAsia="仿宋_GB2312"/>
          <w:color w:val="auto"/>
          <w:sz w:val="32"/>
          <w:szCs w:val="32"/>
          <w:highlight w:val="none"/>
          <w:lang w:val="en-US" w:eastAsia="zh-CN"/>
        </w:rPr>
        <w:t>2024</w:t>
      </w:r>
      <w:r>
        <w:rPr>
          <w:rFonts w:hint="eastAsia" w:ascii="仿宋_GB2312" w:hAnsi="宋体" w:eastAsia="仿宋_GB2312"/>
          <w:color w:val="auto"/>
          <w:sz w:val="32"/>
          <w:szCs w:val="32"/>
          <w:highlight w:val="none"/>
        </w:rPr>
        <w:t>年，</w:t>
      </w:r>
      <w:r>
        <w:rPr>
          <w:rFonts w:hint="eastAsia" w:ascii="仿宋_GB2312" w:eastAsia="仿宋_GB2312"/>
          <w:color w:val="auto"/>
          <w:sz w:val="32"/>
          <w:szCs w:val="32"/>
          <w:highlight w:val="none"/>
        </w:rPr>
        <w:t>老年乡村医生生活补助</w:t>
      </w:r>
      <w:r>
        <w:rPr>
          <w:rFonts w:hint="eastAsia" w:ascii="仿宋_GB2312" w:hAnsi="宋体" w:eastAsia="仿宋_GB2312"/>
          <w:color w:val="auto"/>
          <w:sz w:val="32"/>
          <w:szCs w:val="32"/>
          <w:highlight w:val="none"/>
        </w:rPr>
        <w:t>项目财政实际下达预算指标</w:t>
      </w:r>
      <w:r>
        <w:rPr>
          <w:rFonts w:hint="eastAsia" w:ascii="仿宋_GB2312" w:hAnsi="宋体" w:eastAsia="仿宋_GB2312"/>
          <w:color w:val="auto"/>
          <w:sz w:val="32"/>
          <w:szCs w:val="32"/>
          <w:highlight w:val="none"/>
          <w:lang w:val="en-US" w:eastAsia="zh-CN"/>
        </w:rPr>
        <w:t>1200</w:t>
      </w:r>
      <w:r>
        <w:rPr>
          <w:rFonts w:hint="eastAsia" w:ascii="仿宋_GB2312" w:hAnsi="宋体" w:eastAsia="仿宋_GB2312"/>
          <w:color w:val="auto"/>
          <w:sz w:val="32"/>
          <w:szCs w:val="32"/>
          <w:highlight w:val="none"/>
        </w:rPr>
        <w:t>万元，</w:t>
      </w:r>
      <w:r>
        <w:rPr>
          <w:rFonts w:hint="eastAsia" w:ascii="仿宋_GB2312" w:hAnsi="仿宋_GB2312" w:eastAsia="仿宋_GB2312" w:cs="仿宋_GB2312"/>
          <w:color w:val="auto"/>
          <w:sz w:val="32"/>
          <w:szCs w:val="32"/>
          <w:highlight w:val="none"/>
        </w:rPr>
        <w:t>共发生</w:t>
      </w:r>
      <w:r>
        <w:rPr>
          <w:rFonts w:hint="eastAsia" w:ascii="仿宋_GB2312" w:eastAsia="仿宋_GB2312"/>
          <w:color w:val="auto"/>
          <w:sz w:val="32"/>
          <w:szCs w:val="32"/>
          <w:highlight w:val="none"/>
        </w:rPr>
        <w:t>老年乡村医生生活补助</w:t>
      </w:r>
      <w:r>
        <w:rPr>
          <w:rFonts w:hint="eastAsia" w:ascii="仿宋_GB2312" w:hAnsi="仿宋_GB2312" w:eastAsia="仿宋_GB2312" w:cs="仿宋_GB2312"/>
          <w:color w:val="auto"/>
          <w:sz w:val="32"/>
          <w:szCs w:val="32"/>
          <w:highlight w:val="none"/>
        </w:rPr>
        <w:t>支出</w:t>
      </w:r>
      <w:r>
        <w:rPr>
          <w:rFonts w:hint="eastAsia" w:ascii="仿宋_GB2312" w:hAnsi="仿宋_GB2312" w:eastAsia="仿宋_GB2312" w:cs="仿宋_GB2312"/>
          <w:color w:val="auto"/>
          <w:sz w:val="32"/>
          <w:szCs w:val="32"/>
          <w:highlight w:val="none"/>
          <w:lang w:val="en-US" w:eastAsia="zh-CN"/>
        </w:rPr>
        <w:t>1074.67</w:t>
      </w:r>
      <w:r>
        <w:rPr>
          <w:rFonts w:hint="eastAsia" w:ascii="仿宋_GB2312" w:hAnsi="仿宋_GB2312" w:eastAsia="仿宋_GB2312" w:cs="仿宋_GB2312"/>
          <w:color w:val="auto"/>
          <w:sz w:val="32"/>
          <w:szCs w:val="32"/>
          <w:highlight w:val="none"/>
        </w:rPr>
        <w:t>万元。</w:t>
      </w:r>
    </w:p>
    <w:p w14:paraId="0240BC9F">
      <w:pPr>
        <w:numPr>
          <w:ilvl w:val="0"/>
          <w:numId w:val="0"/>
        </w:numPr>
        <w:spacing w:line="540" w:lineRule="exact"/>
        <w:ind w:firstLine="640" w:firstLineChars="200"/>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kern w:val="2"/>
          <w:sz w:val="32"/>
          <w:szCs w:val="32"/>
          <w:lang w:val="en-US" w:eastAsia="zh-CN" w:bidi="ar-SA"/>
        </w:rPr>
        <w:t>（二）</w:t>
      </w:r>
      <w:r>
        <w:rPr>
          <w:rFonts w:hint="eastAsia" w:ascii="楷体_GB2312" w:hAnsi="楷体_GB2312" w:eastAsia="楷体_GB2312" w:cs="楷体_GB2312"/>
          <w:b w:val="0"/>
          <w:bCs w:val="0"/>
          <w:color w:val="auto"/>
          <w:sz w:val="32"/>
          <w:szCs w:val="32"/>
        </w:rPr>
        <w:t>项目绩效目标</w:t>
      </w:r>
    </w:p>
    <w:p w14:paraId="4F4A7D08">
      <w:pPr>
        <w:spacing w:line="540" w:lineRule="exact"/>
        <w:ind w:firstLine="640" w:firstLineChars="200"/>
        <w:rPr>
          <w:rFonts w:ascii="仿宋_GB2312" w:eastAsia="仿宋_GB2312"/>
          <w:color w:val="auto"/>
          <w:sz w:val="32"/>
          <w:szCs w:val="32"/>
        </w:rPr>
      </w:pPr>
      <w:r>
        <w:rPr>
          <w:rFonts w:hint="eastAsia" w:ascii="仿宋_GB2312" w:hAnsi="仿宋_GB2312" w:eastAsia="仿宋_GB2312" w:cs="仿宋_GB2312"/>
          <w:color w:val="auto"/>
          <w:sz w:val="32"/>
          <w:szCs w:val="32"/>
        </w:rPr>
        <w:t>1、</w:t>
      </w:r>
      <w:r>
        <w:rPr>
          <w:rFonts w:hint="eastAsia" w:ascii="仿宋_GB2312" w:eastAsia="仿宋_GB2312"/>
          <w:color w:val="auto"/>
          <w:sz w:val="32"/>
          <w:szCs w:val="32"/>
        </w:rPr>
        <w:t>阶段性目标</w:t>
      </w:r>
    </w:p>
    <w:p w14:paraId="6F90A9EE">
      <w:pPr>
        <w:spacing w:line="54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lang w:val="en-US" w:eastAsia="zh-CN"/>
        </w:rPr>
        <w:t>2024</w:t>
      </w:r>
      <w:r>
        <w:rPr>
          <w:rFonts w:hint="eastAsia" w:ascii="仿宋_GB2312" w:eastAsia="仿宋_GB2312"/>
          <w:color w:val="auto"/>
          <w:sz w:val="32"/>
          <w:szCs w:val="32"/>
          <w:highlight w:val="none"/>
        </w:rPr>
        <w:t>年共为</w:t>
      </w:r>
      <w:r>
        <w:rPr>
          <w:rFonts w:hint="eastAsia" w:ascii="仿宋_GB2312" w:eastAsia="仿宋_GB2312"/>
          <w:color w:val="auto"/>
          <w:sz w:val="32"/>
          <w:szCs w:val="32"/>
          <w:highlight w:val="none"/>
          <w:lang w:val="en-US" w:eastAsia="zh-CN"/>
        </w:rPr>
        <w:t>2973</w:t>
      </w:r>
      <w:r>
        <w:rPr>
          <w:rFonts w:hint="eastAsia" w:ascii="仿宋_GB2312" w:eastAsia="仿宋_GB2312"/>
          <w:color w:val="auto"/>
          <w:sz w:val="32"/>
          <w:szCs w:val="32"/>
          <w:highlight w:val="none"/>
        </w:rPr>
        <w:t>人发放老年乡村医生生活补助，保证补助资金及时、准时发放到位，政策落实准确率100%。</w:t>
      </w:r>
    </w:p>
    <w:p w14:paraId="6CF11AC7">
      <w:pPr>
        <w:numPr>
          <w:ilvl w:val="0"/>
          <w:numId w:val="1"/>
        </w:num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总体目标</w:t>
      </w:r>
    </w:p>
    <w:p w14:paraId="5B350FA3">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解决乡村医生生活补助问题，稳定和优化乡村医生队伍，不断提升基层医疗卫生服务水平，提升群众满意度。</w:t>
      </w:r>
    </w:p>
    <w:p w14:paraId="357D561A">
      <w:pPr>
        <w:spacing w:line="540" w:lineRule="exact"/>
        <w:ind w:firstLine="640" w:firstLineChars="200"/>
        <w:rPr>
          <w:rFonts w:ascii="仿宋_GB2312" w:eastAsia="仿宋_GB2312"/>
          <w:color w:val="auto"/>
          <w:sz w:val="32"/>
          <w:szCs w:val="32"/>
        </w:rPr>
      </w:pPr>
      <w:r>
        <w:rPr>
          <w:rFonts w:hint="eastAsia" w:ascii="黑体" w:hAnsi="黑体" w:eastAsia="黑体"/>
          <w:color w:val="auto"/>
          <w:sz w:val="32"/>
          <w:szCs w:val="32"/>
        </w:rPr>
        <w:t>二、综合评价情况及评价结论</w:t>
      </w:r>
    </w:p>
    <w:p w14:paraId="1A862E20">
      <w:pPr>
        <w:spacing w:line="600" w:lineRule="exact"/>
        <w:ind w:firstLine="640" w:firstLineChars="200"/>
        <w:rPr>
          <w:rFonts w:hint="eastAsia" w:ascii="仿宋_GB2312" w:eastAsia="仿宋_GB2312"/>
          <w:color w:val="auto"/>
          <w:sz w:val="32"/>
          <w:szCs w:val="32"/>
          <w:highlight w:val="none"/>
        </w:rPr>
      </w:pPr>
      <w:r>
        <w:rPr>
          <w:rFonts w:hint="eastAsia" w:ascii="仿宋_GB2312" w:hAnsi="仿宋_GB2312" w:eastAsia="仿宋_GB2312" w:cs="仿宋_GB2312"/>
          <w:color w:val="auto"/>
          <w:sz w:val="32"/>
          <w:szCs w:val="32"/>
        </w:rPr>
        <w:t>评价情况：通过</w:t>
      </w:r>
      <w:r>
        <w:rPr>
          <w:rFonts w:hint="eastAsia" w:ascii="仿宋_GB2312" w:eastAsia="仿宋_GB2312"/>
          <w:color w:val="auto"/>
          <w:sz w:val="32"/>
          <w:szCs w:val="32"/>
        </w:rPr>
        <w:t>老年乡村医生生活补助</w:t>
      </w:r>
      <w:r>
        <w:rPr>
          <w:rFonts w:hint="eastAsia" w:ascii="仿宋_GB2312" w:hAnsi="仿宋_GB2312" w:eastAsia="仿宋_GB2312" w:cs="仿宋_GB2312"/>
          <w:color w:val="auto"/>
          <w:sz w:val="32"/>
          <w:szCs w:val="32"/>
        </w:rPr>
        <w:t>项目的实施</w:t>
      </w:r>
      <w:r>
        <w:rPr>
          <w:rFonts w:hint="eastAsia" w:ascii="仿宋_GB2312" w:eastAsia="仿宋_GB2312"/>
          <w:color w:val="auto"/>
          <w:sz w:val="32"/>
          <w:szCs w:val="32"/>
        </w:rPr>
        <w:t>，保障乡村医生在退休或离岗后的基本生活，‌提高其养老待遇</w:t>
      </w:r>
      <w:r>
        <w:rPr>
          <w:rFonts w:hint="eastAsia" w:ascii="仿宋_GB2312" w:eastAsia="仿宋_GB2312"/>
          <w:color w:val="auto"/>
          <w:sz w:val="32"/>
          <w:szCs w:val="32"/>
          <w:lang w:eastAsia="zh-CN"/>
        </w:rPr>
        <w:t>，</w:t>
      </w:r>
      <w:r>
        <w:rPr>
          <w:rFonts w:hint="eastAsia" w:ascii="仿宋_GB2312" w:eastAsia="仿宋_GB2312"/>
          <w:color w:val="auto"/>
          <w:sz w:val="32"/>
          <w:szCs w:val="32"/>
        </w:rPr>
        <w:t>有助于稳定和吸引更多人才投身于乡村医疗事业，‌促进农村地区医疗卫生水平的提高</w:t>
      </w:r>
      <w:r>
        <w:rPr>
          <w:rFonts w:hint="eastAsia" w:ascii="仿宋_GB2312" w:eastAsia="仿宋_GB2312"/>
          <w:color w:val="auto"/>
          <w:sz w:val="32"/>
          <w:szCs w:val="32"/>
          <w:lang w:eastAsia="zh-CN"/>
        </w:rPr>
        <w:t>。</w:t>
      </w:r>
      <w:r>
        <w:rPr>
          <w:rFonts w:hint="eastAsia" w:ascii="仿宋_GB2312" w:eastAsia="仿宋_GB2312"/>
          <w:color w:val="auto"/>
          <w:sz w:val="32"/>
          <w:szCs w:val="32"/>
          <w:highlight w:val="none"/>
        </w:rPr>
        <w:t>‌</w:t>
      </w:r>
    </w:p>
    <w:p w14:paraId="38E09F74">
      <w:pPr>
        <w:spacing w:line="600" w:lineRule="exact"/>
        <w:ind w:firstLine="604" w:firstLineChars="189"/>
        <w:rPr>
          <w:rFonts w:ascii="仿宋_GB2312" w:eastAsia="仿宋_GB2312"/>
          <w:color w:val="auto"/>
          <w:sz w:val="32"/>
          <w:szCs w:val="32"/>
          <w:highlight w:val="none"/>
        </w:rPr>
      </w:pPr>
      <w:r>
        <w:rPr>
          <w:rFonts w:hint="eastAsia" w:ascii="仿宋_GB2312" w:hAnsi="仿宋_GB2312" w:eastAsia="仿宋_GB2312" w:cs="仿宋_GB2312"/>
          <w:color w:val="auto"/>
          <w:sz w:val="32"/>
          <w:szCs w:val="32"/>
          <w:highlight w:val="none"/>
        </w:rPr>
        <w:t>评价结论：根据《202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年</w:t>
      </w:r>
      <w:r>
        <w:rPr>
          <w:rFonts w:hint="eastAsia" w:ascii="仿宋_GB2312" w:eastAsia="仿宋_GB2312"/>
          <w:color w:val="auto"/>
          <w:sz w:val="32"/>
          <w:szCs w:val="32"/>
          <w:highlight w:val="none"/>
        </w:rPr>
        <w:t>老年乡村医生生活补助</w:t>
      </w:r>
      <w:r>
        <w:rPr>
          <w:rFonts w:hint="eastAsia" w:ascii="仿宋_GB2312" w:hAnsi="仿宋_GB2312" w:eastAsia="仿宋_GB2312" w:cs="仿宋_GB2312"/>
          <w:color w:val="auto"/>
          <w:sz w:val="32"/>
          <w:szCs w:val="32"/>
          <w:highlight w:val="none"/>
        </w:rPr>
        <w:t>项目支出绩效评价指标体系表》评分，各项指标综合自评得分</w:t>
      </w:r>
      <w:r>
        <w:rPr>
          <w:rFonts w:hint="eastAsia" w:ascii="仿宋_GB2312" w:hAnsi="仿宋_GB2312" w:eastAsia="仿宋_GB2312" w:cs="仿宋_GB2312"/>
          <w:color w:val="auto"/>
          <w:sz w:val="32"/>
          <w:szCs w:val="32"/>
          <w:highlight w:val="none"/>
        </w:rPr>
        <w:t>99.</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rPr>
        <w:t>分，各项指标均全部或基本达成预期指标。</w:t>
      </w:r>
    </w:p>
    <w:p w14:paraId="043F1A1B">
      <w:pPr>
        <w:spacing w:line="540" w:lineRule="exact"/>
        <w:ind w:firstLine="640" w:firstLineChars="200"/>
        <w:rPr>
          <w:rFonts w:ascii="黑体" w:hAnsi="黑体" w:eastAsia="黑体"/>
          <w:color w:val="auto"/>
          <w:sz w:val="32"/>
          <w:szCs w:val="32"/>
        </w:rPr>
      </w:pPr>
      <w:r>
        <w:rPr>
          <w:rFonts w:hint="eastAsia" w:ascii="黑体" w:hAnsi="黑体" w:eastAsia="黑体"/>
          <w:color w:val="auto"/>
          <w:sz w:val="32"/>
          <w:szCs w:val="32"/>
          <w:highlight w:val="none"/>
        </w:rPr>
        <w:t>三、绩效评价工作开展情况</w:t>
      </w:r>
    </w:p>
    <w:p w14:paraId="77A37FB4">
      <w:pPr>
        <w:spacing w:line="54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（一）绩效评价目的、对象和范围。</w:t>
      </w:r>
    </w:p>
    <w:p w14:paraId="2EC8845F">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1、评价目的</w:t>
      </w:r>
    </w:p>
    <w:p w14:paraId="52908042">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加强预算绩效管理，强化支出责任，建立科学、合理的项目支出绩效评价管理体系，提高老年乡村医生生活补助资金使用效益。</w:t>
      </w:r>
    </w:p>
    <w:p w14:paraId="73E93FCC">
      <w:pPr>
        <w:spacing w:line="54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2、评价对象</w:t>
      </w:r>
    </w:p>
    <w:p w14:paraId="40A9B923">
      <w:pPr>
        <w:spacing w:line="54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202</w:t>
      </w:r>
      <w:r>
        <w:rPr>
          <w:rFonts w:hint="eastAsia" w:ascii="仿宋_GB2312" w:eastAsia="仿宋_GB2312"/>
          <w:color w:val="auto"/>
          <w:sz w:val="32"/>
          <w:szCs w:val="32"/>
          <w:highlight w:val="none"/>
          <w:lang w:val="en-US" w:eastAsia="zh-CN"/>
        </w:rPr>
        <w:t>4</w:t>
      </w:r>
      <w:r>
        <w:rPr>
          <w:rFonts w:hint="eastAsia" w:ascii="仿宋_GB2312" w:eastAsia="仿宋_GB2312"/>
          <w:color w:val="auto"/>
          <w:sz w:val="32"/>
          <w:szCs w:val="32"/>
          <w:highlight w:val="none"/>
        </w:rPr>
        <w:t>年老年乡村医生生活补助项目。</w:t>
      </w:r>
    </w:p>
    <w:p w14:paraId="3F4773F1">
      <w:pPr>
        <w:spacing w:line="54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3、评价范围</w:t>
      </w:r>
    </w:p>
    <w:p w14:paraId="11FBCD43">
      <w:pPr>
        <w:spacing w:line="54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对202</w:t>
      </w:r>
      <w:r>
        <w:rPr>
          <w:rFonts w:hint="eastAsia" w:ascii="仿宋_GB2312" w:eastAsia="仿宋_GB2312"/>
          <w:color w:val="auto"/>
          <w:sz w:val="32"/>
          <w:szCs w:val="32"/>
          <w:highlight w:val="none"/>
          <w:lang w:val="en-US" w:eastAsia="zh-CN"/>
        </w:rPr>
        <w:t>4</w:t>
      </w:r>
      <w:r>
        <w:rPr>
          <w:rFonts w:hint="eastAsia" w:ascii="仿宋_GB2312" w:eastAsia="仿宋_GB2312"/>
          <w:color w:val="auto"/>
          <w:sz w:val="32"/>
          <w:szCs w:val="32"/>
          <w:highlight w:val="none"/>
        </w:rPr>
        <w:t>年老年乡村医生生活补助项目决策情况、过程情况、产出情况及效益情况进行评价分析。</w:t>
      </w:r>
    </w:p>
    <w:p w14:paraId="6A348657">
      <w:pPr>
        <w:spacing w:line="54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highlight w:val="none"/>
        </w:rPr>
        <w:t>（二）绩效评价原则、评价指标体系（附表说明）、评价方</w:t>
      </w:r>
      <w:r>
        <w:rPr>
          <w:rFonts w:hint="eastAsia" w:ascii="楷体_GB2312" w:hAnsi="楷体_GB2312" w:eastAsia="楷体_GB2312" w:cs="楷体_GB2312"/>
          <w:b/>
          <w:bCs/>
          <w:color w:val="auto"/>
          <w:sz w:val="32"/>
          <w:szCs w:val="32"/>
        </w:rPr>
        <w:t>法、评价标准。</w:t>
      </w:r>
    </w:p>
    <w:p w14:paraId="7850B5C4">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1、评价原则</w:t>
      </w:r>
    </w:p>
    <w:p w14:paraId="79D77286">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坚持科学规范、公正公开、分级分类、绩效相关的原则。</w:t>
      </w:r>
    </w:p>
    <w:p w14:paraId="3AB99B33">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2、评价指标体系</w:t>
      </w:r>
    </w:p>
    <w:p w14:paraId="1B6E606D">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按照重要性的原则确定各指标的权数。按决策15%、过程25%、产出20%、效益40%的比例构建老年乡村医生生活补助项目支出绩效评价体系框架，每方面再根据相关政策文件，逐级设计二级、三级指标。具体指标见附表。</w:t>
      </w:r>
    </w:p>
    <w:p w14:paraId="0B548157">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3、评价方法</w:t>
      </w:r>
    </w:p>
    <w:p w14:paraId="502718DE">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主要采用政策制度研究、专家咨询、现场访谈、实地核查、问卷调查、查阅凭证账簿及其他相关资料，并运用定性及定量分析等方法。</w:t>
      </w:r>
    </w:p>
    <w:p w14:paraId="65ADA3DC">
      <w:pPr>
        <w:spacing w:line="54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4、评价标准</w:t>
      </w:r>
    </w:p>
    <w:p w14:paraId="09933BC8">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在对评价项目的绩效情况进行全面分析的基础上，本着客观、公正、准确的原则，进行综合评分。评价结果包括综合评分和评级，分类如下：完成预期指标（100分</w:t>
      </w:r>
      <w:r>
        <w:rPr>
          <w:rFonts w:hint="eastAsia" w:ascii="仿宋_GB2312" w:eastAsia="仿宋_GB2312"/>
          <w:color w:val="auto"/>
          <w:sz w:val="32"/>
          <w:szCs w:val="32"/>
          <w:lang w:eastAsia="zh-CN"/>
        </w:rPr>
        <w:t>—</w:t>
      </w:r>
      <w:r>
        <w:rPr>
          <w:rFonts w:hint="eastAsia" w:ascii="仿宋_GB2312" w:eastAsia="仿宋_GB2312"/>
          <w:color w:val="auto"/>
          <w:sz w:val="32"/>
          <w:szCs w:val="32"/>
        </w:rPr>
        <w:t>80分（含））、部分完成预期指标并具有一定效果（80分</w:t>
      </w:r>
      <w:r>
        <w:rPr>
          <w:rFonts w:hint="eastAsia" w:ascii="仿宋_GB2312" w:eastAsia="仿宋_GB2312"/>
          <w:color w:val="auto"/>
          <w:sz w:val="32"/>
          <w:szCs w:val="32"/>
          <w:lang w:eastAsia="zh-CN"/>
        </w:rPr>
        <w:t>—</w:t>
      </w:r>
      <w:r>
        <w:rPr>
          <w:rFonts w:hint="eastAsia" w:ascii="仿宋_GB2312" w:eastAsia="仿宋_GB2312"/>
          <w:color w:val="auto"/>
          <w:sz w:val="32"/>
          <w:szCs w:val="32"/>
        </w:rPr>
        <w:t>60分（含））、未完成预期指标且效果较差（60分-0分）。</w:t>
      </w:r>
    </w:p>
    <w:p w14:paraId="0081FE05">
      <w:pPr>
        <w:numPr>
          <w:ilvl w:val="0"/>
          <w:numId w:val="0"/>
        </w:numPr>
        <w:spacing w:line="54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kern w:val="2"/>
          <w:sz w:val="32"/>
          <w:szCs w:val="32"/>
          <w:lang w:val="en-US" w:eastAsia="zh-CN" w:bidi="ar-SA"/>
        </w:rPr>
        <w:t>（三）</w:t>
      </w:r>
      <w:r>
        <w:rPr>
          <w:rFonts w:hint="eastAsia" w:ascii="楷体_GB2312" w:hAnsi="楷体_GB2312" w:eastAsia="楷体_GB2312" w:cs="楷体_GB2312"/>
          <w:b/>
          <w:bCs/>
          <w:color w:val="auto"/>
          <w:sz w:val="32"/>
          <w:szCs w:val="32"/>
        </w:rPr>
        <w:t>绩效评价工作过程。</w:t>
      </w:r>
    </w:p>
    <w:p w14:paraId="4E85D569">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rPr>
        <w:t>按照评价要求，对整个评价周期进行阶段性划分，明确每个阶段任务、工作内容及节点成果。</w:t>
      </w:r>
    </w:p>
    <w:p w14:paraId="3584AF39">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1．前期准备。一是印发绩效评价工作文件。市财政局印发了《</w:t>
      </w:r>
      <w:r>
        <w:rPr>
          <w:rFonts w:hint="eastAsia" w:ascii="仿宋_GB2312" w:hAnsi="仿宋_GB2312" w:eastAsia="仿宋_GB2312" w:cs="仿宋_GB2312"/>
          <w:color w:val="auto"/>
          <w:sz w:val="32"/>
          <w:szCs w:val="32"/>
          <w:highlight w:val="none"/>
        </w:rPr>
        <w:t>荣成市财政局关于印发202</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lang w:val="en-US" w:eastAsia="zh-CN"/>
        </w:rPr>
        <w:t>荣成市</w:t>
      </w:r>
      <w:r>
        <w:rPr>
          <w:rFonts w:hint="eastAsia" w:ascii="仿宋_GB2312" w:hAnsi="仿宋_GB2312" w:eastAsia="仿宋_GB2312" w:cs="仿宋_GB2312"/>
          <w:color w:val="auto"/>
          <w:sz w:val="32"/>
          <w:szCs w:val="32"/>
          <w:highlight w:val="none"/>
        </w:rPr>
        <w:t>预算绩效管理工作要点的通知</w:t>
      </w:r>
      <w:r>
        <w:rPr>
          <w:rFonts w:hint="eastAsia" w:ascii="仿宋_GB2312" w:eastAsia="仿宋_GB2312"/>
          <w:color w:val="auto"/>
          <w:sz w:val="32"/>
          <w:szCs w:val="32"/>
          <w:highlight w:val="none"/>
        </w:rPr>
        <w:t>》。二是研究设计了项目评价指标体系及工作方案。</w:t>
      </w:r>
    </w:p>
    <w:p w14:paraId="6B1A9B08">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highlight w:val="none"/>
        </w:rPr>
        <w:t>2．组织实施。一是荣成市卫生健康局依据202</w:t>
      </w:r>
      <w:r>
        <w:rPr>
          <w:rFonts w:hint="eastAsia" w:ascii="仿宋_GB2312" w:eastAsia="仿宋_GB2312"/>
          <w:color w:val="auto"/>
          <w:sz w:val="32"/>
          <w:szCs w:val="32"/>
          <w:highlight w:val="none"/>
          <w:lang w:val="en-US" w:eastAsia="zh-CN"/>
        </w:rPr>
        <w:t>4</w:t>
      </w:r>
      <w:r>
        <w:rPr>
          <w:rFonts w:hint="eastAsia" w:ascii="仿宋_GB2312" w:eastAsia="仿宋_GB2312"/>
          <w:color w:val="auto"/>
          <w:sz w:val="32"/>
          <w:szCs w:val="32"/>
          <w:highlight w:val="none"/>
        </w:rPr>
        <w:t>年老年乡村医生生活补助项目绩效评价工作方案及评价指标体系进行自查和自评。二是根据荣成市卫生健康局自查和自评情况，</w:t>
      </w:r>
      <w:r>
        <w:rPr>
          <w:rFonts w:hint="eastAsia" w:ascii="仿宋_GB2312" w:eastAsia="仿宋_GB2312"/>
          <w:color w:val="auto"/>
          <w:sz w:val="32"/>
          <w:szCs w:val="32"/>
        </w:rPr>
        <w:t>绩效评价工作小组到被评价单位进行现场调查取证，到项目实施地进行现场调查和问卷调查。</w:t>
      </w:r>
    </w:p>
    <w:p w14:paraId="0E36BBFE">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3．分析评价。收集绩效评价所需资料，核实评价基础数据，对绩效评价指标项目进行打分，结合绩效评价工作小组抽查情况进行分析评价，形成评价结论。</w:t>
      </w:r>
    </w:p>
    <w:p w14:paraId="2B5A6CC8">
      <w:pPr>
        <w:spacing w:line="540" w:lineRule="exact"/>
        <w:ind w:firstLine="640" w:firstLineChars="200"/>
        <w:rPr>
          <w:rFonts w:ascii="黑体" w:hAnsi="黑体" w:eastAsia="黑体"/>
          <w:color w:val="auto"/>
          <w:sz w:val="32"/>
          <w:szCs w:val="32"/>
        </w:rPr>
      </w:pPr>
      <w:r>
        <w:rPr>
          <w:rFonts w:hint="eastAsia" w:ascii="黑体" w:hAnsi="黑体" w:eastAsia="黑体"/>
          <w:color w:val="auto"/>
          <w:sz w:val="32"/>
          <w:szCs w:val="32"/>
        </w:rPr>
        <w:t>四、绩效评价指标分析</w:t>
      </w:r>
    </w:p>
    <w:p w14:paraId="0D10E951">
      <w:pPr>
        <w:spacing w:line="540" w:lineRule="exact"/>
        <w:ind w:firstLine="643" w:firstLineChars="200"/>
        <w:outlineLvl w:val="0"/>
        <w:rPr>
          <w:rFonts w:ascii="仿宋_GB2312" w:eastAsia="仿宋_GB2312"/>
          <w:b/>
          <w:bCs/>
          <w:color w:val="auto"/>
          <w:sz w:val="32"/>
          <w:szCs w:val="32"/>
        </w:rPr>
      </w:pPr>
      <w:r>
        <w:rPr>
          <w:rFonts w:hint="eastAsia" w:ascii="仿宋_GB2312" w:eastAsia="仿宋_GB2312"/>
          <w:b/>
          <w:bCs/>
          <w:color w:val="auto"/>
          <w:sz w:val="32"/>
          <w:szCs w:val="32"/>
        </w:rPr>
        <w:t>（一）项目决策情况。</w:t>
      </w:r>
    </w:p>
    <w:p w14:paraId="6F1F6A53">
      <w:pPr>
        <w:spacing w:line="540" w:lineRule="exact"/>
        <w:ind w:firstLine="640" w:firstLineChars="200"/>
        <w:outlineLvl w:val="0"/>
        <w:rPr>
          <w:rFonts w:ascii="仿宋_GB2312" w:eastAsia="仿宋_GB2312"/>
          <w:color w:val="auto"/>
          <w:sz w:val="32"/>
          <w:szCs w:val="32"/>
        </w:rPr>
      </w:pPr>
      <w:r>
        <w:rPr>
          <w:rFonts w:hint="eastAsia" w:ascii="仿宋_GB2312" w:eastAsia="仿宋_GB2312"/>
          <w:color w:val="auto"/>
          <w:sz w:val="32"/>
          <w:szCs w:val="32"/>
        </w:rPr>
        <w:t>项目决策，分值15分，得分15分。</w:t>
      </w:r>
    </w:p>
    <w:p w14:paraId="2E9669D9">
      <w:pPr>
        <w:spacing w:line="540" w:lineRule="exact"/>
        <w:ind w:firstLine="640" w:firstLineChars="200"/>
        <w:outlineLvl w:val="0"/>
        <w:rPr>
          <w:rFonts w:ascii="仿宋_GB2312" w:eastAsia="仿宋_GB2312"/>
          <w:color w:val="auto"/>
          <w:sz w:val="32"/>
          <w:szCs w:val="32"/>
          <w:highlight w:val="none"/>
        </w:rPr>
      </w:pPr>
      <w:r>
        <w:rPr>
          <w:rFonts w:hint="eastAsia" w:ascii="仿宋_GB2312" w:eastAsia="仿宋_GB2312"/>
          <w:color w:val="auto"/>
          <w:sz w:val="32"/>
          <w:szCs w:val="32"/>
        </w:rPr>
        <w:t>根据《</w:t>
      </w:r>
      <w:r>
        <w:rPr>
          <w:rFonts w:hint="eastAsia" w:ascii="仿宋_GB2312" w:eastAsia="仿宋_GB2312"/>
          <w:color w:val="auto"/>
          <w:sz w:val="32"/>
          <w:szCs w:val="32"/>
          <w:lang w:val="en-US" w:eastAsia="zh-CN"/>
        </w:rPr>
        <w:t>山东省卫生和计划生育委员会关于做好乡村医生身份和补助年限认证工作的通知</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鲁卫基层字</w:t>
      </w:r>
      <w:r>
        <w:rPr>
          <w:rFonts w:hint="eastAsia" w:ascii="仿宋_GB2312" w:eastAsia="仿宋_GB2312"/>
          <w:color w:val="auto"/>
          <w:sz w:val="32"/>
          <w:szCs w:val="32"/>
        </w:rPr>
        <w:t>〔20</w:t>
      </w:r>
      <w:r>
        <w:rPr>
          <w:rFonts w:hint="eastAsia" w:ascii="仿宋_GB2312" w:eastAsia="仿宋_GB2312"/>
          <w:color w:val="auto"/>
          <w:sz w:val="32"/>
          <w:szCs w:val="32"/>
          <w:lang w:val="en-US" w:eastAsia="zh-CN"/>
        </w:rPr>
        <w:t>15</w:t>
      </w:r>
      <w:r>
        <w:rPr>
          <w:rFonts w:hint="eastAsia" w:ascii="仿宋_GB2312" w:eastAsia="仿宋_GB2312"/>
          <w:color w:val="auto"/>
          <w:sz w:val="32"/>
          <w:szCs w:val="32"/>
          <w:lang w:eastAsia="zh-CN"/>
        </w:rPr>
        <w:t>〕</w:t>
      </w:r>
      <w:r>
        <w:rPr>
          <w:rFonts w:hint="eastAsia" w:ascii="仿宋_GB2312" w:eastAsia="仿宋_GB2312"/>
          <w:color w:val="auto"/>
          <w:sz w:val="32"/>
          <w:szCs w:val="32"/>
          <w:lang w:val="en-US" w:eastAsia="zh-CN"/>
        </w:rPr>
        <w:t>3</w:t>
      </w:r>
      <w:r>
        <w:rPr>
          <w:rFonts w:hint="eastAsia" w:ascii="仿宋_GB2312" w:eastAsia="仿宋_GB2312"/>
          <w:color w:val="auto"/>
          <w:sz w:val="32"/>
          <w:szCs w:val="32"/>
        </w:rPr>
        <w:t>号）规定，自20</w:t>
      </w:r>
      <w:r>
        <w:rPr>
          <w:rFonts w:hint="eastAsia" w:ascii="仿宋_GB2312" w:eastAsia="仿宋_GB2312"/>
          <w:color w:val="auto"/>
          <w:sz w:val="32"/>
          <w:szCs w:val="32"/>
          <w:lang w:val="en-US" w:eastAsia="zh-CN"/>
        </w:rPr>
        <w:t>15</w:t>
      </w:r>
      <w:r>
        <w:rPr>
          <w:rFonts w:hint="eastAsia" w:ascii="仿宋_GB2312" w:eastAsia="仿宋_GB2312"/>
          <w:color w:val="auto"/>
          <w:sz w:val="32"/>
          <w:szCs w:val="32"/>
        </w:rPr>
        <w:t>年</w:t>
      </w:r>
      <w:r>
        <w:rPr>
          <w:rFonts w:hint="eastAsia" w:ascii="仿宋_GB2312" w:eastAsia="仿宋_GB2312"/>
          <w:color w:val="auto"/>
          <w:sz w:val="32"/>
          <w:szCs w:val="32"/>
          <w:lang w:val="en-US" w:eastAsia="zh-CN"/>
        </w:rPr>
        <w:t>1月1日起</w:t>
      </w:r>
      <w:r>
        <w:rPr>
          <w:rFonts w:hint="eastAsia" w:ascii="仿宋_GB2312" w:eastAsia="仿宋_GB2312"/>
          <w:color w:val="auto"/>
          <w:sz w:val="32"/>
          <w:szCs w:val="32"/>
        </w:rPr>
        <w:t>，在</w:t>
      </w:r>
      <w:r>
        <w:rPr>
          <w:rFonts w:hint="eastAsia" w:ascii="仿宋_GB2312" w:eastAsia="仿宋_GB2312"/>
          <w:color w:val="auto"/>
          <w:sz w:val="32"/>
          <w:szCs w:val="32"/>
          <w:lang w:val="en-US" w:eastAsia="zh-CN"/>
        </w:rPr>
        <w:t>荣成市</w:t>
      </w:r>
      <w:r>
        <w:rPr>
          <w:rFonts w:hint="eastAsia" w:ascii="仿宋_GB2312" w:eastAsia="仿宋_GB2312"/>
          <w:color w:val="auto"/>
          <w:sz w:val="32"/>
          <w:szCs w:val="32"/>
        </w:rPr>
        <w:t>范围内实行老年乡村医生生活补助发放制度。</w:t>
      </w:r>
      <w:r>
        <w:rPr>
          <w:rFonts w:hint="eastAsia" w:ascii="仿宋_GB2312" w:eastAsia="仿宋_GB2312" w:cs="Times New Roman"/>
          <w:color w:val="auto"/>
          <w:sz w:val="32"/>
          <w:szCs w:val="32"/>
          <w:lang w:val="en-US" w:eastAsia="zh-CN"/>
        </w:rPr>
        <w:t>对符合本意见第一条规定条件的老年乡村医生，按照工作年限每满1年每月20元的标准发放生活补助，剩下不满一年</w:t>
      </w:r>
      <w:r>
        <w:rPr>
          <w:rFonts w:hint="eastAsia" w:ascii="仿宋_GB2312" w:eastAsia="仿宋_GB2312" w:cs="Times New Roman"/>
          <w:color w:val="auto"/>
          <w:sz w:val="32"/>
          <w:szCs w:val="32"/>
          <w:highlight w:val="none"/>
          <w:lang w:val="en-US" w:eastAsia="zh-CN"/>
        </w:rPr>
        <w:t>的工作年限按一年计算</w:t>
      </w:r>
      <w:r>
        <w:rPr>
          <w:rFonts w:hint="eastAsia" w:ascii="仿宋_GB2312" w:eastAsia="仿宋_GB2312"/>
          <w:color w:val="auto"/>
          <w:sz w:val="32"/>
          <w:szCs w:val="32"/>
          <w:highlight w:val="none"/>
        </w:rPr>
        <w:t>。该项目的申请和设立符合国家文件要求，具有详细的实施方案及绩效指标。</w:t>
      </w:r>
    </w:p>
    <w:p w14:paraId="7D98B980">
      <w:pPr>
        <w:numPr>
          <w:ilvl w:val="0"/>
          <w:numId w:val="2"/>
        </w:numPr>
        <w:spacing w:line="540" w:lineRule="exact"/>
        <w:ind w:firstLine="643" w:firstLineChars="200"/>
        <w:outlineLvl w:val="0"/>
        <w:rPr>
          <w:rFonts w:ascii="仿宋_GB2312" w:eastAsia="仿宋_GB2312"/>
          <w:color w:val="auto"/>
          <w:sz w:val="32"/>
          <w:szCs w:val="32"/>
          <w:highlight w:val="none"/>
        </w:rPr>
      </w:pPr>
      <w:r>
        <w:rPr>
          <w:rFonts w:hint="eastAsia" w:ascii="仿宋_GB2312" w:eastAsia="仿宋_GB2312"/>
          <w:b/>
          <w:bCs/>
          <w:color w:val="auto"/>
          <w:sz w:val="32"/>
          <w:szCs w:val="32"/>
          <w:highlight w:val="none"/>
        </w:rPr>
        <w:t>项目过程情况</w:t>
      </w:r>
      <w:r>
        <w:rPr>
          <w:rFonts w:hint="eastAsia" w:ascii="仿宋_GB2312" w:eastAsia="仿宋_GB2312"/>
          <w:color w:val="auto"/>
          <w:sz w:val="32"/>
          <w:szCs w:val="32"/>
          <w:highlight w:val="none"/>
        </w:rPr>
        <w:t>。</w:t>
      </w:r>
    </w:p>
    <w:p w14:paraId="0DEA06F0">
      <w:pPr>
        <w:spacing w:line="560" w:lineRule="exact"/>
        <w:ind w:firstLine="604" w:firstLineChars="189"/>
        <w:rPr>
          <w:rFonts w:ascii="仿宋_GB2312" w:hAnsi="仿宋_GB2312" w:eastAsia="仿宋_GB2312" w:cs="仿宋_GB2312"/>
          <w:color w:val="auto"/>
          <w:sz w:val="32"/>
          <w:szCs w:val="32"/>
          <w:highlight w:val="none"/>
        </w:rPr>
      </w:pPr>
      <w:r>
        <w:rPr>
          <w:rFonts w:hint="eastAsia" w:ascii="仿宋_GB2312" w:eastAsia="仿宋_GB2312"/>
          <w:color w:val="auto"/>
          <w:sz w:val="32"/>
          <w:szCs w:val="32"/>
          <w:highlight w:val="none"/>
        </w:rPr>
        <w:t>项目过程，分值25分，得分</w:t>
      </w:r>
      <w:r>
        <w:rPr>
          <w:rFonts w:hint="eastAsia" w:ascii="仿宋_GB2312" w:eastAsia="仿宋_GB2312"/>
          <w:color w:val="auto"/>
          <w:sz w:val="32"/>
          <w:szCs w:val="32"/>
          <w:highlight w:val="none"/>
          <w:lang w:val="en-US" w:eastAsia="zh-CN"/>
        </w:rPr>
        <w:t>24.48</w:t>
      </w:r>
      <w:r>
        <w:rPr>
          <w:rFonts w:hint="eastAsia" w:ascii="仿宋_GB2312" w:eastAsia="仿宋_GB2312"/>
          <w:color w:val="auto"/>
          <w:sz w:val="32"/>
          <w:szCs w:val="32"/>
          <w:highlight w:val="none"/>
        </w:rPr>
        <w:t>分。</w:t>
      </w:r>
    </w:p>
    <w:p w14:paraId="3EA0ED8C">
      <w:pPr>
        <w:spacing w:line="560" w:lineRule="exact"/>
        <w:ind w:firstLine="640" w:firstLineChars="200"/>
        <w:rPr>
          <w:rFonts w:hint="eastAsia" w:ascii="仿宋_GB2312" w:eastAsia="仿宋_GB2312"/>
          <w:color w:val="auto"/>
          <w:sz w:val="34"/>
          <w:szCs w:val="34"/>
        </w:rPr>
      </w:pPr>
      <w:r>
        <w:rPr>
          <w:rFonts w:hint="eastAsia" w:ascii="仿宋_GB2312" w:hAnsi="仿宋_GB2312" w:eastAsia="仿宋_GB2312" w:cs="仿宋_GB2312"/>
          <w:color w:val="auto"/>
          <w:sz w:val="32"/>
          <w:szCs w:val="32"/>
          <w:highlight w:val="none"/>
        </w:rPr>
        <w:t>在项目实施过程中，</w:t>
      </w:r>
      <w:r>
        <w:rPr>
          <w:rFonts w:hint="eastAsia" w:ascii="楷体" w:hAnsi="楷体" w:eastAsia="楷体" w:cs="楷体"/>
          <w:color w:val="auto"/>
          <w:sz w:val="32"/>
          <w:szCs w:val="32"/>
          <w:highlight w:val="none"/>
        </w:rPr>
        <w:t>一是严格按照资格确认条件和程序确定目标人群。</w:t>
      </w:r>
      <w:r>
        <w:rPr>
          <w:rFonts w:hint="eastAsia" w:ascii="仿宋_GB2312" w:eastAsia="仿宋_GB2312"/>
          <w:color w:val="auto"/>
          <w:sz w:val="32"/>
          <w:szCs w:val="32"/>
          <w:highlight w:val="none"/>
        </w:rPr>
        <w:t>按照省市文件</w:t>
      </w:r>
      <w:bookmarkStart w:id="0" w:name="_GoBack"/>
      <w:bookmarkEnd w:id="0"/>
      <w:r>
        <w:rPr>
          <w:rFonts w:hint="eastAsia" w:ascii="仿宋_GB2312" w:eastAsia="仿宋_GB2312"/>
          <w:color w:val="auto"/>
          <w:sz w:val="32"/>
          <w:szCs w:val="32"/>
          <w:highlight w:val="none"/>
        </w:rPr>
        <w:t>规定的程序、条</w:t>
      </w:r>
      <w:r>
        <w:rPr>
          <w:rFonts w:hint="eastAsia" w:ascii="仿宋_GB2312" w:eastAsia="仿宋_GB2312"/>
          <w:color w:val="auto"/>
          <w:sz w:val="32"/>
          <w:szCs w:val="32"/>
        </w:rPr>
        <w:t>件和</w:t>
      </w:r>
      <w:r>
        <w:rPr>
          <w:rFonts w:hint="eastAsia" w:ascii="仿宋_GB2312" w:eastAsia="仿宋_GB2312"/>
          <w:color w:val="auto"/>
          <w:sz w:val="32"/>
          <w:szCs w:val="32"/>
          <w:lang w:val="en-US" w:eastAsia="zh-CN"/>
        </w:rPr>
        <w:t>补助发放</w:t>
      </w:r>
      <w:r>
        <w:rPr>
          <w:rFonts w:hint="eastAsia" w:ascii="仿宋_GB2312" w:eastAsia="仿宋_GB2312"/>
          <w:color w:val="auto"/>
          <w:sz w:val="32"/>
          <w:szCs w:val="32"/>
        </w:rPr>
        <w:t>标准制定实施意见，确保政策的一致性，力争做到一个不错、一个不漏。通过“三级”审核、“三级”公示、群众举报、社会监督等措施，确保政策执行的公平性。</w:t>
      </w:r>
      <w:r>
        <w:rPr>
          <w:rFonts w:hint="eastAsia" w:ascii="楷体" w:hAnsi="楷体" w:eastAsia="楷体" w:cs="楷体"/>
          <w:color w:val="auto"/>
          <w:sz w:val="32"/>
          <w:szCs w:val="32"/>
        </w:rPr>
        <w:t>二是创新制约与监督机制。</w:t>
      </w:r>
      <w:r>
        <w:rPr>
          <w:rFonts w:hint="eastAsia" w:ascii="仿宋_GB2312" w:eastAsia="仿宋_GB2312"/>
          <w:color w:val="auto"/>
          <w:sz w:val="32"/>
          <w:szCs w:val="32"/>
        </w:rPr>
        <w:t>市卫</w:t>
      </w:r>
      <w:r>
        <w:rPr>
          <w:rFonts w:hint="eastAsia" w:ascii="仿宋_GB2312" w:eastAsia="仿宋_GB2312"/>
          <w:color w:val="auto"/>
          <w:sz w:val="32"/>
          <w:szCs w:val="32"/>
          <w:lang w:val="en-US" w:eastAsia="zh-CN"/>
        </w:rPr>
        <w:t>健</w:t>
      </w:r>
      <w:r>
        <w:rPr>
          <w:rFonts w:hint="eastAsia" w:ascii="仿宋_GB2312" w:eastAsia="仿宋_GB2312"/>
          <w:color w:val="auto"/>
          <w:sz w:val="32"/>
          <w:szCs w:val="32"/>
        </w:rPr>
        <w:t>局、财政局、人社局共同审查批准，作为审核发放工作的依据</w:t>
      </w:r>
      <w:r>
        <w:rPr>
          <w:rFonts w:hint="eastAsia" w:ascii="仿宋_GB2312" w:eastAsia="仿宋_GB2312"/>
          <w:color w:val="auto"/>
          <w:sz w:val="32"/>
          <w:szCs w:val="32"/>
          <w:lang w:eastAsia="zh-CN"/>
        </w:rPr>
        <w:t>，</w:t>
      </w:r>
      <w:r>
        <w:rPr>
          <w:rFonts w:hint="eastAsia" w:ascii="仿宋_GB2312" w:eastAsia="仿宋_GB2312"/>
          <w:color w:val="auto"/>
          <w:sz w:val="32"/>
          <w:szCs w:val="32"/>
        </w:rPr>
        <w:t>对符合发放条件人员，由市人社局所属社保经办机构，明确具体的办理程序，统一使用居民养老保险待遇发放渠道发放补助，确保实现社会保障待遇统筹管理，规范发放。</w:t>
      </w:r>
    </w:p>
    <w:p w14:paraId="436D22B7">
      <w:pPr>
        <w:spacing w:line="560" w:lineRule="exact"/>
        <w:ind w:firstLine="640" w:firstLineChars="200"/>
        <w:rPr>
          <w:rFonts w:ascii="仿宋_GB2312" w:eastAsia="仿宋_GB2312"/>
          <w:color w:val="auto"/>
          <w:sz w:val="32"/>
          <w:szCs w:val="32"/>
        </w:rPr>
      </w:pPr>
      <w:r>
        <w:rPr>
          <w:rFonts w:hint="eastAsia" w:ascii="仿宋_GB2312" w:eastAsia="仿宋_GB2312"/>
          <w:color w:val="auto"/>
          <w:sz w:val="32"/>
          <w:szCs w:val="32"/>
        </w:rPr>
        <w:t>该项目资金管理制度健全、拨付及时、使用合规，未发现截留、挤占、挪用、虚假支出的情况。</w:t>
      </w:r>
      <w:r>
        <w:rPr>
          <w:rFonts w:hint="eastAsia" w:ascii="仿宋_GB2312" w:eastAsia="仿宋_GB2312"/>
          <w:color w:val="auto"/>
          <w:sz w:val="32"/>
          <w:szCs w:val="32"/>
          <w:highlight w:val="none"/>
        </w:rPr>
        <w:t>但年度预算指标未全部执行，预算执行率扣分</w:t>
      </w:r>
      <w:r>
        <w:rPr>
          <w:rFonts w:hint="eastAsia" w:ascii="仿宋_GB2312" w:eastAsia="仿宋_GB2312"/>
          <w:color w:val="auto"/>
          <w:sz w:val="32"/>
          <w:szCs w:val="32"/>
        </w:rPr>
        <w:t>。</w:t>
      </w:r>
    </w:p>
    <w:p w14:paraId="1D8F088B">
      <w:pPr>
        <w:numPr>
          <w:ilvl w:val="0"/>
          <w:numId w:val="2"/>
        </w:numPr>
        <w:spacing w:line="540" w:lineRule="exact"/>
        <w:ind w:firstLine="643" w:firstLineChars="200"/>
        <w:outlineLvl w:val="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项目产出情况。</w:t>
      </w:r>
    </w:p>
    <w:p w14:paraId="33DF9868">
      <w:pPr>
        <w:spacing w:line="560" w:lineRule="exact"/>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项目产出，分值20分，得分20分。</w:t>
      </w:r>
    </w:p>
    <w:p w14:paraId="30417492">
      <w:pPr>
        <w:spacing w:line="540" w:lineRule="exact"/>
        <w:ind w:firstLine="640" w:firstLineChars="200"/>
        <w:outlineLvl w:val="0"/>
        <w:rPr>
          <w:rFonts w:ascii="仿宋_GB2312" w:eastAsia="仿宋_GB2312"/>
          <w:color w:val="auto"/>
          <w:sz w:val="32"/>
          <w:szCs w:val="32"/>
        </w:rPr>
      </w:pPr>
      <w:r>
        <w:rPr>
          <w:rFonts w:hint="eastAsia" w:ascii="仿宋_GB2312" w:eastAsia="仿宋_GB2312"/>
          <w:color w:val="auto"/>
          <w:sz w:val="32"/>
          <w:szCs w:val="32"/>
          <w:highlight w:val="none"/>
        </w:rPr>
        <w:t>20</w:t>
      </w:r>
      <w:r>
        <w:rPr>
          <w:rFonts w:hint="eastAsia" w:ascii="仿宋_GB2312" w:eastAsia="仿宋_GB2312"/>
          <w:color w:val="auto"/>
          <w:sz w:val="32"/>
          <w:szCs w:val="32"/>
          <w:highlight w:val="none"/>
          <w:lang w:val="en-US" w:eastAsia="zh-CN"/>
        </w:rPr>
        <w:t>24</w:t>
      </w:r>
      <w:r>
        <w:rPr>
          <w:rFonts w:hint="eastAsia" w:ascii="仿宋_GB2312" w:eastAsia="仿宋_GB2312"/>
          <w:color w:val="auto"/>
          <w:sz w:val="32"/>
          <w:szCs w:val="32"/>
          <w:highlight w:val="none"/>
        </w:rPr>
        <w:t>年实际</w:t>
      </w:r>
      <w:r>
        <w:rPr>
          <w:rFonts w:hint="eastAsia" w:ascii="仿宋_GB2312" w:eastAsia="仿宋_GB2312"/>
          <w:color w:val="auto"/>
          <w:sz w:val="32"/>
          <w:szCs w:val="32"/>
          <w:highlight w:val="none"/>
          <w:lang w:val="en-US" w:eastAsia="zh-CN"/>
        </w:rPr>
        <w:t>发放</w:t>
      </w:r>
      <w:r>
        <w:rPr>
          <w:rFonts w:hint="eastAsia" w:ascii="仿宋_GB2312" w:eastAsia="仿宋_GB2312"/>
          <w:color w:val="auto"/>
          <w:sz w:val="32"/>
          <w:szCs w:val="32"/>
          <w:highlight w:val="none"/>
        </w:rPr>
        <w:t>老年乡村医生生活补助</w:t>
      </w:r>
      <w:r>
        <w:rPr>
          <w:rFonts w:hint="eastAsia" w:ascii="仿宋_GB2312" w:eastAsia="仿宋_GB2312"/>
          <w:color w:val="auto"/>
          <w:sz w:val="32"/>
          <w:szCs w:val="32"/>
          <w:highlight w:val="none"/>
          <w:lang w:val="en-US" w:eastAsia="zh-CN"/>
        </w:rPr>
        <w:t>2973</w:t>
      </w:r>
      <w:r>
        <w:rPr>
          <w:rFonts w:hint="eastAsia" w:ascii="仿宋_GB2312" w:eastAsia="仿宋_GB2312"/>
          <w:color w:val="auto"/>
          <w:sz w:val="32"/>
          <w:szCs w:val="32"/>
          <w:highlight w:val="none"/>
        </w:rPr>
        <w:t>人，</w:t>
      </w:r>
      <w:r>
        <w:rPr>
          <w:rFonts w:hint="eastAsia" w:ascii="仿宋_GB2312" w:eastAsia="仿宋_GB2312"/>
          <w:color w:val="auto"/>
          <w:sz w:val="32"/>
          <w:szCs w:val="32"/>
          <w:highlight w:val="none"/>
          <w:lang w:eastAsia="zh-CN"/>
        </w:rPr>
        <w:t>按照</w:t>
      </w:r>
      <w:r>
        <w:rPr>
          <w:rFonts w:hint="eastAsia" w:ascii="仿宋_GB2312" w:eastAsia="仿宋_GB2312" w:cs="Times New Roman"/>
          <w:color w:val="auto"/>
          <w:sz w:val="32"/>
          <w:szCs w:val="32"/>
          <w:highlight w:val="none"/>
          <w:lang w:val="en-US" w:eastAsia="zh-CN"/>
        </w:rPr>
        <w:t>工作年限每满1年每月20元的标准发放生活补助，剩下不满一年的工作年限按一年计算，</w:t>
      </w:r>
      <w:r>
        <w:rPr>
          <w:rFonts w:hint="eastAsia" w:ascii="仿宋_GB2312" w:eastAsia="仿宋_GB2312"/>
          <w:color w:val="auto"/>
          <w:sz w:val="32"/>
          <w:szCs w:val="32"/>
          <w:highlight w:val="none"/>
        </w:rPr>
        <w:t>于</w:t>
      </w:r>
      <w:r>
        <w:rPr>
          <w:rFonts w:hint="eastAsia" w:ascii="仿宋_GB2312" w:eastAsia="仿宋_GB2312"/>
          <w:color w:val="auto"/>
          <w:sz w:val="32"/>
          <w:szCs w:val="32"/>
          <w:highlight w:val="none"/>
          <w:lang w:val="en-US" w:eastAsia="zh-CN"/>
        </w:rPr>
        <w:t>每</w:t>
      </w:r>
      <w:r>
        <w:rPr>
          <w:rFonts w:hint="eastAsia" w:ascii="仿宋_GB2312" w:eastAsia="仿宋_GB2312"/>
          <w:color w:val="auto"/>
          <w:sz w:val="32"/>
          <w:szCs w:val="32"/>
          <w:highlight w:val="none"/>
        </w:rPr>
        <w:t>月</w:t>
      </w:r>
      <w:r>
        <w:rPr>
          <w:rFonts w:hint="eastAsia" w:ascii="仿宋_GB2312" w:eastAsia="仿宋_GB2312"/>
          <w:color w:val="auto"/>
          <w:sz w:val="32"/>
          <w:szCs w:val="32"/>
        </w:rPr>
        <w:t>底通过居民养老保险待遇发放渠道发放补助。</w:t>
      </w:r>
    </w:p>
    <w:p w14:paraId="51F8D097">
      <w:pPr>
        <w:numPr>
          <w:ilvl w:val="0"/>
          <w:numId w:val="2"/>
        </w:numPr>
        <w:spacing w:line="540" w:lineRule="exact"/>
        <w:ind w:firstLine="643" w:firstLineChars="200"/>
        <w:outlineLvl w:val="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项目效益情况。</w:t>
      </w:r>
    </w:p>
    <w:p w14:paraId="715C59C4">
      <w:pPr>
        <w:spacing w:line="540" w:lineRule="exact"/>
        <w:ind w:firstLine="640" w:firstLineChars="200"/>
        <w:outlineLvl w:val="0"/>
        <w:rPr>
          <w:rFonts w:ascii="仿宋_GB2312" w:hAnsi="仿宋_GB2312" w:eastAsia="仿宋_GB2312" w:cs="仿宋_GB2312"/>
          <w:color w:val="auto"/>
          <w:sz w:val="32"/>
          <w:szCs w:val="32"/>
        </w:rPr>
      </w:pPr>
      <w:r>
        <w:rPr>
          <w:rFonts w:hint="eastAsia" w:ascii="仿宋_GB2312" w:eastAsia="仿宋_GB2312"/>
          <w:color w:val="auto"/>
          <w:sz w:val="32"/>
          <w:szCs w:val="32"/>
        </w:rPr>
        <w:t>项目效益，分值40分，得分40分。</w:t>
      </w:r>
    </w:p>
    <w:p w14:paraId="6F1D4434">
      <w:pPr>
        <w:spacing w:line="540" w:lineRule="exact"/>
        <w:ind w:firstLine="640" w:firstLineChars="200"/>
        <w:outlineLvl w:val="0"/>
        <w:rPr>
          <w:rFonts w:ascii="仿宋_GB2312" w:eastAsia="仿宋_GB2312"/>
          <w:color w:val="auto"/>
          <w:sz w:val="32"/>
          <w:szCs w:val="32"/>
        </w:rPr>
      </w:pPr>
      <w:r>
        <w:rPr>
          <w:rFonts w:hint="eastAsia" w:ascii="仿宋_GB2312" w:eastAsia="仿宋_GB2312"/>
          <w:color w:val="auto"/>
          <w:sz w:val="32"/>
          <w:szCs w:val="32"/>
        </w:rPr>
        <w:t>老年乡村医生生活补助</w:t>
      </w:r>
      <w:r>
        <w:rPr>
          <w:rFonts w:hint="eastAsia" w:ascii="仿宋_GB2312" w:hAnsi="仿宋_GB2312" w:eastAsia="仿宋_GB2312" w:cs="仿宋_GB2312"/>
          <w:color w:val="auto"/>
          <w:sz w:val="32"/>
          <w:szCs w:val="32"/>
        </w:rPr>
        <w:t>项目的实施一定程度上可以</w:t>
      </w:r>
      <w:r>
        <w:rPr>
          <w:rFonts w:hint="eastAsia" w:ascii="仿宋_GB2312" w:eastAsia="仿宋_GB2312"/>
          <w:color w:val="auto"/>
          <w:sz w:val="32"/>
          <w:szCs w:val="32"/>
        </w:rPr>
        <w:t>保障乡村医生在退休或离岗后的基本生活，‌提高其养老待遇</w:t>
      </w:r>
      <w:r>
        <w:rPr>
          <w:rFonts w:hint="eastAsia" w:ascii="仿宋_GB2312" w:hAnsi="仿宋_GB2312" w:eastAsia="仿宋_GB2312" w:cs="仿宋_GB2312"/>
          <w:color w:val="auto"/>
          <w:sz w:val="32"/>
          <w:szCs w:val="32"/>
        </w:rPr>
        <w:t>，使他们精神上得到慰藉，生活上得到帮助。</w:t>
      </w:r>
    </w:p>
    <w:p w14:paraId="61DB5474">
      <w:pPr>
        <w:numPr>
          <w:ilvl w:val="0"/>
          <w:numId w:val="3"/>
        </w:numPr>
        <w:spacing w:line="540" w:lineRule="exact"/>
        <w:ind w:firstLine="640" w:firstLineChars="200"/>
        <w:rPr>
          <w:rFonts w:ascii="黑体" w:hAnsi="黑体" w:eastAsia="黑体"/>
          <w:color w:val="auto"/>
          <w:sz w:val="32"/>
          <w:szCs w:val="32"/>
        </w:rPr>
      </w:pPr>
      <w:r>
        <w:rPr>
          <w:rFonts w:hint="eastAsia" w:ascii="黑体" w:hAnsi="黑体" w:eastAsia="黑体"/>
          <w:color w:val="auto"/>
          <w:sz w:val="32"/>
          <w:szCs w:val="32"/>
        </w:rPr>
        <w:t>主要经验及做法、存在的问题及原因分析</w:t>
      </w:r>
    </w:p>
    <w:p w14:paraId="6D123D62">
      <w:pPr>
        <w:spacing w:line="56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（一）主要经验及做法</w:t>
      </w:r>
    </w:p>
    <w:p w14:paraId="112397AC">
      <w:pPr>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项目资金管理到位。</w:t>
      </w:r>
      <w:r>
        <w:rPr>
          <w:rFonts w:hint="eastAsia" w:ascii="楷体_GB2312" w:hAnsi="楷体_GB2312" w:eastAsia="楷体_GB2312" w:cs="楷体_GB2312"/>
          <w:color w:val="auto"/>
          <w:sz w:val="32"/>
          <w:szCs w:val="32"/>
          <w:lang w:val="en-US" w:eastAsia="zh-CN"/>
        </w:rPr>
        <w:t>一</w:t>
      </w:r>
      <w:r>
        <w:rPr>
          <w:rFonts w:hint="eastAsia" w:ascii="楷体_GB2312" w:hAnsi="楷体_GB2312" w:eastAsia="楷体_GB2312" w:cs="楷体_GB2312"/>
          <w:color w:val="auto"/>
          <w:sz w:val="32"/>
          <w:szCs w:val="32"/>
        </w:rPr>
        <w:t>是</w:t>
      </w:r>
      <w:r>
        <w:rPr>
          <w:rFonts w:hint="eastAsia" w:ascii="楷体_GB2312" w:hAnsi="楷体_GB2312" w:eastAsia="楷体_GB2312" w:cs="楷体_GB2312"/>
          <w:color w:val="auto"/>
          <w:sz w:val="32"/>
          <w:szCs w:val="32"/>
          <w:lang w:val="en-US" w:eastAsia="zh-CN"/>
        </w:rPr>
        <w:t>认证方式</w:t>
      </w:r>
      <w:r>
        <w:rPr>
          <w:rFonts w:hint="eastAsia" w:ascii="楷体_GB2312" w:hAnsi="楷体_GB2312" w:eastAsia="楷体_GB2312" w:cs="楷体_GB2312"/>
          <w:color w:val="auto"/>
          <w:sz w:val="32"/>
          <w:szCs w:val="32"/>
        </w:rPr>
        <w:t>到位。</w:t>
      </w:r>
      <w:r>
        <w:rPr>
          <w:rFonts w:hint="eastAsia" w:ascii="仿宋_GB2312" w:hAnsi="仿宋_GB2312" w:eastAsia="仿宋_GB2312" w:cs="仿宋_GB2312"/>
          <w:color w:val="auto"/>
          <w:sz w:val="32"/>
          <w:szCs w:val="32"/>
        </w:rPr>
        <w:t>各镇（街）负责对申请人提供的人证物证材料进行调查、取证、核实，查证结果在镇村公示，并对公示期间有异议的举报和疑问及时进行公开补充调查取证，形成初步认定结果；负责协调镇（街）计划生育办公室对申请人员有无违反计划生育政策进行认证；市人社局负责对已经缴纳社会养老保险人员，能否纳入补助范围进行身份认证。市公安局负责有无违法犯罪的认证工作，并协调、指导、监督基层派出所做好有无违法犯罪的认证。</w:t>
      </w:r>
      <w:r>
        <w:rPr>
          <w:rFonts w:hint="eastAsia" w:ascii="楷体_GB2312" w:hAnsi="楷体_GB2312" w:eastAsia="楷体_GB2312" w:cs="楷体_GB2312"/>
          <w:color w:val="auto"/>
          <w:sz w:val="32"/>
          <w:szCs w:val="32"/>
          <w:lang w:val="en-US" w:eastAsia="zh-CN"/>
        </w:rPr>
        <w:t>二</w:t>
      </w:r>
      <w:r>
        <w:rPr>
          <w:rFonts w:hint="eastAsia" w:ascii="楷体_GB2312" w:hAnsi="楷体_GB2312" w:eastAsia="楷体_GB2312" w:cs="楷体_GB2312"/>
          <w:color w:val="auto"/>
          <w:sz w:val="32"/>
          <w:szCs w:val="32"/>
        </w:rPr>
        <w:t>是</w:t>
      </w:r>
      <w:r>
        <w:rPr>
          <w:rFonts w:hint="eastAsia" w:ascii="楷体_GB2312" w:hAnsi="楷体_GB2312" w:eastAsia="楷体_GB2312" w:cs="楷体_GB2312"/>
          <w:color w:val="auto"/>
          <w:sz w:val="32"/>
          <w:szCs w:val="32"/>
          <w:lang w:val="en-US" w:eastAsia="zh-CN"/>
        </w:rPr>
        <w:t>补助</w:t>
      </w:r>
      <w:r>
        <w:rPr>
          <w:rFonts w:hint="eastAsia" w:ascii="楷体_GB2312" w:hAnsi="楷体_GB2312" w:eastAsia="楷体_GB2312" w:cs="楷体_GB2312"/>
          <w:color w:val="auto"/>
          <w:sz w:val="32"/>
          <w:szCs w:val="32"/>
        </w:rPr>
        <w:t>发放到位。</w:t>
      </w:r>
      <w:r>
        <w:rPr>
          <w:rFonts w:hint="eastAsia" w:ascii="仿宋_GB2312" w:hAnsi="仿宋_GB2312" w:eastAsia="仿宋_GB2312" w:cs="仿宋_GB2312"/>
          <w:color w:val="auto"/>
          <w:sz w:val="32"/>
          <w:szCs w:val="32"/>
        </w:rPr>
        <w:t>按照</w:t>
      </w:r>
      <w:r>
        <w:rPr>
          <w:rFonts w:hint="eastAsia" w:ascii="仿宋_GB2312" w:hAnsi="仿宋_GB2312" w:eastAsia="仿宋_GB2312" w:cs="仿宋_GB2312"/>
          <w:color w:val="auto"/>
          <w:sz w:val="32"/>
          <w:szCs w:val="32"/>
          <w:lang w:val="en-US" w:eastAsia="zh-CN"/>
        </w:rPr>
        <w:t>生活补助</w:t>
      </w:r>
      <w:r>
        <w:rPr>
          <w:rFonts w:hint="eastAsia" w:ascii="仿宋_GB2312" w:hAnsi="仿宋_GB2312" w:eastAsia="仿宋_GB2312" w:cs="仿宋_GB2312"/>
          <w:color w:val="auto"/>
          <w:sz w:val="32"/>
          <w:szCs w:val="32"/>
        </w:rPr>
        <w:t>发放流程，市财政局负责资金筹措和保障工作</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市人社局负责老年乡村医生生活补助代为发放工作</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在规定时限内及时通过</w:t>
      </w:r>
      <w:r>
        <w:rPr>
          <w:rFonts w:hint="eastAsia" w:ascii="仿宋_GB2312" w:eastAsia="仿宋_GB2312"/>
          <w:color w:val="auto"/>
          <w:sz w:val="32"/>
          <w:szCs w:val="32"/>
        </w:rPr>
        <w:t>居民养老保险待遇发放渠道</w:t>
      </w:r>
      <w:r>
        <w:rPr>
          <w:rFonts w:hint="eastAsia" w:ascii="仿宋_GB2312" w:eastAsia="仿宋_GB2312"/>
          <w:color w:val="auto"/>
          <w:sz w:val="32"/>
          <w:szCs w:val="32"/>
          <w:lang w:val="en-US" w:eastAsia="zh-CN"/>
        </w:rPr>
        <w:t>发放补助</w:t>
      </w:r>
      <w:r>
        <w:rPr>
          <w:rFonts w:hint="eastAsia" w:ascii="仿宋_GB2312" w:hAnsi="仿宋_GB2312" w:eastAsia="仿宋_GB2312" w:cs="仿宋_GB2312"/>
          <w:color w:val="auto"/>
          <w:sz w:val="32"/>
          <w:szCs w:val="32"/>
        </w:rPr>
        <w:t>。</w:t>
      </w:r>
      <w:r>
        <w:rPr>
          <w:rFonts w:hint="eastAsia" w:ascii="楷体_GB2312" w:hAnsi="楷体_GB2312" w:eastAsia="楷体_GB2312" w:cs="楷体_GB2312"/>
          <w:color w:val="auto"/>
          <w:sz w:val="32"/>
          <w:szCs w:val="32"/>
        </w:rPr>
        <w:t>三是跟踪检查到位。</w:t>
      </w:r>
      <w:r>
        <w:rPr>
          <w:rFonts w:hint="eastAsia" w:ascii="仿宋_GB2312" w:hAnsi="仿宋_GB2312" w:eastAsia="仿宋_GB2312" w:cs="仿宋_GB2312"/>
          <w:color w:val="auto"/>
          <w:sz w:val="32"/>
          <w:szCs w:val="32"/>
        </w:rPr>
        <w:t>财政、审计、纪检、监察等职能部门全面参与专项资金事前、事中和事后全过程的监管。把专项资金的执行、拨付、管理作为监督的重点；尽量早发现问题、早解决问题，提高专项资金使用效益。</w:t>
      </w:r>
      <w:r>
        <w:rPr>
          <w:rFonts w:hint="eastAsia" w:ascii="楷体_GB2312" w:hAnsi="楷体_GB2312" w:eastAsia="楷体_GB2312" w:cs="楷体_GB2312"/>
          <w:color w:val="auto"/>
          <w:sz w:val="32"/>
          <w:szCs w:val="32"/>
        </w:rPr>
        <w:t>四是工作监管到位。</w:t>
      </w:r>
      <w:r>
        <w:rPr>
          <w:rFonts w:hint="eastAsia" w:ascii="仿宋_GB2312" w:hAnsi="仿宋_GB2312" w:eastAsia="仿宋_GB2312" w:cs="仿宋_GB2312"/>
          <w:color w:val="auto"/>
          <w:sz w:val="32"/>
          <w:szCs w:val="32"/>
        </w:rPr>
        <w:t>市纪检监察部门主要负责向老年乡村医生发放生活补助工作的监督工作，对玩忽职守、弄虚作假、徇私舞弊的有关人员进行责任追究。</w:t>
      </w:r>
    </w:p>
    <w:p w14:paraId="60817676">
      <w:pPr>
        <w:spacing w:line="560" w:lineRule="exact"/>
        <w:ind w:firstLine="643" w:firstLineChars="200"/>
        <w:rPr>
          <w:rFonts w:ascii="仿宋_GB2312" w:eastAsia="仿宋_GB2312"/>
          <w:b/>
          <w:bCs/>
          <w:color w:val="auto"/>
          <w:sz w:val="32"/>
          <w:szCs w:val="32"/>
        </w:rPr>
      </w:pPr>
      <w:r>
        <w:rPr>
          <w:rFonts w:hint="eastAsia" w:ascii="仿宋_GB2312" w:eastAsia="仿宋_GB2312"/>
          <w:b/>
          <w:bCs/>
          <w:color w:val="auto"/>
          <w:sz w:val="32"/>
          <w:szCs w:val="32"/>
        </w:rPr>
        <w:t>（二）存在的问题及原因分析</w:t>
      </w:r>
    </w:p>
    <w:p w14:paraId="036106AB">
      <w:pPr>
        <w:spacing w:line="560" w:lineRule="exact"/>
        <w:ind w:firstLine="640" w:firstLineChars="200"/>
        <w:rPr>
          <w:rFonts w:ascii="仿宋_GB2312" w:eastAsia="仿宋_GB2312"/>
          <w:color w:val="auto"/>
          <w:sz w:val="32"/>
          <w:szCs w:val="32"/>
        </w:rPr>
      </w:pPr>
      <w:r>
        <w:rPr>
          <w:rFonts w:hint="eastAsia" w:ascii="仿宋_GB2312" w:hAnsi="仿宋_GB2312" w:eastAsia="仿宋_GB2312" w:cs="仿宋_GB2312"/>
          <w:color w:val="auto"/>
          <w:sz w:val="32"/>
          <w:szCs w:val="32"/>
        </w:rPr>
        <w:t>群众对</w:t>
      </w:r>
      <w:r>
        <w:rPr>
          <w:rFonts w:hint="eastAsia" w:ascii="仿宋_GB2312" w:eastAsia="仿宋_GB2312"/>
          <w:color w:val="auto"/>
          <w:sz w:val="32"/>
          <w:szCs w:val="32"/>
        </w:rPr>
        <w:t>老年乡村医生生活补助</w:t>
      </w:r>
      <w:r>
        <w:rPr>
          <w:rFonts w:hint="eastAsia" w:ascii="仿宋_GB2312" w:hAnsi="仿宋_GB2312" w:eastAsia="仿宋_GB2312" w:cs="仿宋_GB2312"/>
          <w:color w:val="auto"/>
          <w:sz w:val="32"/>
          <w:szCs w:val="32"/>
        </w:rPr>
        <w:t>政策的期望与目前政策差距较大。目前</w:t>
      </w:r>
      <w:r>
        <w:rPr>
          <w:rFonts w:hint="eastAsia" w:ascii="仿宋_GB2312" w:eastAsia="仿宋_GB2312"/>
          <w:color w:val="auto"/>
          <w:sz w:val="32"/>
          <w:szCs w:val="32"/>
        </w:rPr>
        <w:t>老年乡村医生生活补助</w:t>
      </w:r>
      <w:r>
        <w:rPr>
          <w:rFonts w:hint="eastAsia" w:ascii="仿宋_GB2312" w:hAnsi="仿宋_GB2312" w:eastAsia="仿宋_GB2312" w:cs="仿宋_GB2312"/>
          <w:color w:val="auto"/>
          <w:sz w:val="32"/>
          <w:szCs w:val="32"/>
        </w:rPr>
        <w:t>政策落实工作中，因</w:t>
      </w:r>
      <w:r>
        <w:rPr>
          <w:rFonts w:hint="eastAsia" w:ascii="仿宋_GB2312" w:hAnsi="仿宋_GB2312" w:eastAsia="仿宋_GB2312" w:cs="仿宋_GB2312"/>
          <w:color w:val="auto"/>
          <w:sz w:val="32"/>
          <w:szCs w:val="32"/>
          <w:lang w:val="en-US" w:eastAsia="zh-CN"/>
        </w:rPr>
        <w:t>乡村医生执业</w:t>
      </w:r>
      <w:r>
        <w:rPr>
          <w:rFonts w:hint="eastAsia" w:ascii="仿宋_GB2312" w:hAnsi="仿宋_GB2312" w:eastAsia="仿宋_GB2312" w:cs="仿宋_GB2312"/>
          <w:color w:val="auto"/>
          <w:sz w:val="32"/>
          <w:szCs w:val="32"/>
        </w:rPr>
        <w:t>跨度长，现行各项奖励政策更新不及时，而实际工作中个案情况较多，现行政策已不能满足群众需求，部分群众因政策原因不能享受奖励扶助政策，导致群众的不理解。</w:t>
      </w:r>
    </w:p>
    <w:p w14:paraId="1164CE6F">
      <w:pPr>
        <w:numPr>
          <w:ilvl w:val="0"/>
          <w:numId w:val="3"/>
        </w:numPr>
        <w:spacing w:line="540" w:lineRule="exact"/>
        <w:ind w:firstLine="640" w:firstLineChars="200"/>
        <w:rPr>
          <w:rFonts w:ascii="黑体" w:hAnsi="黑体" w:eastAsia="黑体"/>
          <w:color w:val="auto"/>
          <w:sz w:val="32"/>
          <w:szCs w:val="32"/>
        </w:rPr>
      </w:pPr>
      <w:r>
        <w:rPr>
          <w:rFonts w:hint="eastAsia" w:ascii="黑体" w:hAnsi="黑体" w:eastAsia="黑体"/>
          <w:color w:val="auto"/>
          <w:sz w:val="32"/>
          <w:szCs w:val="32"/>
        </w:rPr>
        <w:t>有关建议</w:t>
      </w:r>
    </w:p>
    <w:p w14:paraId="2EEC1754">
      <w:pPr>
        <w:spacing w:line="600" w:lineRule="exact"/>
        <w:ind w:firstLine="604" w:firstLineChars="189"/>
        <w:rPr>
          <w:rFonts w:ascii="仿宋_GB2312" w:hAnsi="仿宋_GB2312" w:eastAsia="仿宋_GB2312" w:cs="仿宋_GB2312"/>
          <w:color w:val="auto"/>
          <w:sz w:val="32"/>
          <w:szCs w:val="32"/>
        </w:rPr>
      </w:pPr>
      <w:r>
        <w:rPr>
          <w:rFonts w:ascii="仿宋_GB2312" w:hAnsi="仿宋_GB2312" w:eastAsia="仿宋_GB2312" w:cs="仿宋_GB2312"/>
          <w:color w:val="auto"/>
          <w:sz w:val="32"/>
          <w:szCs w:val="32"/>
        </w:rPr>
        <w:t>继续做好政策宣传</w:t>
      </w:r>
      <w:r>
        <w:rPr>
          <w:rFonts w:hint="eastAsia" w:ascii="仿宋_GB2312" w:hAnsi="仿宋_GB2312" w:eastAsia="仿宋_GB2312" w:cs="仿宋_GB2312"/>
          <w:color w:val="auto"/>
          <w:sz w:val="32"/>
          <w:szCs w:val="32"/>
        </w:rPr>
        <w:t>工作，通过多种</w:t>
      </w:r>
      <w:r>
        <w:rPr>
          <w:rFonts w:ascii="仿宋_GB2312" w:hAnsi="仿宋_GB2312" w:eastAsia="仿宋_GB2312" w:cs="仿宋_GB2312"/>
          <w:color w:val="auto"/>
          <w:sz w:val="32"/>
          <w:szCs w:val="32"/>
        </w:rPr>
        <w:t>形式</w:t>
      </w:r>
      <w:r>
        <w:rPr>
          <w:rFonts w:hint="eastAsia" w:ascii="仿宋_GB2312" w:hAnsi="仿宋_GB2312" w:eastAsia="仿宋_GB2312" w:cs="仿宋_GB2312"/>
          <w:color w:val="auto"/>
          <w:sz w:val="32"/>
          <w:szCs w:val="32"/>
        </w:rPr>
        <w:t>把</w:t>
      </w:r>
      <w:r>
        <w:rPr>
          <w:rFonts w:ascii="仿宋_GB2312" w:hAnsi="仿宋_GB2312" w:eastAsia="仿宋_GB2312" w:cs="仿宋_GB2312"/>
          <w:color w:val="auto"/>
          <w:sz w:val="32"/>
          <w:szCs w:val="32"/>
        </w:rPr>
        <w:t>政策</w:t>
      </w:r>
      <w:r>
        <w:rPr>
          <w:rFonts w:hint="eastAsia" w:ascii="仿宋_GB2312" w:hAnsi="仿宋_GB2312" w:eastAsia="仿宋_GB2312" w:cs="仿宋_GB2312"/>
          <w:color w:val="auto"/>
          <w:sz w:val="32"/>
          <w:szCs w:val="32"/>
        </w:rPr>
        <w:t>宣传到位，确保应发尽发。同时进一步研究解决实施</w:t>
      </w:r>
      <w:r>
        <w:rPr>
          <w:rFonts w:hint="eastAsia" w:ascii="仿宋_GB2312" w:eastAsia="仿宋_GB2312"/>
          <w:color w:val="auto"/>
          <w:sz w:val="32"/>
          <w:szCs w:val="32"/>
        </w:rPr>
        <w:t>生活补助</w:t>
      </w:r>
      <w:r>
        <w:rPr>
          <w:rFonts w:hint="eastAsia" w:ascii="仿宋_GB2312" w:hAnsi="仿宋_GB2312" w:eastAsia="仿宋_GB2312" w:cs="仿宋_GB2312"/>
          <w:color w:val="auto"/>
          <w:sz w:val="32"/>
          <w:szCs w:val="32"/>
        </w:rPr>
        <w:t>制度过程中遇到的新问题、新情况，不断完善</w:t>
      </w:r>
      <w:r>
        <w:rPr>
          <w:rFonts w:hint="eastAsia" w:ascii="仿宋_GB2312" w:eastAsia="仿宋_GB2312"/>
          <w:color w:val="auto"/>
          <w:sz w:val="32"/>
          <w:szCs w:val="32"/>
        </w:rPr>
        <w:t>生活补助</w:t>
      </w:r>
      <w:r>
        <w:rPr>
          <w:rFonts w:hint="eastAsia" w:ascii="仿宋_GB2312" w:hAnsi="仿宋_GB2312" w:eastAsia="仿宋_GB2312" w:cs="仿宋_GB2312"/>
          <w:color w:val="auto"/>
          <w:sz w:val="32"/>
          <w:szCs w:val="32"/>
        </w:rPr>
        <w:t>政策，提高群众满意度。</w:t>
      </w:r>
    </w:p>
    <w:p w14:paraId="58FF15B0">
      <w:pPr>
        <w:spacing w:line="540" w:lineRule="exact"/>
        <w:ind w:firstLine="640" w:firstLineChars="200"/>
        <w:rPr>
          <w:rFonts w:ascii="仿宋_GB2312" w:hAnsi="仿宋_GB2312" w:eastAsia="仿宋_GB2312" w:cs="仿宋_GB2312"/>
          <w:color w:val="auto"/>
          <w:sz w:val="32"/>
          <w:szCs w:val="32"/>
        </w:rPr>
      </w:pPr>
      <w:r>
        <w:rPr>
          <w:rFonts w:hint="eastAsia" w:ascii="黑体" w:hAnsi="黑体" w:eastAsia="黑体"/>
          <w:color w:val="auto"/>
          <w:sz w:val="32"/>
          <w:szCs w:val="32"/>
        </w:rPr>
        <w:t>七、其他需要说明的问题</w:t>
      </w:r>
    </w:p>
    <w:p w14:paraId="29A66DDF">
      <w:pPr>
        <w:spacing w:line="58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无</w:t>
      </w:r>
    </w:p>
    <w:p w14:paraId="05E93945">
      <w:pPr>
        <w:spacing w:line="540" w:lineRule="exact"/>
        <w:ind w:firstLine="5440" w:firstLineChars="17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荣成市卫生健康局</w:t>
      </w:r>
    </w:p>
    <w:p w14:paraId="6421C359">
      <w:pPr>
        <w:spacing w:line="540" w:lineRule="exact"/>
        <w:ind w:firstLine="5600" w:firstLineChars="1750"/>
        <w:rPr>
          <w:rFonts w:ascii="仿宋_GB2312" w:hAnsi="仿宋_GB2312" w:eastAsia="仿宋_GB2312" w:cs="仿宋_GB2312"/>
          <w:color w:val="auto"/>
          <w:sz w:val="32"/>
          <w:szCs w:val="32"/>
        </w:rPr>
        <w:sectPr>
          <w:footerReference r:id="rId3" w:type="default"/>
          <w:pgSz w:w="11906" w:h="16838"/>
          <w:pgMar w:top="1814" w:right="1418" w:bottom="1418" w:left="1474" w:header="737" w:footer="851" w:gutter="0"/>
          <w:cols w:space="720" w:num="1"/>
          <w:docGrid w:type="lines" w:linePitch="408" w:charSpace="0"/>
        </w:sectPr>
      </w:pPr>
      <w:r>
        <w:rPr>
          <w:rFonts w:hint="eastAsia" w:ascii="仿宋_GB2312" w:hAnsi="仿宋_GB2312" w:eastAsia="仿宋_GB2312" w:cs="仿宋_GB2312"/>
          <w:color w:val="auto"/>
          <w:sz w:val="32"/>
          <w:szCs w:val="32"/>
        </w:rPr>
        <w:t>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日</w:t>
      </w:r>
    </w:p>
    <w:p w14:paraId="0B8DA9ED">
      <w:pPr>
        <w:pStyle w:val="2"/>
        <w:spacing w:before="0" w:after="0" w:line="240" w:lineRule="auto"/>
        <w:jc w:val="center"/>
        <w:rPr>
          <w:rFonts w:ascii="宋体" w:hAnsi="宋体" w:eastAsia="宋体" w:cs="宋体"/>
          <w:bCs/>
          <w:color w:val="auto"/>
          <w:sz w:val="36"/>
          <w:szCs w:val="28"/>
        </w:rPr>
      </w:pPr>
      <w:r>
        <w:rPr>
          <w:rFonts w:hint="eastAsia" w:ascii="宋体" w:hAnsi="宋体" w:eastAsia="宋体" w:cs="宋体"/>
          <w:bCs/>
          <w:color w:val="auto"/>
          <w:sz w:val="36"/>
          <w:szCs w:val="28"/>
        </w:rPr>
        <w:t>项目支出绩效评价指标体系</w:t>
      </w:r>
    </w:p>
    <w:tbl>
      <w:tblPr>
        <w:tblStyle w:val="5"/>
        <w:tblW w:w="13633"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966"/>
        <w:gridCol w:w="670"/>
        <w:gridCol w:w="1004"/>
        <w:gridCol w:w="715"/>
        <w:gridCol w:w="3158"/>
        <w:gridCol w:w="5140"/>
        <w:gridCol w:w="677"/>
        <w:gridCol w:w="1303"/>
      </w:tblGrid>
      <w:tr w14:paraId="47F86D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671" w:hRule="atLeast"/>
          <w:tblHeader/>
          <w:jc w:val="center"/>
        </w:trPr>
        <w:tc>
          <w:tcPr>
            <w:tcW w:w="0" w:type="auto"/>
            <w:tcBorders>
              <w:tl2br w:val="nil"/>
              <w:tr2bl w:val="nil"/>
            </w:tcBorders>
            <w:shd w:val="clear" w:color="auto" w:fill="FFFFFF"/>
            <w:vAlign w:val="center"/>
          </w:tcPr>
          <w:p w14:paraId="241E3124">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一级指标</w:t>
            </w:r>
          </w:p>
        </w:tc>
        <w:tc>
          <w:tcPr>
            <w:tcW w:w="670" w:type="dxa"/>
            <w:tcBorders>
              <w:tl2br w:val="nil"/>
              <w:tr2bl w:val="nil"/>
            </w:tcBorders>
            <w:shd w:val="clear" w:color="auto" w:fill="FFFFFF"/>
            <w:vAlign w:val="center"/>
          </w:tcPr>
          <w:p w14:paraId="7CD88ACB">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二级指标</w:t>
            </w:r>
          </w:p>
        </w:tc>
        <w:tc>
          <w:tcPr>
            <w:tcW w:w="1004" w:type="dxa"/>
            <w:tcBorders>
              <w:tl2br w:val="nil"/>
              <w:tr2bl w:val="nil"/>
            </w:tcBorders>
            <w:shd w:val="clear" w:color="auto" w:fill="FFFFFF"/>
            <w:vAlign w:val="center"/>
          </w:tcPr>
          <w:p w14:paraId="1D3EF326">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三级指标</w:t>
            </w:r>
          </w:p>
        </w:tc>
        <w:tc>
          <w:tcPr>
            <w:tcW w:w="715" w:type="dxa"/>
            <w:tcBorders>
              <w:tl2br w:val="nil"/>
              <w:tr2bl w:val="nil"/>
            </w:tcBorders>
            <w:shd w:val="clear" w:color="auto" w:fill="FFFFFF"/>
            <w:vAlign w:val="center"/>
          </w:tcPr>
          <w:p w14:paraId="317569D4">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分数权重</w:t>
            </w:r>
          </w:p>
        </w:tc>
        <w:tc>
          <w:tcPr>
            <w:tcW w:w="3158" w:type="dxa"/>
            <w:tcBorders>
              <w:tl2br w:val="nil"/>
              <w:tr2bl w:val="nil"/>
            </w:tcBorders>
            <w:shd w:val="clear" w:color="auto" w:fill="FFFFFF"/>
            <w:vAlign w:val="center"/>
          </w:tcPr>
          <w:p w14:paraId="4B040995">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指标解释</w:t>
            </w:r>
          </w:p>
        </w:tc>
        <w:tc>
          <w:tcPr>
            <w:tcW w:w="5140" w:type="dxa"/>
            <w:tcBorders>
              <w:tl2br w:val="nil"/>
              <w:tr2bl w:val="nil"/>
            </w:tcBorders>
            <w:shd w:val="clear" w:color="auto" w:fill="FFFFFF"/>
            <w:vAlign w:val="center"/>
          </w:tcPr>
          <w:p w14:paraId="2F309308">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指标说明</w:t>
            </w:r>
          </w:p>
        </w:tc>
        <w:tc>
          <w:tcPr>
            <w:tcW w:w="677" w:type="dxa"/>
            <w:tcBorders>
              <w:tl2br w:val="nil"/>
              <w:tr2bl w:val="nil"/>
            </w:tcBorders>
            <w:shd w:val="clear" w:color="auto" w:fill="FFFFFF"/>
            <w:vAlign w:val="center"/>
          </w:tcPr>
          <w:p w14:paraId="4A60F0AC">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评分</w:t>
            </w:r>
          </w:p>
        </w:tc>
        <w:tc>
          <w:tcPr>
            <w:tcW w:w="1303" w:type="dxa"/>
            <w:tcBorders>
              <w:tl2br w:val="nil"/>
              <w:tr2bl w:val="nil"/>
            </w:tcBorders>
            <w:shd w:val="clear" w:color="auto" w:fill="FFFFFF"/>
            <w:vAlign w:val="center"/>
          </w:tcPr>
          <w:p w14:paraId="525A1528">
            <w:pPr>
              <w:widowControl/>
              <w:spacing w:line="0" w:lineRule="atLeast"/>
              <w:jc w:val="center"/>
              <w:rPr>
                <w:rFonts w:ascii="宋体" w:hAnsi="宋体" w:cs="宋体"/>
                <w:b/>
                <w:bCs/>
                <w:color w:val="auto"/>
                <w:kern w:val="0"/>
                <w:szCs w:val="21"/>
              </w:rPr>
            </w:pPr>
            <w:r>
              <w:rPr>
                <w:rFonts w:hint="eastAsia" w:ascii="宋体" w:hAnsi="宋体" w:cs="宋体"/>
                <w:b/>
                <w:bCs/>
                <w:color w:val="auto"/>
                <w:kern w:val="0"/>
                <w:szCs w:val="21"/>
              </w:rPr>
              <w:t>备注(实际完成情况)</w:t>
            </w:r>
          </w:p>
        </w:tc>
      </w:tr>
      <w:tr w14:paraId="6CE251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233" w:hRule="atLeast"/>
          <w:jc w:val="center"/>
        </w:trPr>
        <w:tc>
          <w:tcPr>
            <w:tcW w:w="0" w:type="auto"/>
            <w:vMerge w:val="restart"/>
            <w:tcBorders>
              <w:tl2br w:val="nil"/>
              <w:tr2bl w:val="nil"/>
            </w:tcBorders>
            <w:shd w:val="clear" w:color="auto" w:fill="FFFFFF"/>
            <w:vAlign w:val="center"/>
          </w:tcPr>
          <w:p w14:paraId="54C40CF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决策</w:t>
            </w:r>
          </w:p>
          <w:p w14:paraId="202E1FDE">
            <w:pPr>
              <w:spacing w:line="0" w:lineRule="atLeast"/>
              <w:jc w:val="center"/>
              <w:rPr>
                <w:rFonts w:ascii="宋体" w:hAnsi="宋体" w:cs="宋体"/>
                <w:color w:val="auto"/>
                <w:kern w:val="0"/>
                <w:szCs w:val="21"/>
              </w:rPr>
            </w:pPr>
            <w:r>
              <w:rPr>
                <w:rFonts w:hint="eastAsia" w:ascii="宋体" w:hAnsi="宋体" w:cs="宋体"/>
                <w:color w:val="auto"/>
                <w:kern w:val="0"/>
                <w:szCs w:val="21"/>
              </w:rPr>
              <w:t>（15%）</w:t>
            </w:r>
          </w:p>
        </w:tc>
        <w:tc>
          <w:tcPr>
            <w:tcW w:w="670" w:type="dxa"/>
            <w:vMerge w:val="restart"/>
            <w:tcBorders>
              <w:tl2br w:val="nil"/>
              <w:tr2bl w:val="nil"/>
            </w:tcBorders>
            <w:shd w:val="clear" w:color="auto" w:fill="FFFFFF"/>
            <w:vAlign w:val="center"/>
          </w:tcPr>
          <w:p w14:paraId="602C3EBD">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项目立项</w:t>
            </w:r>
          </w:p>
        </w:tc>
        <w:tc>
          <w:tcPr>
            <w:tcW w:w="1004" w:type="dxa"/>
            <w:tcBorders>
              <w:tl2br w:val="nil"/>
              <w:tr2bl w:val="nil"/>
            </w:tcBorders>
            <w:shd w:val="clear" w:color="auto" w:fill="FFFFFF"/>
            <w:vAlign w:val="center"/>
          </w:tcPr>
          <w:p w14:paraId="0CEB854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立项依据</w:t>
            </w:r>
          </w:p>
          <w:p w14:paraId="13B3224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充分性</w:t>
            </w:r>
          </w:p>
        </w:tc>
        <w:tc>
          <w:tcPr>
            <w:tcW w:w="715" w:type="dxa"/>
            <w:tcBorders>
              <w:tl2br w:val="nil"/>
              <w:tr2bl w:val="nil"/>
            </w:tcBorders>
            <w:shd w:val="clear" w:color="auto" w:fill="FFFFFF"/>
          </w:tcPr>
          <w:p w14:paraId="4A8B4059">
            <w:pPr>
              <w:widowControl/>
              <w:spacing w:line="0" w:lineRule="atLeast"/>
              <w:rPr>
                <w:rFonts w:ascii="宋体" w:hAnsi="宋体" w:cs="宋体"/>
                <w:color w:val="auto"/>
                <w:kern w:val="0"/>
                <w:szCs w:val="21"/>
              </w:rPr>
            </w:pPr>
            <w:r>
              <w:rPr>
                <w:rFonts w:hint="eastAsia" w:ascii="宋体" w:hAnsi="宋体" w:cs="宋体"/>
                <w:color w:val="auto"/>
                <w:kern w:val="0"/>
                <w:szCs w:val="21"/>
              </w:rPr>
              <w:t>2</w:t>
            </w:r>
          </w:p>
        </w:tc>
        <w:tc>
          <w:tcPr>
            <w:tcW w:w="3158" w:type="dxa"/>
            <w:tcBorders>
              <w:tl2br w:val="nil"/>
              <w:tr2bl w:val="nil"/>
            </w:tcBorders>
            <w:shd w:val="clear" w:color="auto" w:fill="FFFFFF"/>
            <w:vAlign w:val="center"/>
          </w:tcPr>
          <w:p w14:paraId="30AD5870">
            <w:pPr>
              <w:widowControl/>
              <w:spacing w:line="0" w:lineRule="atLeast"/>
              <w:rPr>
                <w:rFonts w:ascii="宋体" w:hAnsi="宋体" w:cs="宋体"/>
                <w:color w:val="auto"/>
                <w:kern w:val="0"/>
                <w:szCs w:val="21"/>
              </w:rPr>
            </w:pPr>
            <w:r>
              <w:rPr>
                <w:rFonts w:hint="eastAsia" w:ascii="宋体" w:hAnsi="宋体" w:cs="宋体"/>
                <w:color w:val="auto"/>
                <w:kern w:val="0"/>
                <w:szCs w:val="21"/>
              </w:rPr>
              <w:t>项目立项是否符合法律法规、相关政策、发展规划以及部门职责，用以反映和考核项目立项依据情况。</w:t>
            </w:r>
          </w:p>
        </w:tc>
        <w:tc>
          <w:tcPr>
            <w:tcW w:w="5140" w:type="dxa"/>
            <w:tcBorders>
              <w:tl2br w:val="nil"/>
              <w:tr2bl w:val="nil"/>
            </w:tcBorders>
            <w:shd w:val="clear" w:color="auto" w:fill="FFFFFF"/>
            <w:vAlign w:val="center"/>
          </w:tcPr>
          <w:p w14:paraId="7C36728F">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08BEB3BE">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①项目立项是否符合国家法律法规、国民经济发展规划和相关政策；</w:t>
            </w:r>
          </w:p>
          <w:p w14:paraId="5F31116F">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②项目立项是否符合行业发展规划和政策要求；</w:t>
            </w:r>
          </w:p>
          <w:p w14:paraId="213A30F2">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③项目立项是否与部门职责范围相符，属于部门履职所需；</w:t>
            </w:r>
          </w:p>
          <w:p w14:paraId="68D22C2A">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④项目是否属于公共财政支持范围，是否符合中央、地方事权支出责任划分原则；</w:t>
            </w:r>
          </w:p>
          <w:p w14:paraId="7F6BFE33">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⑤项目是否与相关部门同类项目或部门内部相关项目重复。</w:t>
            </w:r>
          </w:p>
        </w:tc>
        <w:tc>
          <w:tcPr>
            <w:tcW w:w="677" w:type="dxa"/>
            <w:tcBorders>
              <w:tl2br w:val="nil"/>
              <w:tr2bl w:val="nil"/>
            </w:tcBorders>
            <w:shd w:val="clear" w:color="auto" w:fill="FFFFFF"/>
            <w:vAlign w:val="center"/>
          </w:tcPr>
          <w:p w14:paraId="3438E6A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2</w:t>
            </w:r>
          </w:p>
        </w:tc>
        <w:tc>
          <w:tcPr>
            <w:tcW w:w="1303" w:type="dxa"/>
            <w:tcBorders>
              <w:tl2br w:val="nil"/>
              <w:tr2bl w:val="nil"/>
            </w:tcBorders>
            <w:shd w:val="clear" w:color="auto" w:fill="FFFFFF"/>
            <w:vAlign w:val="center"/>
          </w:tcPr>
          <w:p w14:paraId="0354DF2A">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w:t>
            </w:r>
            <w:r>
              <w:rPr>
                <w:rFonts w:hint="eastAsia" w:ascii="宋体" w:hAnsi="宋体" w:cs="宋体"/>
                <w:color w:val="auto"/>
                <w:kern w:val="0"/>
                <w:szCs w:val="21"/>
                <w:lang w:val="en-US" w:eastAsia="zh-CN"/>
              </w:rPr>
              <w:t>山东省卫生和计划生育委员会关于做好乡村医生身份和补助年限认证工作的通知</w:t>
            </w:r>
            <w:r>
              <w:rPr>
                <w:rFonts w:hint="eastAsia" w:ascii="宋体" w:hAnsi="宋体" w:cs="宋体"/>
                <w:color w:val="auto"/>
                <w:kern w:val="0"/>
                <w:szCs w:val="21"/>
              </w:rPr>
              <w:t>》</w:t>
            </w:r>
            <w:r>
              <w:rPr>
                <w:rFonts w:hint="eastAsia" w:ascii="宋体" w:hAnsi="宋体" w:cs="宋体"/>
                <w:color w:val="auto"/>
                <w:kern w:val="0"/>
                <w:szCs w:val="21"/>
                <w:lang w:val="en-US" w:eastAsia="zh-CN"/>
              </w:rPr>
              <w:t>（鲁卫基层字〔2015〕3号）</w:t>
            </w:r>
          </w:p>
        </w:tc>
      </w:tr>
      <w:tr w14:paraId="04FE14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92" w:hRule="atLeast"/>
          <w:jc w:val="center"/>
        </w:trPr>
        <w:tc>
          <w:tcPr>
            <w:tcW w:w="0" w:type="auto"/>
            <w:vMerge w:val="continue"/>
            <w:tcBorders>
              <w:tl2br w:val="nil"/>
              <w:tr2bl w:val="nil"/>
            </w:tcBorders>
            <w:shd w:val="clear" w:color="auto" w:fill="FFFFFF"/>
            <w:vAlign w:val="center"/>
          </w:tcPr>
          <w:p w14:paraId="1F32A246">
            <w:pPr>
              <w:spacing w:line="0" w:lineRule="atLeast"/>
              <w:jc w:val="center"/>
              <w:rPr>
                <w:rFonts w:ascii="宋体" w:hAnsi="宋体" w:cs="宋体"/>
                <w:color w:val="auto"/>
                <w:kern w:val="0"/>
                <w:szCs w:val="21"/>
              </w:rPr>
            </w:pPr>
          </w:p>
        </w:tc>
        <w:tc>
          <w:tcPr>
            <w:tcW w:w="670" w:type="dxa"/>
            <w:vMerge w:val="continue"/>
            <w:tcBorders>
              <w:tl2br w:val="nil"/>
              <w:tr2bl w:val="nil"/>
            </w:tcBorders>
            <w:shd w:val="clear" w:color="auto" w:fill="FFFFFF"/>
            <w:vAlign w:val="center"/>
          </w:tcPr>
          <w:p w14:paraId="510E6636">
            <w:pPr>
              <w:widowControl/>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797405D7">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立项程序</w:t>
            </w:r>
          </w:p>
          <w:p w14:paraId="0C831866">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规范性</w:t>
            </w:r>
          </w:p>
        </w:tc>
        <w:tc>
          <w:tcPr>
            <w:tcW w:w="715" w:type="dxa"/>
            <w:tcBorders>
              <w:tl2br w:val="nil"/>
              <w:tr2bl w:val="nil"/>
            </w:tcBorders>
            <w:shd w:val="clear" w:color="auto" w:fill="FFFFFF"/>
          </w:tcPr>
          <w:p w14:paraId="2973F751">
            <w:pPr>
              <w:widowControl/>
              <w:spacing w:line="0" w:lineRule="atLeast"/>
              <w:rPr>
                <w:rFonts w:ascii="宋体" w:hAnsi="宋体" w:cs="宋体"/>
                <w:color w:val="auto"/>
                <w:kern w:val="0"/>
                <w:szCs w:val="21"/>
              </w:rPr>
            </w:pPr>
            <w:r>
              <w:rPr>
                <w:rFonts w:hint="eastAsia" w:ascii="宋体" w:hAnsi="宋体" w:cs="宋体"/>
                <w:color w:val="auto"/>
                <w:kern w:val="0"/>
                <w:szCs w:val="21"/>
              </w:rPr>
              <w:t>3</w:t>
            </w:r>
          </w:p>
        </w:tc>
        <w:tc>
          <w:tcPr>
            <w:tcW w:w="3158" w:type="dxa"/>
            <w:tcBorders>
              <w:tl2br w:val="nil"/>
              <w:tr2bl w:val="nil"/>
            </w:tcBorders>
            <w:shd w:val="clear" w:color="auto" w:fill="FFFFFF"/>
            <w:vAlign w:val="center"/>
          </w:tcPr>
          <w:p w14:paraId="63FBA199">
            <w:pPr>
              <w:widowControl/>
              <w:spacing w:line="0" w:lineRule="atLeast"/>
              <w:rPr>
                <w:rFonts w:ascii="宋体" w:hAnsi="宋体" w:cs="宋体"/>
                <w:color w:val="auto"/>
                <w:kern w:val="0"/>
                <w:szCs w:val="21"/>
              </w:rPr>
            </w:pPr>
            <w:r>
              <w:rPr>
                <w:rFonts w:hint="eastAsia" w:ascii="宋体" w:hAnsi="宋体" w:cs="宋体"/>
                <w:color w:val="auto"/>
                <w:kern w:val="0"/>
                <w:szCs w:val="21"/>
              </w:rPr>
              <w:t>项目申请、设立过程是否符合相关要求，用以反映和考核项目立项的规范情况。</w:t>
            </w:r>
          </w:p>
        </w:tc>
        <w:tc>
          <w:tcPr>
            <w:tcW w:w="5140" w:type="dxa"/>
            <w:tcBorders>
              <w:tl2br w:val="nil"/>
              <w:tr2bl w:val="nil"/>
            </w:tcBorders>
            <w:shd w:val="clear" w:color="auto" w:fill="FFFFFF"/>
            <w:vAlign w:val="center"/>
          </w:tcPr>
          <w:p w14:paraId="7EEABA38">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03282EFA">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①项目是否按照规定的程序申请设立；</w:t>
            </w:r>
          </w:p>
          <w:p w14:paraId="71D8340A">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②审批文件、材料是否符合相关要求；</w:t>
            </w:r>
          </w:p>
          <w:p w14:paraId="5006ED64">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③事前是否已经过必要的可行性研究、专家论证、风险评估、绩效评估、集体决策。</w:t>
            </w:r>
          </w:p>
        </w:tc>
        <w:tc>
          <w:tcPr>
            <w:tcW w:w="677" w:type="dxa"/>
            <w:tcBorders>
              <w:tl2br w:val="nil"/>
              <w:tr2bl w:val="nil"/>
            </w:tcBorders>
            <w:shd w:val="clear" w:color="auto" w:fill="FFFFFF"/>
            <w:vAlign w:val="center"/>
          </w:tcPr>
          <w:p w14:paraId="1A7B47A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3</w:t>
            </w:r>
          </w:p>
        </w:tc>
        <w:tc>
          <w:tcPr>
            <w:tcW w:w="1303" w:type="dxa"/>
            <w:tcBorders>
              <w:tl2br w:val="nil"/>
              <w:tr2bl w:val="nil"/>
            </w:tcBorders>
            <w:shd w:val="clear" w:color="auto" w:fill="FFFFFF"/>
            <w:vAlign w:val="center"/>
          </w:tcPr>
          <w:p w14:paraId="307196E9">
            <w:pPr>
              <w:widowControl/>
              <w:spacing w:line="0" w:lineRule="atLeast"/>
              <w:rPr>
                <w:rFonts w:ascii="宋体" w:hAnsi="宋体" w:cs="宋体"/>
                <w:color w:val="auto"/>
                <w:kern w:val="0"/>
                <w:szCs w:val="21"/>
              </w:rPr>
            </w:pPr>
            <w:r>
              <w:rPr>
                <w:rFonts w:hint="eastAsia" w:ascii="宋体" w:hAnsi="宋体" w:cs="宋体"/>
                <w:color w:val="auto"/>
                <w:kern w:val="0"/>
                <w:szCs w:val="21"/>
              </w:rPr>
              <w:t>该项目审评、设立过程符合相关要求</w:t>
            </w:r>
          </w:p>
        </w:tc>
      </w:tr>
      <w:tr w14:paraId="00F49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42" w:hRule="atLeast"/>
          <w:jc w:val="center"/>
        </w:trPr>
        <w:tc>
          <w:tcPr>
            <w:tcW w:w="0" w:type="auto"/>
            <w:vMerge w:val="continue"/>
            <w:tcBorders>
              <w:tl2br w:val="nil"/>
              <w:tr2bl w:val="nil"/>
            </w:tcBorders>
            <w:shd w:val="clear" w:color="auto" w:fill="FFFFFF"/>
            <w:vAlign w:val="center"/>
          </w:tcPr>
          <w:p w14:paraId="01DF89AC">
            <w:pPr>
              <w:spacing w:line="0" w:lineRule="atLeast"/>
              <w:jc w:val="center"/>
              <w:rPr>
                <w:rFonts w:ascii="宋体" w:hAnsi="宋体" w:cs="宋体"/>
                <w:color w:val="auto"/>
                <w:kern w:val="0"/>
                <w:szCs w:val="21"/>
              </w:rPr>
            </w:pPr>
          </w:p>
        </w:tc>
        <w:tc>
          <w:tcPr>
            <w:tcW w:w="670" w:type="dxa"/>
            <w:tcBorders>
              <w:tl2br w:val="nil"/>
              <w:tr2bl w:val="nil"/>
            </w:tcBorders>
            <w:shd w:val="clear" w:color="auto" w:fill="FFFFFF"/>
            <w:vAlign w:val="center"/>
          </w:tcPr>
          <w:p w14:paraId="7881089F">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绩效目标</w:t>
            </w:r>
          </w:p>
        </w:tc>
        <w:tc>
          <w:tcPr>
            <w:tcW w:w="1004" w:type="dxa"/>
            <w:tcBorders>
              <w:tl2br w:val="nil"/>
              <w:tr2bl w:val="nil"/>
            </w:tcBorders>
            <w:shd w:val="clear" w:color="auto" w:fill="FFFFFF"/>
            <w:vAlign w:val="center"/>
          </w:tcPr>
          <w:p w14:paraId="134D0BA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绩效目标</w:t>
            </w:r>
          </w:p>
          <w:p w14:paraId="1A009D2D">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合理性</w:t>
            </w:r>
          </w:p>
        </w:tc>
        <w:tc>
          <w:tcPr>
            <w:tcW w:w="715" w:type="dxa"/>
            <w:tcBorders>
              <w:tl2br w:val="nil"/>
              <w:tr2bl w:val="nil"/>
            </w:tcBorders>
            <w:shd w:val="clear" w:color="000000" w:fill="FFFFFF"/>
          </w:tcPr>
          <w:p w14:paraId="216E1BE5">
            <w:pPr>
              <w:widowControl/>
              <w:spacing w:line="0" w:lineRule="atLeast"/>
              <w:rPr>
                <w:rFonts w:ascii="宋体" w:hAnsi="宋体" w:cs="宋体"/>
                <w:color w:val="auto"/>
                <w:kern w:val="0"/>
                <w:szCs w:val="21"/>
              </w:rPr>
            </w:pPr>
            <w:r>
              <w:rPr>
                <w:rFonts w:hint="eastAsia" w:ascii="宋体" w:hAnsi="宋体" w:cs="宋体"/>
                <w:color w:val="auto"/>
                <w:kern w:val="0"/>
                <w:szCs w:val="21"/>
              </w:rPr>
              <w:t>2</w:t>
            </w:r>
          </w:p>
        </w:tc>
        <w:tc>
          <w:tcPr>
            <w:tcW w:w="3158" w:type="dxa"/>
            <w:tcBorders>
              <w:tl2br w:val="nil"/>
              <w:tr2bl w:val="nil"/>
            </w:tcBorders>
            <w:shd w:val="clear" w:color="000000" w:fill="FFFFFF"/>
            <w:vAlign w:val="center"/>
          </w:tcPr>
          <w:p w14:paraId="3E059579">
            <w:pPr>
              <w:widowControl/>
              <w:spacing w:line="0" w:lineRule="atLeast"/>
              <w:rPr>
                <w:rFonts w:ascii="宋体" w:hAnsi="宋体" w:cs="宋体"/>
                <w:color w:val="auto"/>
                <w:kern w:val="0"/>
                <w:szCs w:val="21"/>
              </w:rPr>
            </w:pPr>
            <w:r>
              <w:rPr>
                <w:rFonts w:hint="eastAsia" w:ascii="宋体" w:hAnsi="宋体" w:cs="宋体"/>
                <w:color w:val="auto"/>
                <w:kern w:val="0"/>
                <w:szCs w:val="21"/>
              </w:rPr>
              <w:t>项目所设定的绩效目标是否依据充分，是否符合客观实际，用以反映和考核项目绩效目标与项目实施的相符情况。</w:t>
            </w:r>
          </w:p>
        </w:tc>
        <w:tc>
          <w:tcPr>
            <w:tcW w:w="5140" w:type="dxa"/>
            <w:tcBorders>
              <w:tl2br w:val="nil"/>
              <w:tr2bl w:val="nil"/>
            </w:tcBorders>
            <w:shd w:val="clear" w:color="000000" w:fill="FFFFFF"/>
            <w:vAlign w:val="center"/>
          </w:tcPr>
          <w:p w14:paraId="6F3B1A61">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6E6477FE">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（如未设定预算绩效目标，也可考核其他工作任务目标）</w:t>
            </w:r>
          </w:p>
          <w:p w14:paraId="0DF0EB66">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①项目是否有绩效目标；</w:t>
            </w:r>
          </w:p>
          <w:p w14:paraId="1FFF206A">
            <w:pPr>
              <w:widowControl/>
              <w:spacing w:line="0" w:lineRule="atLeast"/>
              <w:jc w:val="left"/>
              <w:rPr>
                <w:rFonts w:hint="eastAsia" w:ascii="宋体" w:hAnsi="宋体" w:eastAsia="宋体" w:cs="宋体"/>
                <w:color w:val="auto"/>
                <w:kern w:val="0"/>
                <w:szCs w:val="21"/>
                <w:lang w:eastAsia="zh-CN"/>
              </w:rPr>
            </w:pPr>
            <w:r>
              <w:rPr>
                <w:rFonts w:hint="eastAsia" w:ascii="宋体" w:hAnsi="宋体" w:cs="宋体"/>
                <w:color w:val="auto"/>
                <w:kern w:val="0"/>
                <w:szCs w:val="21"/>
              </w:rPr>
              <w:t>②项目绩效目标与实际工作内容是否具有相关性；</w:t>
            </w:r>
          </w:p>
          <w:p w14:paraId="369BAAC7">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③项目预期产出效益和效果是否符合正常的业绩水平；</w:t>
            </w:r>
          </w:p>
          <w:p w14:paraId="1E5ACFC2">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④是否与预算确定的项目投资额或资金量相匹配。</w:t>
            </w:r>
          </w:p>
        </w:tc>
        <w:tc>
          <w:tcPr>
            <w:tcW w:w="677" w:type="dxa"/>
            <w:tcBorders>
              <w:tl2br w:val="nil"/>
              <w:tr2bl w:val="nil"/>
            </w:tcBorders>
            <w:shd w:val="clear" w:color="000000" w:fill="FFFFFF"/>
            <w:vAlign w:val="center"/>
          </w:tcPr>
          <w:p w14:paraId="13440D4D">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2</w:t>
            </w:r>
          </w:p>
        </w:tc>
        <w:tc>
          <w:tcPr>
            <w:tcW w:w="1303" w:type="dxa"/>
            <w:tcBorders>
              <w:tl2br w:val="nil"/>
              <w:tr2bl w:val="nil"/>
            </w:tcBorders>
            <w:shd w:val="clear" w:color="000000" w:fill="FFFFFF"/>
            <w:vAlign w:val="center"/>
          </w:tcPr>
          <w:p w14:paraId="0B94268C">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该项目有绩效目标，绩效目标根据项目实际工作内容、项目预期效益和预算金额设定</w:t>
            </w:r>
          </w:p>
        </w:tc>
      </w:tr>
      <w:tr w14:paraId="19F544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27" w:hRule="atLeast"/>
          <w:jc w:val="center"/>
        </w:trPr>
        <w:tc>
          <w:tcPr>
            <w:tcW w:w="0" w:type="auto"/>
            <w:vMerge w:val="restart"/>
            <w:tcBorders>
              <w:tl2br w:val="nil"/>
              <w:tr2bl w:val="nil"/>
            </w:tcBorders>
            <w:shd w:val="clear" w:color="auto" w:fill="FFFFFF"/>
            <w:vAlign w:val="center"/>
          </w:tcPr>
          <w:p w14:paraId="7EC6E51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决策</w:t>
            </w:r>
          </w:p>
        </w:tc>
        <w:tc>
          <w:tcPr>
            <w:tcW w:w="670" w:type="dxa"/>
            <w:tcBorders>
              <w:tl2br w:val="nil"/>
              <w:tr2bl w:val="nil"/>
            </w:tcBorders>
            <w:shd w:val="clear" w:color="auto" w:fill="FFFFFF"/>
            <w:vAlign w:val="center"/>
          </w:tcPr>
          <w:p w14:paraId="4AD0F1E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绩效目标</w:t>
            </w:r>
          </w:p>
        </w:tc>
        <w:tc>
          <w:tcPr>
            <w:tcW w:w="1004" w:type="dxa"/>
            <w:tcBorders>
              <w:tl2br w:val="nil"/>
              <w:tr2bl w:val="nil"/>
            </w:tcBorders>
            <w:shd w:val="clear" w:color="auto" w:fill="FFFFFF"/>
            <w:vAlign w:val="center"/>
          </w:tcPr>
          <w:p w14:paraId="53EC4CF6">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绩效指标</w:t>
            </w:r>
          </w:p>
          <w:p w14:paraId="44A2648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明确性</w:t>
            </w:r>
          </w:p>
        </w:tc>
        <w:tc>
          <w:tcPr>
            <w:tcW w:w="715" w:type="dxa"/>
            <w:tcBorders>
              <w:tl2br w:val="nil"/>
              <w:tr2bl w:val="nil"/>
            </w:tcBorders>
            <w:shd w:val="clear" w:color="000000" w:fill="FFFFFF"/>
          </w:tcPr>
          <w:p w14:paraId="5D5F66C0">
            <w:pPr>
              <w:widowControl/>
              <w:spacing w:line="0" w:lineRule="atLeast"/>
              <w:rPr>
                <w:rFonts w:ascii="宋体" w:hAnsi="宋体" w:cs="宋体"/>
                <w:color w:val="auto"/>
                <w:kern w:val="0"/>
                <w:szCs w:val="21"/>
              </w:rPr>
            </w:pPr>
            <w:r>
              <w:rPr>
                <w:rFonts w:hint="eastAsia" w:ascii="宋体" w:hAnsi="宋体" w:cs="宋体"/>
                <w:color w:val="auto"/>
                <w:kern w:val="0"/>
                <w:szCs w:val="21"/>
              </w:rPr>
              <w:t>3</w:t>
            </w:r>
          </w:p>
        </w:tc>
        <w:tc>
          <w:tcPr>
            <w:tcW w:w="3158" w:type="dxa"/>
            <w:tcBorders>
              <w:tl2br w:val="nil"/>
              <w:tr2bl w:val="nil"/>
            </w:tcBorders>
            <w:shd w:val="clear" w:color="000000" w:fill="FFFFFF"/>
            <w:vAlign w:val="center"/>
          </w:tcPr>
          <w:p w14:paraId="39FD9150">
            <w:pPr>
              <w:widowControl/>
              <w:spacing w:line="0" w:lineRule="atLeast"/>
              <w:rPr>
                <w:rFonts w:ascii="宋体" w:hAnsi="宋体" w:cs="宋体"/>
                <w:color w:val="auto"/>
                <w:kern w:val="0"/>
                <w:szCs w:val="21"/>
              </w:rPr>
            </w:pPr>
            <w:r>
              <w:rPr>
                <w:rFonts w:hint="eastAsia" w:ascii="宋体" w:hAnsi="宋体" w:cs="宋体"/>
                <w:color w:val="auto"/>
                <w:kern w:val="0"/>
                <w:szCs w:val="21"/>
              </w:rPr>
              <w:t>依据绩效目标设定的绩效指标是否清晰、细化、可衡量等，用以反映和考核项目绩效目标的明细化情况。</w:t>
            </w:r>
          </w:p>
        </w:tc>
        <w:tc>
          <w:tcPr>
            <w:tcW w:w="5140" w:type="dxa"/>
            <w:tcBorders>
              <w:tl2br w:val="nil"/>
              <w:tr2bl w:val="nil"/>
            </w:tcBorders>
            <w:shd w:val="clear" w:color="000000" w:fill="FFFFFF"/>
            <w:vAlign w:val="center"/>
          </w:tcPr>
          <w:p w14:paraId="068413F9">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1E3096B4">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①是否将项目绩效目标细化分解为具体的绩效指标；</w:t>
            </w:r>
          </w:p>
          <w:p w14:paraId="76D36F7B">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②是否通过清晰、可衡量的指标值予以体现；</w:t>
            </w:r>
          </w:p>
          <w:p w14:paraId="196804F8">
            <w:pPr>
              <w:widowControl/>
              <w:spacing w:line="0" w:lineRule="atLeast"/>
              <w:rPr>
                <w:rFonts w:ascii="宋体" w:hAnsi="宋体" w:cs="宋体"/>
                <w:color w:val="auto"/>
                <w:kern w:val="0"/>
                <w:szCs w:val="21"/>
              </w:rPr>
            </w:pPr>
            <w:r>
              <w:rPr>
                <w:rFonts w:hint="eastAsia" w:ascii="宋体" w:hAnsi="宋体" w:cs="宋体"/>
                <w:color w:val="auto"/>
                <w:kern w:val="0"/>
                <w:szCs w:val="21"/>
              </w:rPr>
              <w:t>③是否与项目目标任务数或计划数相对应。</w:t>
            </w:r>
          </w:p>
        </w:tc>
        <w:tc>
          <w:tcPr>
            <w:tcW w:w="677" w:type="dxa"/>
            <w:tcBorders>
              <w:tl2br w:val="nil"/>
              <w:tr2bl w:val="nil"/>
            </w:tcBorders>
            <w:shd w:val="clear" w:color="000000" w:fill="FFFFFF"/>
            <w:vAlign w:val="center"/>
          </w:tcPr>
          <w:p w14:paraId="7E098E4D">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3</w:t>
            </w:r>
          </w:p>
        </w:tc>
        <w:tc>
          <w:tcPr>
            <w:tcW w:w="1303" w:type="dxa"/>
            <w:tcBorders>
              <w:tl2br w:val="nil"/>
              <w:tr2bl w:val="nil"/>
            </w:tcBorders>
            <w:shd w:val="clear" w:color="000000" w:fill="FFFFFF"/>
            <w:vAlign w:val="center"/>
          </w:tcPr>
          <w:p w14:paraId="1BA1053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设定的绩效目标清晰，细化、可衡量，能够反映和考核项目绩效目标的明细化情况</w:t>
            </w:r>
          </w:p>
        </w:tc>
      </w:tr>
      <w:tr w14:paraId="5A490A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633" w:hRule="atLeast"/>
          <w:jc w:val="center"/>
        </w:trPr>
        <w:tc>
          <w:tcPr>
            <w:tcW w:w="0" w:type="auto"/>
            <w:vMerge w:val="continue"/>
            <w:tcBorders>
              <w:tl2br w:val="nil"/>
              <w:tr2bl w:val="nil"/>
            </w:tcBorders>
            <w:shd w:val="clear" w:color="auto" w:fill="FFFFFF"/>
            <w:vAlign w:val="center"/>
          </w:tcPr>
          <w:p w14:paraId="712ADEB1">
            <w:pPr>
              <w:spacing w:line="0" w:lineRule="atLeast"/>
              <w:jc w:val="center"/>
              <w:rPr>
                <w:rFonts w:ascii="宋体" w:hAnsi="宋体" w:cs="宋体"/>
                <w:color w:val="auto"/>
                <w:kern w:val="0"/>
                <w:szCs w:val="21"/>
              </w:rPr>
            </w:pPr>
          </w:p>
        </w:tc>
        <w:tc>
          <w:tcPr>
            <w:tcW w:w="670" w:type="dxa"/>
            <w:vMerge w:val="restart"/>
            <w:tcBorders>
              <w:tl2br w:val="nil"/>
              <w:tr2bl w:val="nil"/>
            </w:tcBorders>
            <w:shd w:val="clear" w:color="auto" w:fill="FFFFFF"/>
            <w:vAlign w:val="center"/>
          </w:tcPr>
          <w:p w14:paraId="265B753C">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资金投入</w:t>
            </w:r>
          </w:p>
          <w:p w14:paraId="5192516C">
            <w:pPr>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7C56404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预算编制</w:t>
            </w:r>
          </w:p>
          <w:p w14:paraId="6E478D3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科学性</w:t>
            </w:r>
          </w:p>
        </w:tc>
        <w:tc>
          <w:tcPr>
            <w:tcW w:w="715" w:type="dxa"/>
            <w:tcBorders>
              <w:tl2br w:val="nil"/>
              <w:tr2bl w:val="nil"/>
            </w:tcBorders>
            <w:shd w:val="clear" w:color="auto" w:fill="FFFFFF"/>
          </w:tcPr>
          <w:p w14:paraId="4A0162BB">
            <w:pPr>
              <w:widowControl/>
              <w:spacing w:line="0" w:lineRule="atLeast"/>
              <w:rPr>
                <w:rFonts w:ascii="宋体" w:hAnsi="宋体" w:cs="宋体"/>
                <w:color w:val="auto"/>
                <w:kern w:val="0"/>
                <w:szCs w:val="21"/>
              </w:rPr>
            </w:pPr>
            <w:r>
              <w:rPr>
                <w:rFonts w:hint="eastAsia" w:ascii="宋体" w:hAnsi="宋体" w:cs="宋体"/>
                <w:color w:val="auto"/>
                <w:kern w:val="0"/>
                <w:szCs w:val="21"/>
              </w:rPr>
              <w:t>2</w:t>
            </w:r>
          </w:p>
        </w:tc>
        <w:tc>
          <w:tcPr>
            <w:tcW w:w="3158" w:type="dxa"/>
            <w:tcBorders>
              <w:tl2br w:val="nil"/>
              <w:tr2bl w:val="nil"/>
            </w:tcBorders>
            <w:shd w:val="clear" w:color="auto" w:fill="FFFFFF"/>
            <w:vAlign w:val="center"/>
          </w:tcPr>
          <w:p w14:paraId="4715D177">
            <w:pPr>
              <w:widowControl/>
              <w:spacing w:line="0" w:lineRule="atLeast"/>
              <w:rPr>
                <w:rFonts w:ascii="宋体" w:hAnsi="宋体" w:cs="宋体"/>
                <w:color w:val="auto"/>
                <w:kern w:val="0"/>
                <w:szCs w:val="21"/>
              </w:rPr>
            </w:pPr>
            <w:r>
              <w:rPr>
                <w:rFonts w:hint="eastAsia" w:ascii="宋体" w:hAnsi="宋体" w:cs="宋体"/>
                <w:color w:val="auto"/>
                <w:kern w:val="0"/>
                <w:szCs w:val="21"/>
              </w:rPr>
              <w:t>项目预算编制是否经过科学论证、有明确标准，资金额度与年度目标是否相适应，用以反映和考核项目预算编制的科学性、合理性情况。</w:t>
            </w:r>
          </w:p>
        </w:tc>
        <w:tc>
          <w:tcPr>
            <w:tcW w:w="5140" w:type="dxa"/>
            <w:tcBorders>
              <w:tl2br w:val="nil"/>
              <w:tr2bl w:val="nil"/>
            </w:tcBorders>
            <w:shd w:val="clear" w:color="auto" w:fill="FFFFFF"/>
            <w:vAlign w:val="center"/>
          </w:tcPr>
          <w:p w14:paraId="6C3F6A57">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64BE7248">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①预算编制是否经过科学论证；</w:t>
            </w:r>
          </w:p>
          <w:p w14:paraId="7C0AE697">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②预算内容与项目内容是否匹配；</w:t>
            </w:r>
          </w:p>
          <w:p w14:paraId="1890EB8F">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③预算额度测算依据是否充分，是否按照标准编制；</w:t>
            </w:r>
          </w:p>
          <w:p w14:paraId="3D5D128F">
            <w:pPr>
              <w:widowControl/>
              <w:spacing w:line="0" w:lineRule="atLeast"/>
              <w:rPr>
                <w:rFonts w:ascii="宋体" w:hAnsi="宋体" w:cs="宋体"/>
                <w:color w:val="auto"/>
                <w:kern w:val="0"/>
                <w:szCs w:val="21"/>
              </w:rPr>
            </w:pPr>
            <w:r>
              <w:rPr>
                <w:rFonts w:hint="eastAsia" w:ascii="宋体" w:hAnsi="宋体" w:cs="宋体"/>
                <w:color w:val="auto"/>
                <w:kern w:val="0"/>
                <w:szCs w:val="21"/>
              </w:rPr>
              <w:t>④预算确定的项目投资额或资金量是否与工作任务相匹配。</w:t>
            </w:r>
          </w:p>
        </w:tc>
        <w:tc>
          <w:tcPr>
            <w:tcW w:w="677" w:type="dxa"/>
            <w:tcBorders>
              <w:tl2br w:val="nil"/>
              <w:tr2bl w:val="nil"/>
            </w:tcBorders>
            <w:shd w:val="clear" w:color="auto" w:fill="FFFFFF"/>
            <w:vAlign w:val="center"/>
          </w:tcPr>
          <w:p w14:paraId="6D53D5D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2</w:t>
            </w:r>
          </w:p>
        </w:tc>
        <w:tc>
          <w:tcPr>
            <w:tcW w:w="1303" w:type="dxa"/>
            <w:tcBorders>
              <w:tl2br w:val="nil"/>
              <w:tr2bl w:val="nil"/>
            </w:tcBorders>
            <w:shd w:val="clear" w:color="auto" w:fill="FFFFFF"/>
            <w:vAlign w:val="center"/>
          </w:tcPr>
          <w:p w14:paraId="7B56A27E">
            <w:pPr>
              <w:widowControl/>
              <w:spacing w:line="0" w:lineRule="atLeast"/>
              <w:jc w:val="center"/>
              <w:rPr>
                <w:rFonts w:ascii="宋体" w:hAnsi="宋体" w:cs="宋体"/>
                <w:color w:val="auto"/>
                <w:kern w:val="0"/>
                <w:szCs w:val="21"/>
              </w:rPr>
            </w:pPr>
            <w:r>
              <w:rPr>
                <w:rFonts w:hint="eastAsia" w:ascii="宋体" w:hAnsi="宋体" w:cs="宋体"/>
                <w:color w:val="auto"/>
                <w:kern w:val="0"/>
                <w:szCs w:val="21"/>
                <w:lang w:val="en-US" w:eastAsia="zh-CN"/>
              </w:rPr>
              <w:t>按照工作年限每满1年每月20元的标准发放生活补助，剩下不满一年的工作年限按一年计算</w:t>
            </w:r>
          </w:p>
        </w:tc>
      </w:tr>
      <w:tr w14:paraId="03AFA0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61" w:hRule="atLeast"/>
          <w:jc w:val="center"/>
        </w:trPr>
        <w:tc>
          <w:tcPr>
            <w:tcW w:w="0" w:type="auto"/>
            <w:vMerge w:val="continue"/>
            <w:tcBorders>
              <w:tl2br w:val="nil"/>
              <w:tr2bl w:val="nil"/>
            </w:tcBorders>
            <w:shd w:val="clear" w:color="auto" w:fill="FFFFFF"/>
            <w:vAlign w:val="center"/>
          </w:tcPr>
          <w:p w14:paraId="68BFE9C4">
            <w:pPr>
              <w:widowControl/>
              <w:spacing w:line="0" w:lineRule="atLeast"/>
              <w:jc w:val="center"/>
              <w:rPr>
                <w:rFonts w:ascii="宋体" w:hAnsi="宋体" w:cs="宋体"/>
                <w:color w:val="auto"/>
                <w:kern w:val="0"/>
                <w:szCs w:val="21"/>
              </w:rPr>
            </w:pPr>
          </w:p>
        </w:tc>
        <w:tc>
          <w:tcPr>
            <w:tcW w:w="670" w:type="dxa"/>
            <w:vMerge w:val="continue"/>
            <w:tcBorders>
              <w:tl2br w:val="nil"/>
              <w:tr2bl w:val="nil"/>
            </w:tcBorders>
            <w:shd w:val="clear" w:color="auto" w:fill="FFFFFF"/>
            <w:vAlign w:val="center"/>
          </w:tcPr>
          <w:p w14:paraId="76E692BF">
            <w:pPr>
              <w:widowControl/>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5B5482FD">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资金分配</w:t>
            </w:r>
          </w:p>
          <w:p w14:paraId="003C6590">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合理性</w:t>
            </w:r>
          </w:p>
        </w:tc>
        <w:tc>
          <w:tcPr>
            <w:tcW w:w="715" w:type="dxa"/>
            <w:tcBorders>
              <w:tl2br w:val="nil"/>
              <w:tr2bl w:val="nil"/>
            </w:tcBorders>
            <w:shd w:val="clear" w:color="auto" w:fill="FFFFFF"/>
          </w:tcPr>
          <w:p w14:paraId="5F60EA4D">
            <w:pPr>
              <w:widowControl/>
              <w:spacing w:line="0" w:lineRule="atLeast"/>
              <w:rPr>
                <w:rFonts w:ascii="宋体" w:hAnsi="宋体" w:cs="宋体"/>
                <w:color w:val="auto"/>
                <w:kern w:val="0"/>
                <w:szCs w:val="21"/>
              </w:rPr>
            </w:pPr>
            <w:r>
              <w:rPr>
                <w:rFonts w:hint="eastAsia" w:ascii="宋体" w:hAnsi="宋体" w:cs="宋体"/>
                <w:color w:val="auto"/>
                <w:kern w:val="0"/>
                <w:szCs w:val="21"/>
              </w:rPr>
              <w:t>3</w:t>
            </w:r>
          </w:p>
        </w:tc>
        <w:tc>
          <w:tcPr>
            <w:tcW w:w="3158" w:type="dxa"/>
            <w:tcBorders>
              <w:tl2br w:val="nil"/>
              <w:tr2bl w:val="nil"/>
            </w:tcBorders>
            <w:shd w:val="clear" w:color="auto" w:fill="FFFFFF"/>
            <w:vAlign w:val="center"/>
          </w:tcPr>
          <w:p w14:paraId="6177AC0D">
            <w:pPr>
              <w:widowControl/>
              <w:spacing w:line="0" w:lineRule="atLeast"/>
              <w:rPr>
                <w:rFonts w:ascii="宋体" w:hAnsi="宋体" w:cs="宋体"/>
                <w:color w:val="auto"/>
                <w:kern w:val="0"/>
                <w:szCs w:val="21"/>
              </w:rPr>
            </w:pPr>
            <w:r>
              <w:rPr>
                <w:rFonts w:hint="eastAsia" w:ascii="宋体" w:hAnsi="宋体" w:cs="宋体"/>
                <w:color w:val="auto"/>
                <w:kern w:val="0"/>
                <w:szCs w:val="21"/>
              </w:rPr>
              <w:t>项目预算资金分配是否有测算依据，与补助单位或地方实际是否相适应，用以反映和考核项目预算资金分配的科学性、合理性情况。</w:t>
            </w:r>
          </w:p>
        </w:tc>
        <w:tc>
          <w:tcPr>
            <w:tcW w:w="5140" w:type="dxa"/>
            <w:tcBorders>
              <w:tl2br w:val="nil"/>
              <w:tr2bl w:val="nil"/>
            </w:tcBorders>
            <w:shd w:val="clear" w:color="auto" w:fill="FFFFFF"/>
            <w:vAlign w:val="center"/>
          </w:tcPr>
          <w:p w14:paraId="775BB0C2">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5540C714">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①预算资金分配依据是否充分；</w:t>
            </w:r>
          </w:p>
          <w:p w14:paraId="6E753FC8">
            <w:pPr>
              <w:widowControl/>
              <w:spacing w:line="0" w:lineRule="atLeast"/>
              <w:rPr>
                <w:rFonts w:ascii="宋体" w:hAnsi="宋体" w:cs="宋体"/>
                <w:color w:val="auto"/>
                <w:kern w:val="0"/>
                <w:szCs w:val="21"/>
              </w:rPr>
            </w:pPr>
            <w:r>
              <w:rPr>
                <w:rFonts w:hint="eastAsia" w:ascii="宋体" w:hAnsi="宋体" w:cs="宋体"/>
                <w:color w:val="auto"/>
                <w:kern w:val="0"/>
                <w:szCs w:val="21"/>
              </w:rPr>
              <w:t>②资金分配额度是否合理，与项目单位或地方实际是否相适应。</w:t>
            </w:r>
          </w:p>
        </w:tc>
        <w:tc>
          <w:tcPr>
            <w:tcW w:w="677" w:type="dxa"/>
            <w:tcBorders>
              <w:tl2br w:val="nil"/>
              <w:tr2bl w:val="nil"/>
            </w:tcBorders>
            <w:shd w:val="clear" w:color="auto" w:fill="FFFFFF"/>
            <w:vAlign w:val="center"/>
          </w:tcPr>
          <w:p w14:paraId="502D3AA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3</w:t>
            </w:r>
          </w:p>
        </w:tc>
        <w:tc>
          <w:tcPr>
            <w:tcW w:w="1303" w:type="dxa"/>
            <w:tcBorders>
              <w:tl2br w:val="nil"/>
              <w:tr2bl w:val="nil"/>
            </w:tcBorders>
            <w:shd w:val="clear" w:color="auto" w:fill="FFFFFF"/>
            <w:vAlign w:val="center"/>
          </w:tcPr>
          <w:p w14:paraId="0ECB510F">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按符合条件的奖励扶助人数，按标准发放奖励金</w:t>
            </w:r>
          </w:p>
        </w:tc>
      </w:tr>
      <w:tr w14:paraId="013F64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38" w:hRule="atLeast"/>
          <w:jc w:val="center"/>
        </w:trPr>
        <w:tc>
          <w:tcPr>
            <w:tcW w:w="0" w:type="auto"/>
            <w:vMerge w:val="restart"/>
            <w:tcBorders>
              <w:tl2br w:val="nil"/>
              <w:tr2bl w:val="nil"/>
            </w:tcBorders>
            <w:shd w:val="clear" w:color="auto" w:fill="FFFFFF"/>
            <w:vAlign w:val="center"/>
          </w:tcPr>
          <w:p w14:paraId="12B0A656">
            <w:pPr>
              <w:spacing w:line="0" w:lineRule="atLeast"/>
              <w:jc w:val="center"/>
              <w:rPr>
                <w:rFonts w:ascii="宋体" w:hAnsi="宋体" w:cs="宋体"/>
                <w:color w:val="auto"/>
                <w:kern w:val="0"/>
                <w:szCs w:val="21"/>
              </w:rPr>
            </w:pPr>
          </w:p>
          <w:p w14:paraId="6CFB17D2">
            <w:pPr>
              <w:widowControl/>
              <w:spacing w:line="0" w:lineRule="atLeast"/>
              <w:jc w:val="center"/>
              <w:rPr>
                <w:rFonts w:ascii="宋体" w:hAnsi="宋体" w:cs="宋体"/>
                <w:color w:val="auto"/>
                <w:kern w:val="0"/>
                <w:szCs w:val="21"/>
              </w:rPr>
            </w:pPr>
          </w:p>
          <w:p w14:paraId="31519257">
            <w:pPr>
              <w:spacing w:line="0" w:lineRule="atLeast"/>
              <w:jc w:val="center"/>
              <w:rPr>
                <w:rFonts w:ascii="宋体" w:hAnsi="宋体" w:cs="宋体"/>
                <w:color w:val="auto"/>
                <w:kern w:val="0"/>
                <w:szCs w:val="21"/>
              </w:rPr>
            </w:pPr>
            <w:r>
              <w:rPr>
                <w:rFonts w:hint="eastAsia" w:ascii="宋体" w:hAnsi="宋体" w:cs="宋体"/>
                <w:color w:val="auto"/>
                <w:kern w:val="0"/>
                <w:szCs w:val="21"/>
              </w:rPr>
              <w:t>过程（25%）</w:t>
            </w:r>
          </w:p>
        </w:tc>
        <w:tc>
          <w:tcPr>
            <w:tcW w:w="670" w:type="dxa"/>
            <w:vMerge w:val="restart"/>
            <w:tcBorders>
              <w:tl2br w:val="nil"/>
              <w:tr2bl w:val="nil"/>
            </w:tcBorders>
            <w:shd w:val="clear" w:color="auto" w:fill="FFFFFF"/>
            <w:vAlign w:val="center"/>
          </w:tcPr>
          <w:p w14:paraId="2622A77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资金管理</w:t>
            </w:r>
          </w:p>
        </w:tc>
        <w:tc>
          <w:tcPr>
            <w:tcW w:w="1004" w:type="dxa"/>
            <w:tcBorders>
              <w:tl2br w:val="nil"/>
              <w:tr2bl w:val="nil"/>
            </w:tcBorders>
            <w:shd w:val="clear" w:color="auto" w:fill="FFFFFF"/>
            <w:vAlign w:val="center"/>
          </w:tcPr>
          <w:p w14:paraId="50823D9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资金到位率</w:t>
            </w:r>
          </w:p>
        </w:tc>
        <w:tc>
          <w:tcPr>
            <w:tcW w:w="715" w:type="dxa"/>
            <w:tcBorders>
              <w:tl2br w:val="nil"/>
              <w:tr2bl w:val="nil"/>
            </w:tcBorders>
            <w:shd w:val="clear" w:color="000000" w:fill="FFFFFF"/>
          </w:tcPr>
          <w:p w14:paraId="7BE5F897">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2077AF84">
            <w:pPr>
              <w:widowControl/>
              <w:spacing w:line="0" w:lineRule="atLeast"/>
              <w:rPr>
                <w:rFonts w:ascii="宋体" w:hAnsi="宋体" w:cs="宋体"/>
                <w:color w:val="auto"/>
                <w:kern w:val="0"/>
                <w:szCs w:val="21"/>
              </w:rPr>
            </w:pPr>
            <w:r>
              <w:rPr>
                <w:rFonts w:hint="eastAsia" w:ascii="宋体" w:hAnsi="宋体" w:cs="宋体"/>
                <w:color w:val="auto"/>
                <w:kern w:val="0"/>
                <w:szCs w:val="21"/>
              </w:rPr>
              <w:t>实际到位资金与预算资金的比率，用以反映和考核资金落实情况对项目实施的总体保障程度。</w:t>
            </w:r>
          </w:p>
        </w:tc>
        <w:tc>
          <w:tcPr>
            <w:tcW w:w="5140" w:type="dxa"/>
            <w:tcBorders>
              <w:tl2br w:val="nil"/>
              <w:tr2bl w:val="nil"/>
            </w:tcBorders>
            <w:shd w:val="clear" w:color="000000" w:fill="FFFFFF"/>
            <w:vAlign w:val="center"/>
          </w:tcPr>
          <w:p w14:paraId="134F7A41">
            <w:pPr>
              <w:widowControl/>
              <w:spacing w:line="0" w:lineRule="atLeast"/>
              <w:rPr>
                <w:rFonts w:ascii="宋体" w:hAnsi="宋体" w:cs="宋体"/>
                <w:color w:val="auto"/>
                <w:kern w:val="0"/>
                <w:szCs w:val="21"/>
              </w:rPr>
            </w:pPr>
            <w:r>
              <w:rPr>
                <w:rFonts w:hint="eastAsia" w:ascii="宋体" w:hAnsi="宋体" w:cs="宋体"/>
                <w:color w:val="auto"/>
                <w:kern w:val="0"/>
                <w:szCs w:val="21"/>
              </w:rPr>
              <w:t>资金到位率=（实际到位资金/预算资金）×100%。</w:t>
            </w:r>
          </w:p>
          <w:p w14:paraId="44F15761">
            <w:pPr>
              <w:widowControl/>
              <w:spacing w:line="0" w:lineRule="atLeast"/>
              <w:rPr>
                <w:rFonts w:ascii="宋体" w:hAnsi="宋体" w:cs="宋体"/>
                <w:color w:val="auto"/>
                <w:kern w:val="0"/>
                <w:szCs w:val="21"/>
              </w:rPr>
            </w:pPr>
            <w:r>
              <w:rPr>
                <w:rFonts w:hint="eastAsia" w:ascii="宋体" w:hAnsi="宋体" w:cs="宋体"/>
                <w:color w:val="auto"/>
                <w:kern w:val="0"/>
                <w:szCs w:val="21"/>
              </w:rPr>
              <w:t>实际到位资金：一定时期（本年度或项目期）内落实到具体项目的资金。</w:t>
            </w:r>
          </w:p>
          <w:p w14:paraId="51E04F2A">
            <w:pPr>
              <w:widowControl/>
              <w:spacing w:line="0" w:lineRule="atLeast"/>
              <w:rPr>
                <w:rFonts w:ascii="宋体" w:hAnsi="宋体" w:cs="宋体"/>
                <w:color w:val="auto"/>
                <w:kern w:val="0"/>
                <w:szCs w:val="21"/>
              </w:rPr>
            </w:pPr>
            <w:r>
              <w:rPr>
                <w:rFonts w:hint="eastAsia" w:ascii="宋体" w:hAnsi="宋体" w:cs="宋体"/>
                <w:color w:val="auto"/>
                <w:kern w:val="0"/>
                <w:szCs w:val="21"/>
              </w:rPr>
              <w:t>预算资金：一定时期（本年度或项目期）内预算安排到具体项目的资金。</w:t>
            </w:r>
          </w:p>
        </w:tc>
        <w:tc>
          <w:tcPr>
            <w:tcW w:w="677" w:type="dxa"/>
            <w:tcBorders>
              <w:tl2br w:val="nil"/>
              <w:tr2bl w:val="nil"/>
            </w:tcBorders>
            <w:shd w:val="clear" w:color="000000" w:fill="FFFFFF"/>
            <w:vAlign w:val="center"/>
          </w:tcPr>
          <w:p w14:paraId="4FE85E1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7DFAAC22">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100%</w:t>
            </w:r>
          </w:p>
        </w:tc>
      </w:tr>
      <w:tr w14:paraId="0541E8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42" w:hRule="atLeast"/>
          <w:jc w:val="center"/>
        </w:trPr>
        <w:tc>
          <w:tcPr>
            <w:tcW w:w="0" w:type="auto"/>
            <w:vMerge w:val="continue"/>
            <w:tcBorders>
              <w:tl2br w:val="nil"/>
              <w:tr2bl w:val="nil"/>
            </w:tcBorders>
            <w:shd w:val="clear" w:color="auto" w:fill="FFFFFF"/>
            <w:vAlign w:val="center"/>
          </w:tcPr>
          <w:p w14:paraId="6AA6634C">
            <w:pPr>
              <w:spacing w:line="0" w:lineRule="atLeast"/>
              <w:jc w:val="center"/>
              <w:rPr>
                <w:rFonts w:ascii="宋体" w:hAnsi="宋体" w:cs="宋体"/>
                <w:color w:val="auto"/>
                <w:kern w:val="0"/>
                <w:szCs w:val="21"/>
              </w:rPr>
            </w:pPr>
          </w:p>
        </w:tc>
        <w:tc>
          <w:tcPr>
            <w:tcW w:w="670" w:type="dxa"/>
            <w:vMerge w:val="continue"/>
            <w:tcBorders>
              <w:tl2br w:val="nil"/>
              <w:tr2bl w:val="nil"/>
            </w:tcBorders>
            <w:shd w:val="clear" w:color="auto" w:fill="FFFFFF"/>
            <w:vAlign w:val="center"/>
          </w:tcPr>
          <w:p w14:paraId="34756193">
            <w:pPr>
              <w:spacing w:line="0" w:lineRule="atLeast"/>
              <w:jc w:val="center"/>
              <w:rPr>
                <w:rFonts w:ascii="宋体" w:hAnsi="宋体" w:cs="宋体"/>
                <w:color w:val="auto"/>
                <w:kern w:val="0"/>
                <w:szCs w:val="21"/>
              </w:rPr>
            </w:pPr>
          </w:p>
        </w:tc>
        <w:tc>
          <w:tcPr>
            <w:tcW w:w="1004" w:type="dxa"/>
            <w:tcBorders>
              <w:tl2br w:val="nil"/>
              <w:tr2bl w:val="nil"/>
            </w:tcBorders>
            <w:shd w:val="clear" w:color="auto" w:fill="auto"/>
            <w:vAlign w:val="center"/>
          </w:tcPr>
          <w:p w14:paraId="7967563B">
            <w:pPr>
              <w:widowControl/>
              <w:spacing w:line="0" w:lineRule="atLeast"/>
              <w:jc w:val="center"/>
              <w:rPr>
                <w:rFonts w:ascii="宋体" w:hAnsi="宋体" w:cs="宋体"/>
                <w:color w:val="auto"/>
                <w:kern w:val="0"/>
                <w:szCs w:val="21"/>
                <w:highlight w:val="none"/>
              </w:rPr>
            </w:pPr>
            <w:r>
              <w:rPr>
                <w:rFonts w:hint="eastAsia" w:ascii="宋体" w:hAnsi="宋体" w:cs="宋体"/>
                <w:color w:val="auto"/>
                <w:kern w:val="0"/>
                <w:szCs w:val="21"/>
                <w:highlight w:val="none"/>
              </w:rPr>
              <w:t>预算执行率</w:t>
            </w:r>
          </w:p>
        </w:tc>
        <w:tc>
          <w:tcPr>
            <w:tcW w:w="715" w:type="dxa"/>
            <w:tcBorders>
              <w:tl2br w:val="nil"/>
              <w:tr2bl w:val="nil"/>
            </w:tcBorders>
            <w:shd w:val="clear" w:color="auto" w:fill="auto"/>
          </w:tcPr>
          <w:p w14:paraId="28D6E4EE">
            <w:pPr>
              <w:widowControl/>
              <w:spacing w:line="0" w:lineRule="atLeast"/>
              <w:rPr>
                <w:rFonts w:ascii="宋体" w:hAnsi="宋体" w:cs="宋体"/>
                <w:color w:val="auto"/>
                <w:kern w:val="0"/>
                <w:szCs w:val="21"/>
                <w:highlight w:val="none"/>
              </w:rPr>
            </w:pPr>
            <w:r>
              <w:rPr>
                <w:rFonts w:hint="eastAsia" w:ascii="宋体" w:hAnsi="宋体" w:cs="宋体"/>
                <w:color w:val="auto"/>
                <w:kern w:val="0"/>
                <w:szCs w:val="21"/>
                <w:highlight w:val="none"/>
              </w:rPr>
              <w:t>5</w:t>
            </w:r>
          </w:p>
        </w:tc>
        <w:tc>
          <w:tcPr>
            <w:tcW w:w="3158" w:type="dxa"/>
            <w:tcBorders>
              <w:tl2br w:val="nil"/>
              <w:tr2bl w:val="nil"/>
            </w:tcBorders>
            <w:shd w:val="clear" w:color="auto" w:fill="auto"/>
            <w:vAlign w:val="center"/>
          </w:tcPr>
          <w:p w14:paraId="46B1E91C">
            <w:pPr>
              <w:widowControl/>
              <w:spacing w:line="0" w:lineRule="atLeast"/>
              <w:rPr>
                <w:rFonts w:ascii="宋体" w:hAnsi="宋体" w:cs="宋体"/>
                <w:color w:val="auto"/>
                <w:kern w:val="0"/>
                <w:szCs w:val="21"/>
                <w:highlight w:val="none"/>
              </w:rPr>
            </w:pPr>
            <w:r>
              <w:rPr>
                <w:rFonts w:hint="eastAsia" w:ascii="宋体" w:hAnsi="宋体" w:cs="宋体"/>
                <w:color w:val="auto"/>
                <w:kern w:val="0"/>
                <w:szCs w:val="21"/>
                <w:highlight w:val="none"/>
              </w:rPr>
              <w:t>项目预算资金是否按照计划执行，用以反映或考核项目预算执行情况。</w:t>
            </w:r>
          </w:p>
        </w:tc>
        <w:tc>
          <w:tcPr>
            <w:tcW w:w="5140" w:type="dxa"/>
            <w:tcBorders>
              <w:tl2br w:val="nil"/>
              <w:tr2bl w:val="nil"/>
            </w:tcBorders>
            <w:shd w:val="clear" w:color="auto" w:fill="auto"/>
            <w:vAlign w:val="center"/>
          </w:tcPr>
          <w:p w14:paraId="0C6A7156">
            <w:pPr>
              <w:widowControl/>
              <w:spacing w:line="0" w:lineRule="atLeast"/>
              <w:rPr>
                <w:rFonts w:hint="eastAsia" w:ascii="宋体" w:hAnsi="宋体" w:eastAsia="宋体" w:cs="宋体"/>
                <w:color w:val="auto"/>
                <w:kern w:val="0"/>
                <w:szCs w:val="21"/>
                <w:highlight w:val="none"/>
                <w:lang w:eastAsia="zh-CN"/>
              </w:rPr>
            </w:pPr>
            <w:r>
              <w:rPr>
                <w:rFonts w:hint="eastAsia" w:ascii="宋体" w:hAnsi="宋体" w:cs="宋体"/>
                <w:color w:val="auto"/>
                <w:kern w:val="0"/>
                <w:szCs w:val="21"/>
                <w:highlight w:val="none"/>
              </w:rPr>
              <w:t>预算执行率=（实际支出资金/实际到位资金）×100%。</w:t>
            </w:r>
          </w:p>
          <w:p w14:paraId="7FA77C73">
            <w:pPr>
              <w:widowControl/>
              <w:spacing w:line="0" w:lineRule="atLeast"/>
              <w:rPr>
                <w:rFonts w:ascii="宋体" w:hAnsi="宋体" w:cs="宋体"/>
                <w:color w:val="auto"/>
                <w:kern w:val="0"/>
                <w:szCs w:val="21"/>
                <w:highlight w:val="none"/>
              </w:rPr>
            </w:pPr>
            <w:r>
              <w:rPr>
                <w:rFonts w:hint="eastAsia" w:ascii="宋体" w:hAnsi="宋体" w:cs="宋体"/>
                <w:color w:val="auto"/>
                <w:kern w:val="0"/>
                <w:szCs w:val="21"/>
                <w:highlight w:val="none"/>
              </w:rPr>
              <w:t>实际支出资金：一定时期（本年度或项目期）内项目实际拨付的资金。</w:t>
            </w:r>
          </w:p>
        </w:tc>
        <w:tc>
          <w:tcPr>
            <w:tcW w:w="677" w:type="dxa"/>
            <w:tcBorders>
              <w:tl2br w:val="nil"/>
              <w:tr2bl w:val="nil"/>
            </w:tcBorders>
            <w:shd w:val="clear" w:color="auto" w:fill="auto"/>
            <w:vAlign w:val="center"/>
          </w:tcPr>
          <w:p w14:paraId="02D1E659">
            <w:pPr>
              <w:widowControl/>
              <w:spacing w:line="0" w:lineRule="atLeast"/>
              <w:jc w:val="center"/>
              <w:rPr>
                <w:rFonts w:hint="default" w:ascii="宋体" w:hAnsi="宋体" w:eastAsia="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4.48</w:t>
            </w:r>
          </w:p>
        </w:tc>
        <w:tc>
          <w:tcPr>
            <w:tcW w:w="1303" w:type="dxa"/>
            <w:tcBorders>
              <w:tl2br w:val="nil"/>
              <w:tr2bl w:val="nil"/>
            </w:tcBorders>
            <w:shd w:val="clear" w:color="auto" w:fill="auto"/>
            <w:vAlign w:val="center"/>
          </w:tcPr>
          <w:p w14:paraId="3A0349E1">
            <w:pPr>
              <w:widowControl/>
              <w:spacing w:line="0" w:lineRule="atLeast"/>
              <w:jc w:val="center"/>
              <w:rPr>
                <w:rFonts w:hint="default" w:ascii="宋体" w:hAnsi="宋体" w:eastAsia="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89.56</w:t>
            </w:r>
          </w:p>
        </w:tc>
      </w:tr>
      <w:tr w14:paraId="617CFF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64" w:hRule="atLeast"/>
          <w:jc w:val="center"/>
        </w:trPr>
        <w:tc>
          <w:tcPr>
            <w:tcW w:w="0" w:type="auto"/>
            <w:vMerge w:val="continue"/>
            <w:tcBorders>
              <w:tl2br w:val="nil"/>
              <w:tr2bl w:val="nil"/>
            </w:tcBorders>
            <w:shd w:val="clear" w:color="auto" w:fill="FFFFFF"/>
            <w:vAlign w:val="center"/>
          </w:tcPr>
          <w:p w14:paraId="6C9D06C5">
            <w:pPr>
              <w:spacing w:line="0" w:lineRule="atLeast"/>
              <w:jc w:val="center"/>
              <w:rPr>
                <w:rFonts w:ascii="宋体" w:hAnsi="宋体" w:cs="宋体"/>
                <w:color w:val="auto"/>
                <w:kern w:val="0"/>
                <w:szCs w:val="21"/>
              </w:rPr>
            </w:pPr>
          </w:p>
        </w:tc>
        <w:tc>
          <w:tcPr>
            <w:tcW w:w="670" w:type="dxa"/>
            <w:tcBorders>
              <w:tl2br w:val="nil"/>
              <w:tr2bl w:val="nil"/>
            </w:tcBorders>
            <w:shd w:val="clear" w:color="auto" w:fill="FFFFFF"/>
            <w:vAlign w:val="center"/>
          </w:tcPr>
          <w:p w14:paraId="6426B48E">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资金管理</w:t>
            </w:r>
          </w:p>
        </w:tc>
        <w:tc>
          <w:tcPr>
            <w:tcW w:w="1004" w:type="dxa"/>
            <w:tcBorders>
              <w:tl2br w:val="nil"/>
              <w:tr2bl w:val="nil"/>
            </w:tcBorders>
            <w:shd w:val="clear" w:color="auto" w:fill="FFFFFF"/>
            <w:vAlign w:val="center"/>
          </w:tcPr>
          <w:p w14:paraId="39D83FFF">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资金使用</w:t>
            </w:r>
          </w:p>
          <w:p w14:paraId="6381F81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合规性</w:t>
            </w:r>
          </w:p>
        </w:tc>
        <w:tc>
          <w:tcPr>
            <w:tcW w:w="715" w:type="dxa"/>
            <w:tcBorders>
              <w:tl2br w:val="nil"/>
              <w:tr2bl w:val="nil"/>
            </w:tcBorders>
            <w:shd w:val="clear" w:color="000000" w:fill="FFFFFF"/>
          </w:tcPr>
          <w:p w14:paraId="15192B37">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038BC30C">
            <w:pPr>
              <w:widowControl/>
              <w:spacing w:line="0" w:lineRule="atLeast"/>
              <w:rPr>
                <w:rFonts w:ascii="宋体" w:hAnsi="宋体" w:cs="宋体"/>
                <w:color w:val="auto"/>
                <w:kern w:val="0"/>
                <w:szCs w:val="21"/>
              </w:rPr>
            </w:pPr>
            <w:r>
              <w:rPr>
                <w:rFonts w:hint="eastAsia" w:ascii="宋体" w:hAnsi="宋体" w:cs="宋体"/>
                <w:color w:val="auto"/>
                <w:kern w:val="0"/>
                <w:szCs w:val="21"/>
              </w:rPr>
              <w:t>项目资金使用是否符合相关的财务管理制度规定，用以反映和考核项目资金的规范运行情况。</w:t>
            </w:r>
          </w:p>
        </w:tc>
        <w:tc>
          <w:tcPr>
            <w:tcW w:w="5140" w:type="dxa"/>
            <w:tcBorders>
              <w:tl2br w:val="nil"/>
              <w:tr2bl w:val="nil"/>
            </w:tcBorders>
            <w:shd w:val="clear" w:color="000000" w:fill="FFFFFF"/>
            <w:vAlign w:val="center"/>
          </w:tcPr>
          <w:p w14:paraId="00CAF1B9">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5CE8F120">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①是否符合国家财经法规和财务管理制度以及有关专项资金管理办法的规定；</w:t>
            </w:r>
          </w:p>
          <w:p w14:paraId="46B986D6">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②资金的拨付是否有完整的审批程序和手续；</w:t>
            </w:r>
          </w:p>
          <w:p w14:paraId="45379C07">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③是否符合项目预算批复或合同规定的用途；</w:t>
            </w:r>
          </w:p>
          <w:p w14:paraId="5229F5EF">
            <w:pPr>
              <w:widowControl/>
              <w:spacing w:line="0" w:lineRule="atLeast"/>
              <w:rPr>
                <w:rFonts w:ascii="宋体" w:hAnsi="宋体" w:cs="宋体"/>
                <w:color w:val="auto"/>
                <w:kern w:val="0"/>
                <w:szCs w:val="21"/>
              </w:rPr>
            </w:pPr>
            <w:r>
              <w:rPr>
                <w:rFonts w:hint="eastAsia" w:ascii="宋体" w:hAnsi="宋体" w:cs="宋体"/>
                <w:color w:val="auto"/>
                <w:kern w:val="0"/>
                <w:szCs w:val="21"/>
              </w:rPr>
              <w:t>④是否存在截留、挤占、挪用、虚列支出等情况。</w:t>
            </w:r>
          </w:p>
        </w:tc>
        <w:tc>
          <w:tcPr>
            <w:tcW w:w="677" w:type="dxa"/>
            <w:tcBorders>
              <w:tl2br w:val="nil"/>
              <w:tr2bl w:val="nil"/>
            </w:tcBorders>
            <w:shd w:val="clear" w:color="000000" w:fill="FFFFFF"/>
            <w:vAlign w:val="center"/>
          </w:tcPr>
          <w:p w14:paraId="2F6E58EB">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00AE06B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项目资金使用符合相关财务管理制度</w:t>
            </w:r>
          </w:p>
        </w:tc>
      </w:tr>
      <w:tr w14:paraId="50E644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333" w:hRule="atLeast"/>
          <w:jc w:val="center"/>
        </w:trPr>
        <w:tc>
          <w:tcPr>
            <w:tcW w:w="0" w:type="auto"/>
            <w:vMerge w:val="continue"/>
            <w:tcBorders>
              <w:tl2br w:val="nil"/>
              <w:tr2bl w:val="nil"/>
            </w:tcBorders>
            <w:shd w:val="clear" w:color="auto" w:fill="FFFFFF"/>
            <w:vAlign w:val="center"/>
          </w:tcPr>
          <w:p w14:paraId="4C3C79D3">
            <w:pPr>
              <w:spacing w:line="0" w:lineRule="atLeast"/>
              <w:jc w:val="center"/>
              <w:rPr>
                <w:rFonts w:ascii="宋体" w:hAnsi="宋体" w:cs="宋体"/>
                <w:color w:val="auto"/>
                <w:kern w:val="0"/>
                <w:szCs w:val="21"/>
              </w:rPr>
            </w:pPr>
          </w:p>
        </w:tc>
        <w:tc>
          <w:tcPr>
            <w:tcW w:w="670" w:type="dxa"/>
            <w:vMerge w:val="restart"/>
            <w:tcBorders>
              <w:tl2br w:val="nil"/>
              <w:tr2bl w:val="nil"/>
            </w:tcBorders>
            <w:shd w:val="clear" w:color="auto" w:fill="FFFFFF"/>
            <w:vAlign w:val="center"/>
          </w:tcPr>
          <w:p w14:paraId="5643A071">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组织实施</w:t>
            </w:r>
          </w:p>
          <w:p w14:paraId="62C449A3">
            <w:pPr>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1B7EB2E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管理制度</w:t>
            </w:r>
          </w:p>
          <w:p w14:paraId="1F6576FA">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健全性</w:t>
            </w:r>
          </w:p>
        </w:tc>
        <w:tc>
          <w:tcPr>
            <w:tcW w:w="715" w:type="dxa"/>
            <w:tcBorders>
              <w:tl2br w:val="nil"/>
              <w:tr2bl w:val="nil"/>
            </w:tcBorders>
            <w:shd w:val="clear" w:color="000000" w:fill="FFFFFF"/>
          </w:tcPr>
          <w:p w14:paraId="26949D02">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10C41409">
            <w:pPr>
              <w:widowControl/>
              <w:spacing w:line="0" w:lineRule="atLeast"/>
              <w:rPr>
                <w:rFonts w:ascii="宋体" w:hAnsi="宋体" w:cs="宋体"/>
                <w:color w:val="auto"/>
                <w:kern w:val="0"/>
                <w:szCs w:val="21"/>
              </w:rPr>
            </w:pPr>
            <w:r>
              <w:rPr>
                <w:rFonts w:hint="eastAsia" w:ascii="宋体" w:hAnsi="宋体" w:cs="宋体"/>
                <w:color w:val="auto"/>
                <w:kern w:val="0"/>
                <w:szCs w:val="21"/>
              </w:rPr>
              <w:t>项目实施单位的财务和业务管理制度是否健全，用以反映和考核财务和业务管理制度对项目顺利实施的保障情况。</w:t>
            </w:r>
          </w:p>
        </w:tc>
        <w:tc>
          <w:tcPr>
            <w:tcW w:w="5140" w:type="dxa"/>
            <w:tcBorders>
              <w:tl2br w:val="nil"/>
              <w:tr2bl w:val="nil"/>
            </w:tcBorders>
            <w:shd w:val="clear" w:color="000000" w:fill="FFFFFF"/>
            <w:vAlign w:val="center"/>
          </w:tcPr>
          <w:p w14:paraId="62C1D4CD">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46C3A443">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①是否已制定或具有相应的财务和业务管理制度；</w:t>
            </w:r>
          </w:p>
          <w:p w14:paraId="2B2BB08C">
            <w:pPr>
              <w:widowControl/>
              <w:spacing w:line="0" w:lineRule="atLeast"/>
              <w:rPr>
                <w:rFonts w:ascii="宋体" w:hAnsi="宋体" w:cs="宋体"/>
                <w:color w:val="auto"/>
                <w:kern w:val="0"/>
                <w:szCs w:val="21"/>
              </w:rPr>
            </w:pPr>
            <w:r>
              <w:rPr>
                <w:rFonts w:hint="eastAsia" w:ascii="宋体" w:hAnsi="宋体" w:cs="宋体"/>
                <w:color w:val="auto"/>
                <w:kern w:val="0"/>
                <w:szCs w:val="21"/>
              </w:rPr>
              <w:t>②财务和业务管理制度是否合法、合规、完整。</w:t>
            </w:r>
          </w:p>
        </w:tc>
        <w:tc>
          <w:tcPr>
            <w:tcW w:w="677" w:type="dxa"/>
            <w:tcBorders>
              <w:tl2br w:val="nil"/>
              <w:tr2bl w:val="nil"/>
            </w:tcBorders>
            <w:shd w:val="clear" w:color="000000" w:fill="FFFFFF"/>
            <w:vAlign w:val="center"/>
          </w:tcPr>
          <w:p w14:paraId="7D639F1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064AF58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制定财务和业务管理制度</w:t>
            </w:r>
          </w:p>
        </w:tc>
      </w:tr>
      <w:tr w14:paraId="467ECC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68" w:hRule="atLeast"/>
          <w:jc w:val="center"/>
        </w:trPr>
        <w:tc>
          <w:tcPr>
            <w:tcW w:w="0" w:type="auto"/>
            <w:vMerge w:val="continue"/>
            <w:tcBorders>
              <w:tl2br w:val="nil"/>
              <w:tr2bl w:val="nil"/>
            </w:tcBorders>
            <w:shd w:val="clear" w:color="auto" w:fill="FFFFFF"/>
            <w:vAlign w:val="center"/>
          </w:tcPr>
          <w:p w14:paraId="47AFF498">
            <w:pPr>
              <w:widowControl/>
              <w:spacing w:line="0" w:lineRule="atLeast"/>
              <w:jc w:val="center"/>
              <w:rPr>
                <w:rFonts w:ascii="宋体" w:hAnsi="宋体" w:cs="宋体"/>
                <w:color w:val="auto"/>
                <w:kern w:val="0"/>
                <w:szCs w:val="21"/>
              </w:rPr>
            </w:pPr>
          </w:p>
        </w:tc>
        <w:tc>
          <w:tcPr>
            <w:tcW w:w="670" w:type="dxa"/>
            <w:vMerge w:val="continue"/>
            <w:tcBorders>
              <w:tl2br w:val="nil"/>
              <w:tr2bl w:val="nil"/>
            </w:tcBorders>
            <w:shd w:val="clear" w:color="auto" w:fill="FFFFFF"/>
            <w:vAlign w:val="center"/>
          </w:tcPr>
          <w:p w14:paraId="33CA94B5">
            <w:pPr>
              <w:widowControl/>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7868285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制度执行</w:t>
            </w:r>
          </w:p>
          <w:p w14:paraId="4D71CBD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有效性</w:t>
            </w:r>
          </w:p>
        </w:tc>
        <w:tc>
          <w:tcPr>
            <w:tcW w:w="715" w:type="dxa"/>
            <w:tcBorders>
              <w:tl2br w:val="nil"/>
              <w:tr2bl w:val="nil"/>
            </w:tcBorders>
            <w:shd w:val="clear" w:color="000000" w:fill="FFFFFF"/>
          </w:tcPr>
          <w:p w14:paraId="4EBBA0E9">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584DFF5D">
            <w:pPr>
              <w:widowControl/>
              <w:spacing w:line="0" w:lineRule="atLeast"/>
              <w:rPr>
                <w:rFonts w:ascii="宋体" w:hAnsi="宋体" w:cs="宋体"/>
                <w:color w:val="auto"/>
                <w:kern w:val="0"/>
                <w:szCs w:val="21"/>
              </w:rPr>
            </w:pPr>
            <w:r>
              <w:rPr>
                <w:rFonts w:hint="eastAsia" w:ascii="宋体" w:hAnsi="宋体" w:cs="宋体"/>
                <w:color w:val="auto"/>
                <w:kern w:val="0"/>
                <w:szCs w:val="21"/>
              </w:rPr>
              <w:t>项目实施是否符合相关管理规定，用以反映和考核相关管理制度的有效执行情况。</w:t>
            </w:r>
          </w:p>
        </w:tc>
        <w:tc>
          <w:tcPr>
            <w:tcW w:w="5140" w:type="dxa"/>
            <w:tcBorders>
              <w:tl2br w:val="nil"/>
              <w:tr2bl w:val="nil"/>
            </w:tcBorders>
            <w:shd w:val="clear" w:color="000000" w:fill="FFFFFF"/>
            <w:vAlign w:val="center"/>
          </w:tcPr>
          <w:p w14:paraId="2ED2D1C0">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评价要点：</w:t>
            </w:r>
          </w:p>
          <w:p w14:paraId="077B2DE2">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①是否遵守相关法律法规和相关管理规定；</w:t>
            </w:r>
          </w:p>
          <w:p w14:paraId="764030FB">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②项目调整及支出调整手续是否完备；</w:t>
            </w:r>
          </w:p>
          <w:p w14:paraId="4F2D04C6">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③项目合同书、验收报告、技术鉴定等资料是否齐全并及时归档；</w:t>
            </w:r>
          </w:p>
          <w:p w14:paraId="6D830F76">
            <w:pPr>
              <w:widowControl/>
              <w:spacing w:line="0" w:lineRule="atLeast"/>
              <w:rPr>
                <w:rFonts w:ascii="宋体" w:hAnsi="宋体" w:cs="宋体"/>
                <w:color w:val="auto"/>
                <w:kern w:val="0"/>
                <w:szCs w:val="21"/>
              </w:rPr>
            </w:pPr>
            <w:r>
              <w:rPr>
                <w:rFonts w:hint="eastAsia" w:ascii="宋体" w:hAnsi="宋体" w:cs="宋体"/>
                <w:color w:val="auto"/>
                <w:kern w:val="0"/>
                <w:szCs w:val="21"/>
              </w:rPr>
              <w:t>④项目实施的人员条件、场地设备、信息支撑等是否落实到位。</w:t>
            </w:r>
          </w:p>
        </w:tc>
        <w:tc>
          <w:tcPr>
            <w:tcW w:w="677" w:type="dxa"/>
            <w:tcBorders>
              <w:tl2br w:val="nil"/>
              <w:tr2bl w:val="nil"/>
            </w:tcBorders>
            <w:shd w:val="clear" w:color="000000" w:fill="FFFFFF"/>
            <w:vAlign w:val="center"/>
          </w:tcPr>
          <w:p w14:paraId="3C89EBB6">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2096835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项目实施符合相关管理规定</w:t>
            </w:r>
          </w:p>
        </w:tc>
      </w:tr>
      <w:tr w14:paraId="1DA5A7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432" w:hRule="atLeast"/>
          <w:jc w:val="center"/>
        </w:trPr>
        <w:tc>
          <w:tcPr>
            <w:tcW w:w="0" w:type="auto"/>
            <w:vMerge w:val="restart"/>
            <w:tcBorders>
              <w:tl2br w:val="nil"/>
              <w:tr2bl w:val="nil"/>
            </w:tcBorders>
            <w:shd w:val="clear" w:color="auto" w:fill="FFFFFF"/>
            <w:vAlign w:val="center"/>
          </w:tcPr>
          <w:p w14:paraId="4E402646">
            <w:pPr>
              <w:widowControl/>
              <w:spacing w:line="0" w:lineRule="atLeast"/>
              <w:jc w:val="center"/>
              <w:rPr>
                <w:rFonts w:ascii="宋体" w:hAnsi="宋体" w:cs="宋体"/>
                <w:color w:val="auto"/>
                <w:kern w:val="0"/>
                <w:szCs w:val="21"/>
              </w:rPr>
            </w:pPr>
          </w:p>
          <w:p w14:paraId="7708CD88">
            <w:pPr>
              <w:spacing w:line="0" w:lineRule="atLeast"/>
              <w:jc w:val="center"/>
              <w:rPr>
                <w:rFonts w:ascii="宋体" w:hAnsi="宋体" w:cs="宋体"/>
                <w:color w:val="auto"/>
                <w:kern w:val="0"/>
                <w:szCs w:val="21"/>
              </w:rPr>
            </w:pPr>
            <w:r>
              <w:rPr>
                <w:rFonts w:hint="eastAsia" w:ascii="宋体" w:hAnsi="宋体" w:cs="宋体"/>
                <w:color w:val="auto"/>
                <w:kern w:val="0"/>
                <w:szCs w:val="21"/>
              </w:rPr>
              <w:t>产出（20%）</w:t>
            </w:r>
          </w:p>
        </w:tc>
        <w:tc>
          <w:tcPr>
            <w:tcW w:w="670" w:type="dxa"/>
            <w:tcBorders>
              <w:tl2br w:val="nil"/>
              <w:tr2bl w:val="nil"/>
            </w:tcBorders>
            <w:shd w:val="clear" w:color="auto" w:fill="FFFFFF"/>
            <w:vAlign w:val="center"/>
          </w:tcPr>
          <w:p w14:paraId="7E529351">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产出数量</w:t>
            </w:r>
          </w:p>
        </w:tc>
        <w:tc>
          <w:tcPr>
            <w:tcW w:w="1004" w:type="dxa"/>
            <w:tcBorders>
              <w:tl2br w:val="nil"/>
              <w:tr2bl w:val="nil"/>
            </w:tcBorders>
            <w:shd w:val="clear" w:color="auto" w:fill="FFFFFF"/>
            <w:vAlign w:val="center"/>
          </w:tcPr>
          <w:p w14:paraId="2EE0353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实际完成率</w:t>
            </w:r>
          </w:p>
        </w:tc>
        <w:tc>
          <w:tcPr>
            <w:tcW w:w="715" w:type="dxa"/>
            <w:tcBorders>
              <w:tl2br w:val="nil"/>
              <w:tr2bl w:val="nil"/>
            </w:tcBorders>
            <w:shd w:val="clear" w:color="000000" w:fill="FFFFFF"/>
          </w:tcPr>
          <w:p w14:paraId="69446E95">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71A79D22">
            <w:pPr>
              <w:widowControl/>
              <w:spacing w:line="0" w:lineRule="atLeast"/>
              <w:rPr>
                <w:rFonts w:ascii="宋体" w:hAnsi="宋体" w:cs="宋体"/>
                <w:color w:val="auto"/>
                <w:kern w:val="0"/>
                <w:szCs w:val="21"/>
              </w:rPr>
            </w:pPr>
            <w:r>
              <w:rPr>
                <w:rFonts w:hint="eastAsia" w:ascii="宋体" w:hAnsi="宋体" w:cs="宋体"/>
                <w:color w:val="auto"/>
                <w:kern w:val="0"/>
                <w:szCs w:val="21"/>
              </w:rPr>
              <w:t>项目实施的实际产出数与计划产出数的比率，用以反映和考核项目产出数量目标的实现程度。</w:t>
            </w:r>
          </w:p>
        </w:tc>
        <w:tc>
          <w:tcPr>
            <w:tcW w:w="5140" w:type="dxa"/>
            <w:tcBorders>
              <w:tl2br w:val="nil"/>
              <w:tr2bl w:val="nil"/>
            </w:tcBorders>
            <w:shd w:val="clear" w:color="000000" w:fill="FFFFFF"/>
            <w:vAlign w:val="center"/>
          </w:tcPr>
          <w:p w14:paraId="50D5B475">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实际完成率=（实际产出数/计划产出数）×100%。</w:t>
            </w:r>
          </w:p>
          <w:p w14:paraId="5DE849C7">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实际产出数：一定时期（本年度或项目期）内项目实际产出的产品或提供的服务数量。</w:t>
            </w:r>
          </w:p>
          <w:p w14:paraId="6F0C847A">
            <w:pPr>
              <w:widowControl/>
              <w:spacing w:line="0" w:lineRule="atLeast"/>
              <w:rPr>
                <w:rFonts w:ascii="宋体" w:hAnsi="宋体" w:cs="宋体"/>
                <w:color w:val="auto"/>
                <w:kern w:val="0"/>
                <w:szCs w:val="21"/>
              </w:rPr>
            </w:pPr>
            <w:r>
              <w:rPr>
                <w:rFonts w:hint="eastAsia" w:ascii="宋体" w:hAnsi="宋体" w:cs="宋体"/>
                <w:color w:val="auto"/>
                <w:kern w:val="0"/>
                <w:szCs w:val="21"/>
              </w:rPr>
              <w:t>计划产出数：项目绩效目标确定的在一定时期（本年度或项目期）内计划产出的产品或提供的服务数量。</w:t>
            </w:r>
          </w:p>
        </w:tc>
        <w:tc>
          <w:tcPr>
            <w:tcW w:w="677" w:type="dxa"/>
            <w:tcBorders>
              <w:tl2br w:val="nil"/>
              <w:tr2bl w:val="nil"/>
            </w:tcBorders>
            <w:shd w:val="clear" w:color="000000" w:fill="FFFFFF"/>
            <w:vAlign w:val="center"/>
          </w:tcPr>
          <w:p w14:paraId="7A6B241C">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2DD9ADD1">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100%</w:t>
            </w:r>
          </w:p>
        </w:tc>
      </w:tr>
      <w:tr w14:paraId="7658A6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279" w:hRule="atLeast"/>
          <w:jc w:val="center"/>
        </w:trPr>
        <w:tc>
          <w:tcPr>
            <w:tcW w:w="0" w:type="auto"/>
            <w:vMerge w:val="continue"/>
            <w:tcBorders>
              <w:tl2br w:val="nil"/>
              <w:tr2bl w:val="nil"/>
            </w:tcBorders>
            <w:shd w:val="clear" w:color="auto" w:fill="FFFFFF"/>
            <w:vAlign w:val="center"/>
          </w:tcPr>
          <w:p w14:paraId="437A3C77">
            <w:pPr>
              <w:widowControl/>
              <w:spacing w:line="0" w:lineRule="atLeast"/>
              <w:jc w:val="center"/>
              <w:rPr>
                <w:rFonts w:ascii="宋体" w:hAnsi="宋体" w:cs="宋体"/>
                <w:color w:val="auto"/>
                <w:kern w:val="0"/>
                <w:szCs w:val="21"/>
              </w:rPr>
            </w:pPr>
          </w:p>
        </w:tc>
        <w:tc>
          <w:tcPr>
            <w:tcW w:w="670" w:type="dxa"/>
            <w:tcBorders>
              <w:tl2br w:val="nil"/>
              <w:tr2bl w:val="nil"/>
            </w:tcBorders>
            <w:shd w:val="clear" w:color="auto" w:fill="FFFFFF"/>
            <w:vAlign w:val="center"/>
          </w:tcPr>
          <w:p w14:paraId="25415090">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产出质量</w:t>
            </w:r>
          </w:p>
        </w:tc>
        <w:tc>
          <w:tcPr>
            <w:tcW w:w="1004" w:type="dxa"/>
            <w:tcBorders>
              <w:tl2br w:val="nil"/>
              <w:tr2bl w:val="nil"/>
            </w:tcBorders>
            <w:shd w:val="clear" w:color="auto" w:fill="FFFFFF"/>
            <w:vAlign w:val="center"/>
          </w:tcPr>
          <w:p w14:paraId="45029A1C">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质量达标率</w:t>
            </w:r>
          </w:p>
        </w:tc>
        <w:tc>
          <w:tcPr>
            <w:tcW w:w="715" w:type="dxa"/>
            <w:tcBorders>
              <w:tl2br w:val="nil"/>
              <w:tr2bl w:val="nil"/>
            </w:tcBorders>
            <w:shd w:val="clear" w:color="000000" w:fill="FFFFFF"/>
          </w:tcPr>
          <w:p w14:paraId="54BDBBE7">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699A0B5B">
            <w:pPr>
              <w:widowControl/>
              <w:spacing w:line="0" w:lineRule="atLeast"/>
              <w:rPr>
                <w:rFonts w:ascii="宋体" w:hAnsi="宋体" w:cs="宋体"/>
                <w:color w:val="auto"/>
                <w:kern w:val="0"/>
                <w:szCs w:val="21"/>
              </w:rPr>
            </w:pPr>
            <w:r>
              <w:rPr>
                <w:rFonts w:hint="eastAsia" w:ascii="宋体" w:hAnsi="宋体" w:cs="宋体"/>
                <w:color w:val="auto"/>
                <w:kern w:val="0"/>
                <w:szCs w:val="21"/>
              </w:rPr>
              <w:t>项目完成的质量达标产出数与实际产出数的比率，用以反映和考核项目产出质量目标的实现程度。</w:t>
            </w:r>
          </w:p>
        </w:tc>
        <w:tc>
          <w:tcPr>
            <w:tcW w:w="5140" w:type="dxa"/>
            <w:tcBorders>
              <w:tl2br w:val="nil"/>
              <w:tr2bl w:val="nil"/>
            </w:tcBorders>
            <w:shd w:val="clear" w:color="000000" w:fill="FFFFFF"/>
            <w:vAlign w:val="center"/>
          </w:tcPr>
          <w:p w14:paraId="62AF4F5D">
            <w:pPr>
              <w:widowControl/>
              <w:spacing w:line="0" w:lineRule="atLeast"/>
              <w:rPr>
                <w:rFonts w:ascii="宋体" w:hAnsi="宋体" w:cs="宋体"/>
                <w:color w:val="auto"/>
                <w:kern w:val="0"/>
                <w:szCs w:val="21"/>
              </w:rPr>
            </w:pPr>
            <w:r>
              <w:rPr>
                <w:rFonts w:hint="eastAsia" w:ascii="宋体" w:hAnsi="宋体" w:cs="宋体"/>
                <w:color w:val="auto"/>
                <w:kern w:val="0"/>
                <w:szCs w:val="21"/>
              </w:rPr>
              <w:t>质量达标率=（质量达标产出数/实际产出数）×100%。</w:t>
            </w:r>
          </w:p>
          <w:p w14:paraId="663B3FF8">
            <w:pPr>
              <w:widowControl/>
              <w:spacing w:line="0" w:lineRule="atLeast"/>
              <w:rPr>
                <w:rFonts w:ascii="宋体" w:hAnsi="宋体" w:cs="宋体"/>
                <w:color w:val="auto"/>
                <w:kern w:val="0"/>
                <w:szCs w:val="21"/>
              </w:rPr>
            </w:pPr>
            <w:r>
              <w:rPr>
                <w:rFonts w:hint="eastAsia" w:ascii="宋体" w:hAnsi="宋体" w:cs="宋体"/>
                <w:color w:val="auto"/>
                <w:kern w:val="0"/>
                <w:szCs w:val="21"/>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c>
          <w:tcPr>
            <w:tcW w:w="677" w:type="dxa"/>
            <w:tcBorders>
              <w:tl2br w:val="nil"/>
              <w:tr2bl w:val="nil"/>
            </w:tcBorders>
            <w:shd w:val="clear" w:color="000000" w:fill="FFFFFF"/>
            <w:vAlign w:val="center"/>
          </w:tcPr>
          <w:p w14:paraId="03CAF2BA">
            <w:pPr>
              <w:widowControl/>
              <w:spacing w:line="0" w:lineRule="atLeast"/>
              <w:jc w:val="center"/>
              <w:rPr>
                <w:rFonts w:hint="eastAsia" w:ascii="宋体" w:hAnsi="宋体" w:eastAsia="宋体" w:cs="宋体"/>
                <w:color w:val="auto"/>
                <w:kern w:val="0"/>
                <w:szCs w:val="21"/>
                <w:lang w:eastAsia="zh-CN"/>
              </w:rPr>
            </w:pPr>
            <w:r>
              <w:rPr>
                <w:rFonts w:hint="eastAsia" w:ascii="宋体" w:hAnsi="宋体" w:cs="宋体"/>
                <w:color w:val="auto"/>
                <w:kern w:val="0"/>
                <w:szCs w:val="21"/>
                <w:lang w:val="en-US" w:eastAsia="zh-CN"/>
              </w:rPr>
              <w:t>5</w:t>
            </w:r>
          </w:p>
        </w:tc>
        <w:tc>
          <w:tcPr>
            <w:tcW w:w="1303" w:type="dxa"/>
            <w:tcBorders>
              <w:tl2br w:val="nil"/>
              <w:tr2bl w:val="nil"/>
            </w:tcBorders>
            <w:shd w:val="clear" w:color="000000" w:fill="FFFFFF"/>
            <w:vAlign w:val="center"/>
          </w:tcPr>
          <w:p w14:paraId="2FC3D619">
            <w:pPr>
              <w:widowControl/>
              <w:spacing w:line="0" w:lineRule="atLeast"/>
              <w:jc w:val="center"/>
              <w:rPr>
                <w:rFonts w:ascii="宋体" w:hAnsi="宋体" w:cs="宋体"/>
                <w:color w:val="auto"/>
                <w:kern w:val="0"/>
                <w:szCs w:val="21"/>
              </w:rPr>
            </w:pPr>
            <w:r>
              <w:rPr>
                <w:rFonts w:hint="eastAsia" w:ascii="宋体" w:hAnsi="宋体" w:cs="宋体"/>
                <w:color w:val="auto"/>
                <w:kern w:val="0"/>
                <w:szCs w:val="21"/>
                <w:lang w:val="en-US" w:eastAsia="zh-CN"/>
              </w:rPr>
              <w:t>100</w:t>
            </w:r>
            <w:r>
              <w:rPr>
                <w:rFonts w:hint="eastAsia" w:ascii="宋体" w:hAnsi="宋体" w:cs="宋体"/>
                <w:color w:val="auto"/>
                <w:kern w:val="0"/>
                <w:szCs w:val="21"/>
              </w:rPr>
              <w:t>%</w:t>
            </w:r>
          </w:p>
        </w:tc>
      </w:tr>
      <w:tr w14:paraId="5DD974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190" w:hRule="atLeast"/>
          <w:jc w:val="center"/>
        </w:trPr>
        <w:tc>
          <w:tcPr>
            <w:tcW w:w="0" w:type="auto"/>
            <w:vMerge w:val="continue"/>
            <w:tcBorders>
              <w:tl2br w:val="nil"/>
              <w:tr2bl w:val="nil"/>
            </w:tcBorders>
            <w:shd w:val="clear" w:color="auto" w:fill="FFFFFF"/>
            <w:vAlign w:val="center"/>
          </w:tcPr>
          <w:p w14:paraId="2C459E24">
            <w:pPr>
              <w:spacing w:line="0" w:lineRule="atLeast"/>
              <w:jc w:val="center"/>
              <w:rPr>
                <w:rFonts w:ascii="宋体" w:hAnsi="宋体" w:cs="宋体"/>
                <w:color w:val="auto"/>
                <w:kern w:val="0"/>
                <w:szCs w:val="21"/>
              </w:rPr>
            </w:pPr>
          </w:p>
        </w:tc>
        <w:tc>
          <w:tcPr>
            <w:tcW w:w="670" w:type="dxa"/>
            <w:tcBorders>
              <w:tl2br w:val="nil"/>
              <w:tr2bl w:val="nil"/>
            </w:tcBorders>
            <w:shd w:val="clear" w:color="auto" w:fill="FFFFFF"/>
            <w:vAlign w:val="center"/>
          </w:tcPr>
          <w:p w14:paraId="61F89A7F">
            <w:pPr>
              <w:spacing w:line="0" w:lineRule="atLeast"/>
              <w:jc w:val="center"/>
              <w:rPr>
                <w:rFonts w:ascii="宋体" w:hAnsi="宋体" w:cs="宋体"/>
                <w:color w:val="auto"/>
                <w:kern w:val="0"/>
                <w:szCs w:val="21"/>
              </w:rPr>
            </w:pPr>
            <w:r>
              <w:rPr>
                <w:rFonts w:hint="eastAsia" w:ascii="宋体" w:hAnsi="宋体" w:cs="宋体"/>
                <w:color w:val="auto"/>
                <w:kern w:val="0"/>
                <w:szCs w:val="21"/>
              </w:rPr>
              <w:t>产出时效</w:t>
            </w:r>
          </w:p>
        </w:tc>
        <w:tc>
          <w:tcPr>
            <w:tcW w:w="1004" w:type="dxa"/>
            <w:tcBorders>
              <w:tl2br w:val="nil"/>
              <w:tr2bl w:val="nil"/>
            </w:tcBorders>
            <w:shd w:val="clear" w:color="auto" w:fill="FFFFFF"/>
            <w:vAlign w:val="center"/>
          </w:tcPr>
          <w:p w14:paraId="2D59185E">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完成及时性</w:t>
            </w:r>
          </w:p>
        </w:tc>
        <w:tc>
          <w:tcPr>
            <w:tcW w:w="715" w:type="dxa"/>
            <w:tcBorders>
              <w:tl2br w:val="nil"/>
              <w:tr2bl w:val="nil"/>
            </w:tcBorders>
            <w:shd w:val="clear" w:color="000000" w:fill="FFFFFF"/>
          </w:tcPr>
          <w:p w14:paraId="1E2BF122">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63AF6713">
            <w:pPr>
              <w:widowControl/>
              <w:spacing w:line="0" w:lineRule="atLeast"/>
              <w:rPr>
                <w:rFonts w:ascii="宋体" w:hAnsi="宋体" w:cs="宋体"/>
                <w:color w:val="auto"/>
                <w:kern w:val="0"/>
                <w:szCs w:val="21"/>
              </w:rPr>
            </w:pPr>
            <w:r>
              <w:rPr>
                <w:rFonts w:hint="eastAsia" w:ascii="宋体" w:hAnsi="宋体" w:cs="宋体"/>
                <w:color w:val="auto"/>
                <w:kern w:val="0"/>
                <w:szCs w:val="21"/>
              </w:rPr>
              <w:t>项目实际完成时间与计划完成时间的比较，用以反映和考核项目产出时效目标的实现程度。</w:t>
            </w:r>
          </w:p>
        </w:tc>
        <w:tc>
          <w:tcPr>
            <w:tcW w:w="5140" w:type="dxa"/>
            <w:tcBorders>
              <w:tl2br w:val="nil"/>
              <w:tr2bl w:val="nil"/>
            </w:tcBorders>
            <w:shd w:val="clear" w:color="000000" w:fill="FFFFFF"/>
            <w:vAlign w:val="center"/>
          </w:tcPr>
          <w:p w14:paraId="1AA99D38">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实际完成时间：项目实施单位完成该项目实际所耗用的时间。</w:t>
            </w:r>
          </w:p>
          <w:p w14:paraId="51BEDEF4">
            <w:pPr>
              <w:widowControl/>
              <w:spacing w:line="0" w:lineRule="atLeast"/>
              <w:rPr>
                <w:rFonts w:ascii="宋体" w:hAnsi="宋体" w:cs="宋体"/>
                <w:color w:val="auto"/>
                <w:kern w:val="0"/>
                <w:szCs w:val="21"/>
              </w:rPr>
            </w:pPr>
            <w:r>
              <w:rPr>
                <w:rFonts w:hint="eastAsia" w:ascii="宋体" w:hAnsi="宋体" w:cs="宋体"/>
                <w:color w:val="auto"/>
                <w:kern w:val="0"/>
                <w:szCs w:val="21"/>
              </w:rPr>
              <w:t>计划完成时间：按照项目实施计划或相关规定完成该项目所需的时间。</w:t>
            </w:r>
          </w:p>
        </w:tc>
        <w:tc>
          <w:tcPr>
            <w:tcW w:w="677" w:type="dxa"/>
            <w:tcBorders>
              <w:tl2br w:val="nil"/>
              <w:tr2bl w:val="nil"/>
            </w:tcBorders>
            <w:shd w:val="clear" w:color="000000" w:fill="FFFFFF"/>
            <w:vAlign w:val="center"/>
          </w:tcPr>
          <w:p w14:paraId="0303E6E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5AA743BE">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及时</w:t>
            </w:r>
          </w:p>
        </w:tc>
      </w:tr>
      <w:tr w14:paraId="627461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739" w:hRule="atLeast"/>
          <w:jc w:val="center"/>
        </w:trPr>
        <w:tc>
          <w:tcPr>
            <w:tcW w:w="0" w:type="auto"/>
            <w:vMerge w:val="continue"/>
            <w:tcBorders>
              <w:tl2br w:val="nil"/>
              <w:tr2bl w:val="nil"/>
            </w:tcBorders>
            <w:shd w:val="clear" w:color="auto" w:fill="FFFFFF"/>
            <w:vAlign w:val="center"/>
          </w:tcPr>
          <w:p w14:paraId="216F4159">
            <w:pPr>
              <w:widowControl/>
              <w:spacing w:line="0" w:lineRule="atLeast"/>
              <w:jc w:val="center"/>
              <w:rPr>
                <w:rFonts w:ascii="宋体" w:hAnsi="宋体" w:cs="宋体"/>
                <w:color w:val="auto"/>
                <w:kern w:val="0"/>
                <w:szCs w:val="21"/>
              </w:rPr>
            </w:pPr>
          </w:p>
        </w:tc>
        <w:tc>
          <w:tcPr>
            <w:tcW w:w="670" w:type="dxa"/>
            <w:tcBorders>
              <w:tl2br w:val="nil"/>
              <w:tr2bl w:val="nil"/>
            </w:tcBorders>
            <w:shd w:val="clear" w:color="auto" w:fill="FFFFFF"/>
            <w:vAlign w:val="center"/>
          </w:tcPr>
          <w:p w14:paraId="6C77B6B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产出成本</w:t>
            </w:r>
          </w:p>
        </w:tc>
        <w:tc>
          <w:tcPr>
            <w:tcW w:w="1004" w:type="dxa"/>
            <w:tcBorders>
              <w:tl2br w:val="nil"/>
              <w:tr2bl w:val="nil"/>
            </w:tcBorders>
            <w:shd w:val="clear" w:color="auto" w:fill="FFFFFF"/>
            <w:vAlign w:val="center"/>
          </w:tcPr>
          <w:p w14:paraId="27816EA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成本节约率</w:t>
            </w:r>
          </w:p>
        </w:tc>
        <w:tc>
          <w:tcPr>
            <w:tcW w:w="715" w:type="dxa"/>
            <w:tcBorders>
              <w:tl2br w:val="nil"/>
              <w:tr2bl w:val="nil"/>
            </w:tcBorders>
            <w:shd w:val="clear" w:color="000000" w:fill="FFFFFF"/>
          </w:tcPr>
          <w:p w14:paraId="466F7019">
            <w:pPr>
              <w:widowControl/>
              <w:spacing w:line="0" w:lineRule="atLeast"/>
              <w:rPr>
                <w:rFonts w:ascii="宋体" w:hAnsi="宋体" w:cs="宋体"/>
                <w:color w:val="auto"/>
                <w:kern w:val="0"/>
                <w:szCs w:val="21"/>
              </w:rPr>
            </w:pPr>
            <w:r>
              <w:rPr>
                <w:rFonts w:hint="eastAsia" w:ascii="宋体" w:hAnsi="宋体" w:cs="宋体"/>
                <w:color w:val="auto"/>
                <w:kern w:val="0"/>
                <w:szCs w:val="21"/>
              </w:rPr>
              <w:t>5</w:t>
            </w:r>
          </w:p>
        </w:tc>
        <w:tc>
          <w:tcPr>
            <w:tcW w:w="3158" w:type="dxa"/>
            <w:tcBorders>
              <w:tl2br w:val="nil"/>
              <w:tr2bl w:val="nil"/>
            </w:tcBorders>
            <w:shd w:val="clear" w:color="000000" w:fill="FFFFFF"/>
            <w:vAlign w:val="center"/>
          </w:tcPr>
          <w:p w14:paraId="2DB94168">
            <w:pPr>
              <w:widowControl/>
              <w:spacing w:line="0" w:lineRule="atLeast"/>
              <w:rPr>
                <w:rFonts w:ascii="宋体" w:hAnsi="宋体" w:cs="宋体"/>
                <w:color w:val="auto"/>
                <w:kern w:val="0"/>
                <w:szCs w:val="21"/>
              </w:rPr>
            </w:pPr>
            <w:r>
              <w:rPr>
                <w:rFonts w:hint="eastAsia" w:ascii="宋体" w:hAnsi="宋体" w:cs="宋体"/>
                <w:color w:val="auto"/>
                <w:kern w:val="0"/>
                <w:szCs w:val="21"/>
              </w:rPr>
              <w:t>完成项目计划工作目标的实际节约成本与计划成本的比率，用以反映和考核项目的成本节约程度。</w:t>
            </w:r>
          </w:p>
        </w:tc>
        <w:tc>
          <w:tcPr>
            <w:tcW w:w="5140" w:type="dxa"/>
            <w:tcBorders>
              <w:tl2br w:val="nil"/>
              <w:tr2bl w:val="nil"/>
            </w:tcBorders>
            <w:shd w:val="clear" w:color="000000" w:fill="FFFFFF"/>
            <w:vAlign w:val="center"/>
          </w:tcPr>
          <w:p w14:paraId="64CB0FF8">
            <w:pPr>
              <w:widowControl/>
              <w:spacing w:line="0" w:lineRule="atLeast"/>
              <w:rPr>
                <w:rFonts w:hint="eastAsia" w:ascii="宋体" w:hAnsi="宋体" w:eastAsia="宋体" w:cs="宋体"/>
                <w:color w:val="auto"/>
                <w:kern w:val="0"/>
                <w:szCs w:val="21"/>
                <w:lang w:eastAsia="zh-CN"/>
              </w:rPr>
            </w:pPr>
          </w:p>
          <w:p w14:paraId="3B4818EB">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成本节约率=</w:t>
            </w:r>
            <w:r>
              <w:rPr>
                <w:rFonts w:hint="eastAsia" w:ascii="宋体" w:hAnsi="宋体" w:cs="宋体"/>
                <w:color w:val="auto"/>
                <w:kern w:val="0"/>
                <w:szCs w:val="21"/>
                <w:lang w:eastAsia="zh-CN"/>
              </w:rPr>
              <w:t>〔</w:t>
            </w:r>
            <w:r>
              <w:rPr>
                <w:rFonts w:hint="eastAsia" w:ascii="宋体" w:hAnsi="宋体" w:cs="宋体"/>
                <w:color w:val="auto"/>
                <w:kern w:val="0"/>
                <w:szCs w:val="21"/>
              </w:rPr>
              <w:t>（计划成本-实际成本）/计划成本</w:t>
            </w:r>
            <w:r>
              <w:rPr>
                <w:rFonts w:hint="eastAsia" w:ascii="宋体" w:hAnsi="宋体" w:cs="宋体"/>
                <w:color w:val="auto"/>
                <w:kern w:val="0"/>
                <w:szCs w:val="21"/>
                <w:lang w:eastAsia="zh-CN"/>
              </w:rPr>
              <w:t>〕</w:t>
            </w:r>
            <w:r>
              <w:rPr>
                <w:rFonts w:hint="eastAsia" w:ascii="宋体" w:hAnsi="宋体" w:cs="宋体"/>
                <w:color w:val="auto"/>
                <w:kern w:val="0"/>
                <w:szCs w:val="21"/>
              </w:rPr>
              <w:t>×100%。</w:t>
            </w:r>
          </w:p>
          <w:p w14:paraId="01E93856">
            <w:pPr>
              <w:widowControl/>
              <w:spacing w:line="0" w:lineRule="atLeast"/>
              <w:rPr>
                <w:rFonts w:hint="eastAsia" w:ascii="宋体" w:hAnsi="宋体" w:eastAsia="宋体" w:cs="宋体"/>
                <w:color w:val="auto"/>
                <w:kern w:val="0"/>
                <w:szCs w:val="21"/>
                <w:lang w:eastAsia="zh-CN"/>
              </w:rPr>
            </w:pPr>
            <w:r>
              <w:rPr>
                <w:rFonts w:hint="eastAsia" w:ascii="宋体" w:hAnsi="宋体" w:cs="宋体"/>
                <w:color w:val="auto"/>
                <w:kern w:val="0"/>
                <w:szCs w:val="21"/>
              </w:rPr>
              <w:t>实际成本：项目实施单位如期、保质、保量完成既定工作目标实际所耗费的支出。</w:t>
            </w:r>
          </w:p>
          <w:p w14:paraId="649DEC9B">
            <w:pPr>
              <w:widowControl/>
              <w:spacing w:line="0" w:lineRule="atLeast"/>
              <w:rPr>
                <w:rFonts w:ascii="宋体" w:hAnsi="宋体" w:cs="宋体"/>
                <w:color w:val="auto"/>
                <w:kern w:val="0"/>
                <w:szCs w:val="21"/>
              </w:rPr>
            </w:pPr>
            <w:r>
              <w:rPr>
                <w:rFonts w:hint="eastAsia" w:ascii="宋体" w:hAnsi="宋体" w:cs="宋体"/>
                <w:color w:val="auto"/>
                <w:kern w:val="0"/>
                <w:szCs w:val="21"/>
              </w:rPr>
              <w:t>计划成本：项目实施单位为完成工作目标计划安排的支出，一般以项目预算为参考。</w:t>
            </w:r>
          </w:p>
        </w:tc>
        <w:tc>
          <w:tcPr>
            <w:tcW w:w="677" w:type="dxa"/>
            <w:tcBorders>
              <w:tl2br w:val="nil"/>
              <w:tr2bl w:val="nil"/>
            </w:tcBorders>
            <w:shd w:val="clear" w:color="000000" w:fill="FFFFFF"/>
            <w:vAlign w:val="center"/>
          </w:tcPr>
          <w:p w14:paraId="669F9644">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5</w:t>
            </w:r>
          </w:p>
        </w:tc>
        <w:tc>
          <w:tcPr>
            <w:tcW w:w="1303" w:type="dxa"/>
            <w:tcBorders>
              <w:tl2br w:val="nil"/>
              <w:tr2bl w:val="nil"/>
            </w:tcBorders>
            <w:shd w:val="clear" w:color="000000" w:fill="FFFFFF"/>
            <w:vAlign w:val="center"/>
          </w:tcPr>
          <w:p w14:paraId="6C4A624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按标准发放补贴</w:t>
            </w:r>
          </w:p>
        </w:tc>
      </w:tr>
      <w:tr w14:paraId="45A17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832" w:hRule="atLeast"/>
          <w:jc w:val="center"/>
        </w:trPr>
        <w:tc>
          <w:tcPr>
            <w:tcW w:w="0" w:type="auto"/>
            <w:vMerge w:val="restart"/>
            <w:tcBorders>
              <w:tl2br w:val="nil"/>
              <w:tr2bl w:val="nil"/>
            </w:tcBorders>
            <w:shd w:val="clear" w:color="auto" w:fill="FFFFFF"/>
            <w:vAlign w:val="center"/>
          </w:tcPr>
          <w:p w14:paraId="01795F79">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效益（40%）</w:t>
            </w:r>
          </w:p>
        </w:tc>
        <w:tc>
          <w:tcPr>
            <w:tcW w:w="670" w:type="dxa"/>
            <w:vMerge w:val="restart"/>
            <w:tcBorders>
              <w:tl2br w:val="nil"/>
              <w:tr2bl w:val="nil"/>
            </w:tcBorders>
            <w:shd w:val="clear" w:color="auto" w:fill="FFFFFF"/>
            <w:vAlign w:val="center"/>
          </w:tcPr>
          <w:p w14:paraId="5D40E34E">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项目效益</w:t>
            </w:r>
          </w:p>
        </w:tc>
        <w:tc>
          <w:tcPr>
            <w:tcW w:w="1004" w:type="dxa"/>
            <w:tcBorders>
              <w:tl2br w:val="nil"/>
              <w:tr2bl w:val="nil"/>
            </w:tcBorders>
            <w:shd w:val="clear" w:color="auto" w:fill="FFFFFF"/>
            <w:vAlign w:val="center"/>
          </w:tcPr>
          <w:p w14:paraId="11C8D9AA">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实施效益</w:t>
            </w:r>
          </w:p>
        </w:tc>
        <w:tc>
          <w:tcPr>
            <w:tcW w:w="715" w:type="dxa"/>
            <w:tcBorders>
              <w:tl2br w:val="nil"/>
              <w:tr2bl w:val="nil"/>
            </w:tcBorders>
            <w:shd w:val="clear" w:color="auto" w:fill="FFFFFF"/>
          </w:tcPr>
          <w:p w14:paraId="0281ECAA">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20</w:t>
            </w:r>
          </w:p>
        </w:tc>
        <w:tc>
          <w:tcPr>
            <w:tcW w:w="3158" w:type="dxa"/>
            <w:tcBorders>
              <w:tl2br w:val="nil"/>
              <w:tr2bl w:val="nil"/>
            </w:tcBorders>
            <w:shd w:val="clear" w:color="auto" w:fill="FFFFFF"/>
            <w:vAlign w:val="center"/>
          </w:tcPr>
          <w:p w14:paraId="2FBDF924">
            <w:pPr>
              <w:widowControl/>
              <w:spacing w:line="0" w:lineRule="atLeast"/>
              <w:jc w:val="left"/>
              <w:rPr>
                <w:rFonts w:ascii="宋体" w:hAnsi="宋体" w:cs="宋体"/>
                <w:color w:val="auto"/>
                <w:kern w:val="0"/>
                <w:szCs w:val="21"/>
              </w:rPr>
            </w:pPr>
            <w:r>
              <w:rPr>
                <w:rFonts w:hint="eastAsia" w:ascii="宋体" w:hAnsi="宋体" w:cs="宋体"/>
                <w:color w:val="auto"/>
                <w:kern w:val="0"/>
                <w:szCs w:val="21"/>
              </w:rPr>
              <w:t>项目实施所产生的效益。</w:t>
            </w:r>
          </w:p>
        </w:tc>
        <w:tc>
          <w:tcPr>
            <w:tcW w:w="5140" w:type="dxa"/>
            <w:tcBorders>
              <w:tl2br w:val="nil"/>
              <w:tr2bl w:val="nil"/>
            </w:tcBorders>
            <w:shd w:val="clear" w:color="auto" w:fill="FFFFFF"/>
            <w:vAlign w:val="center"/>
          </w:tcPr>
          <w:p w14:paraId="258FDFD1">
            <w:pPr>
              <w:widowControl/>
              <w:spacing w:line="0" w:lineRule="atLeast"/>
              <w:rPr>
                <w:rFonts w:ascii="宋体" w:hAnsi="宋体" w:cs="宋体"/>
                <w:color w:val="auto"/>
                <w:kern w:val="0"/>
                <w:szCs w:val="21"/>
              </w:rPr>
            </w:pPr>
            <w:r>
              <w:rPr>
                <w:rFonts w:hint="eastAsia" w:ascii="宋体" w:hAnsi="宋体" w:cs="宋体"/>
                <w:color w:val="auto"/>
                <w:kern w:val="0"/>
                <w:szCs w:val="21"/>
              </w:rPr>
              <w:t>项目实施所产生的社会效益、经济效益、生态效益、可持续影响等。可根据项目实际情况有选择地设置和细化。</w:t>
            </w:r>
          </w:p>
        </w:tc>
        <w:tc>
          <w:tcPr>
            <w:tcW w:w="677" w:type="dxa"/>
            <w:tcBorders>
              <w:tl2br w:val="nil"/>
              <w:tr2bl w:val="nil"/>
            </w:tcBorders>
            <w:shd w:val="clear" w:color="auto" w:fill="FFFFFF"/>
            <w:vAlign w:val="center"/>
          </w:tcPr>
          <w:p w14:paraId="0294E948">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20</w:t>
            </w:r>
          </w:p>
        </w:tc>
        <w:tc>
          <w:tcPr>
            <w:tcW w:w="1303" w:type="dxa"/>
            <w:tcBorders>
              <w:tl2br w:val="nil"/>
              <w:tr2bl w:val="nil"/>
            </w:tcBorders>
            <w:shd w:val="clear" w:color="auto" w:fill="FFFFFF"/>
            <w:vAlign w:val="center"/>
          </w:tcPr>
          <w:p w14:paraId="11B08B15">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达到预期效益</w:t>
            </w:r>
          </w:p>
        </w:tc>
      </w:tr>
      <w:tr w14:paraId="731061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1501" w:hRule="atLeast"/>
          <w:jc w:val="center"/>
        </w:trPr>
        <w:tc>
          <w:tcPr>
            <w:tcW w:w="0" w:type="auto"/>
            <w:vMerge w:val="continue"/>
            <w:tcBorders>
              <w:tl2br w:val="nil"/>
              <w:tr2bl w:val="nil"/>
            </w:tcBorders>
            <w:shd w:val="clear" w:color="auto" w:fill="FFFFFF"/>
            <w:vAlign w:val="center"/>
          </w:tcPr>
          <w:p w14:paraId="2E3E2FD7">
            <w:pPr>
              <w:widowControl/>
              <w:spacing w:line="0" w:lineRule="atLeast"/>
              <w:jc w:val="center"/>
              <w:rPr>
                <w:rFonts w:ascii="宋体" w:hAnsi="宋体" w:cs="宋体"/>
                <w:color w:val="auto"/>
                <w:kern w:val="0"/>
                <w:szCs w:val="21"/>
              </w:rPr>
            </w:pPr>
          </w:p>
        </w:tc>
        <w:tc>
          <w:tcPr>
            <w:tcW w:w="670" w:type="dxa"/>
            <w:vMerge w:val="continue"/>
            <w:tcBorders>
              <w:tl2br w:val="nil"/>
              <w:tr2bl w:val="nil"/>
            </w:tcBorders>
            <w:shd w:val="clear" w:color="auto" w:fill="FFFFFF"/>
            <w:vAlign w:val="center"/>
          </w:tcPr>
          <w:p w14:paraId="0BF92892">
            <w:pPr>
              <w:widowControl/>
              <w:spacing w:line="0" w:lineRule="atLeast"/>
              <w:jc w:val="center"/>
              <w:rPr>
                <w:rFonts w:ascii="宋体" w:hAnsi="宋体" w:cs="宋体"/>
                <w:color w:val="auto"/>
                <w:kern w:val="0"/>
                <w:szCs w:val="21"/>
              </w:rPr>
            </w:pPr>
          </w:p>
        </w:tc>
        <w:tc>
          <w:tcPr>
            <w:tcW w:w="1004" w:type="dxa"/>
            <w:tcBorders>
              <w:tl2br w:val="nil"/>
              <w:tr2bl w:val="nil"/>
            </w:tcBorders>
            <w:shd w:val="clear" w:color="auto" w:fill="FFFFFF"/>
            <w:vAlign w:val="center"/>
          </w:tcPr>
          <w:p w14:paraId="7D03AB67">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满意度</w:t>
            </w:r>
          </w:p>
        </w:tc>
        <w:tc>
          <w:tcPr>
            <w:tcW w:w="715" w:type="dxa"/>
            <w:tcBorders>
              <w:tl2br w:val="nil"/>
              <w:tr2bl w:val="nil"/>
            </w:tcBorders>
            <w:shd w:val="clear" w:color="000000" w:fill="FFFFFF"/>
          </w:tcPr>
          <w:p w14:paraId="0644F8E4">
            <w:pPr>
              <w:widowControl/>
              <w:spacing w:line="0" w:lineRule="atLeast"/>
              <w:rPr>
                <w:rFonts w:ascii="宋体" w:hAnsi="宋体" w:cs="宋体"/>
                <w:color w:val="auto"/>
                <w:kern w:val="0"/>
                <w:szCs w:val="21"/>
              </w:rPr>
            </w:pPr>
            <w:r>
              <w:rPr>
                <w:rFonts w:hint="eastAsia" w:ascii="宋体" w:hAnsi="宋体" w:cs="宋体"/>
                <w:color w:val="auto"/>
                <w:kern w:val="0"/>
                <w:szCs w:val="21"/>
              </w:rPr>
              <w:t>20</w:t>
            </w:r>
          </w:p>
        </w:tc>
        <w:tc>
          <w:tcPr>
            <w:tcW w:w="3158" w:type="dxa"/>
            <w:tcBorders>
              <w:tl2br w:val="nil"/>
              <w:tr2bl w:val="nil"/>
            </w:tcBorders>
            <w:shd w:val="clear" w:color="000000" w:fill="FFFFFF"/>
            <w:vAlign w:val="center"/>
          </w:tcPr>
          <w:p w14:paraId="004AEDC0">
            <w:pPr>
              <w:widowControl/>
              <w:spacing w:line="0" w:lineRule="atLeast"/>
              <w:rPr>
                <w:rFonts w:ascii="宋体" w:hAnsi="宋体" w:cs="宋体"/>
                <w:color w:val="auto"/>
                <w:kern w:val="0"/>
                <w:szCs w:val="21"/>
              </w:rPr>
            </w:pPr>
            <w:r>
              <w:rPr>
                <w:rFonts w:hint="eastAsia" w:ascii="宋体" w:hAnsi="宋体" w:cs="宋体"/>
                <w:color w:val="auto"/>
                <w:kern w:val="0"/>
                <w:szCs w:val="21"/>
              </w:rPr>
              <w:t>社会公众或服务对象对项目实施效果的满意程度。</w:t>
            </w:r>
          </w:p>
        </w:tc>
        <w:tc>
          <w:tcPr>
            <w:tcW w:w="5140" w:type="dxa"/>
            <w:tcBorders>
              <w:tl2br w:val="nil"/>
              <w:tr2bl w:val="nil"/>
            </w:tcBorders>
            <w:shd w:val="clear" w:color="000000" w:fill="FFFFFF"/>
            <w:vAlign w:val="center"/>
          </w:tcPr>
          <w:p w14:paraId="5FF253ED">
            <w:pPr>
              <w:widowControl/>
              <w:spacing w:line="0" w:lineRule="atLeast"/>
              <w:rPr>
                <w:rFonts w:ascii="宋体" w:hAnsi="宋体" w:cs="宋体"/>
                <w:color w:val="auto"/>
                <w:kern w:val="0"/>
                <w:szCs w:val="21"/>
              </w:rPr>
            </w:pPr>
            <w:r>
              <w:rPr>
                <w:rFonts w:hint="eastAsia" w:ascii="宋体" w:hAnsi="宋体" w:cs="宋体"/>
                <w:color w:val="auto"/>
                <w:kern w:val="0"/>
                <w:szCs w:val="21"/>
              </w:rPr>
              <w:t>社会公众或服务对象是指因该项目实施而受到影响的部门（单位）、群体或个人。一般采取社会调查的方式。</w:t>
            </w:r>
          </w:p>
        </w:tc>
        <w:tc>
          <w:tcPr>
            <w:tcW w:w="677" w:type="dxa"/>
            <w:tcBorders>
              <w:tl2br w:val="nil"/>
              <w:tr2bl w:val="nil"/>
            </w:tcBorders>
            <w:shd w:val="clear" w:color="000000" w:fill="FFFFFF"/>
            <w:vAlign w:val="center"/>
          </w:tcPr>
          <w:p w14:paraId="29EA76B3">
            <w:pPr>
              <w:widowControl/>
              <w:spacing w:line="0" w:lineRule="atLeast"/>
              <w:jc w:val="center"/>
              <w:rPr>
                <w:rFonts w:ascii="宋体" w:hAnsi="宋体" w:cs="宋体"/>
                <w:color w:val="auto"/>
                <w:kern w:val="0"/>
                <w:szCs w:val="21"/>
              </w:rPr>
            </w:pPr>
            <w:r>
              <w:rPr>
                <w:rFonts w:hint="eastAsia" w:ascii="宋体" w:hAnsi="宋体" w:cs="宋体"/>
                <w:color w:val="auto"/>
                <w:kern w:val="0"/>
                <w:szCs w:val="21"/>
              </w:rPr>
              <w:t>20</w:t>
            </w:r>
          </w:p>
        </w:tc>
        <w:tc>
          <w:tcPr>
            <w:tcW w:w="1303" w:type="dxa"/>
            <w:tcBorders>
              <w:tl2br w:val="nil"/>
              <w:tr2bl w:val="nil"/>
            </w:tcBorders>
            <w:shd w:val="clear" w:color="000000" w:fill="FFFFFF"/>
            <w:vAlign w:val="center"/>
          </w:tcPr>
          <w:p w14:paraId="25A18A8F">
            <w:pPr>
              <w:widowControl/>
              <w:spacing w:line="0" w:lineRule="atLeast"/>
              <w:jc w:val="center"/>
              <w:rPr>
                <w:rFonts w:ascii="宋体" w:hAnsi="宋体" w:cs="宋体"/>
                <w:color w:val="auto"/>
                <w:kern w:val="0"/>
                <w:szCs w:val="21"/>
              </w:rPr>
            </w:pPr>
            <w:r>
              <w:rPr>
                <w:rFonts w:hint="eastAsia" w:ascii="宋体" w:hAnsi="宋体" w:cs="宋体"/>
                <w:color w:val="auto"/>
                <w:kern w:val="0"/>
                <w:szCs w:val="21"/>
                <w:lang w:val="en-US" w:eastAsia="zh-CN"/>
              </w:rPr>
              <w:t>100</w:t>
            </w:r>
            <w:r>
              <w:rPr>
                <w:rFonts w:hint="eastAsia" w:ascii="宋体" w:hAnsi="宋体" w:cs="宋体"/>
                <w:color w:val="auto"/>
                <w:kern w:val="0"/>
                <w:szCs w:val="21"/>
              </w:rPr>
              <w:t>%</w:t>
            </w:r>
          </w:p>
        </w:tc>
      </w:tr>
    </w:tbl>
    <w:p w14:paraId="369550EC">
      <w:pPr>
        <w:rPr>
          <w:color w:val="auto"/>
        </w:rPr>
      </w:pPr>
      <w:r>
        <w:rPr>
          <w:rFonts w:hint="eastAsia"/>
          <w:color w:val="auto"/>
          <w:szCs w:val="21"/>
        </w:rPr>
        <w:t>备注：1.本体系为参考性框架模式，主要用于在设置具体共性指标时的指导和参考，并需根据实际工作的进展不断予以完善。评价实施方既要以体系为参考，从中灵活选取或修改最能体现项目特点的共性指标，更要针对具体项目性质和内容，进行补充、细化个性绩效评价指标。注意指标设置的合理性和目标值表述的规范性</w:t>
      </w:r>
    </w:p>
    <w:sectPr>
      <w:pgSz w:w="16838" w:h="11906" w:orient="landscape"/>
      <w:pgMar w:top="1474" w:right="1814" w:bottom="1418" w:left="1814" w:header="851" w:footer="992" w:gutter="0"/>
      <w:cols w:space="720" w:num="1"/>
      <w:docGrid w:linePitch="40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FECF4">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-59055</wp:posOffset>
              </wp:positionV>
              <wp:extent cx="561340" cy="1905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61340" cy="190500"/>
                      </a:xfrm>
                      <a:prstGeom prst="rect">
                        <a:avLst/>
                      </a:prstGeom>
                      <a:noFill/>
                      <a:ln>
                        <a:noFill/>
                      </a:ln>
                      <a:effectLst/>
                    </wps:spPr>
                    <wps:txbx>
                      <w:txbxContent>
                        <w:p w14:paraId="55E500C4">
                          <w:pPr>
                            <w:snapToGrid w:val="0"/>
                            <w:rPr>
                              <w:rFonts w:ascii="宋体" w:hAnsi="宋体" w:cs="宋体"/>
                              <w:sz w:val="24"/>
                            </w:rPr>
                          </w:pPr>
                        </w:p>
                      </w:txbxContent>
                    </wps:txbx>
                    <wps:bodyPr lIns="0" tIns="0" rIns="0" bIns="0" upright="0"/>
                  </wps:wsp>
                </a:graphicData>
              </a:graphic>
            </wp:anchor>
          </w:drawing>
        </mc:Choice>
        <mc:Fallback>
          <w:pict>
            <v:shape id="_x0000_s1026" o:spid="_x0000_s1026" o:spt="202" type="#_x0000_t202" style="position:absolute;left:0pt;margin-top:-4.65pt;height:15pt;width:44.2pt;mso-position-horizontal:center;mso-position-horizontal-relative:margin;z-index:251659264;mso-width-relative:page;mso-height-relative:page;" filled="f" stroked="f" coordsize="21600,21600" o:gfxdata="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5IQdu1QAAAAUBAAAPAAAAAAAAAAEAIAAAACIAAABkcnMvZG93bnJldi54bWxQSwEC&#10;FAAUAAAACACHTuJA5SAji74BAAB/AwAADgAAAAAAAAABACAAAAAkAQAAZHJzL2Uyb0RvYy54bWxQ&#10;SwUGAAAAAAYABgBZAQAAVAUAAAAA&#10;">
              <v:fill on="f" focussize="0,0"/>
              <v:stroke on="f"/>
              <v:imagedata o:title=""/>
              <o:lock v:ext="edit" aspectratio="f"/>
              <v:textbox inset="0mm,0mm,0mm,0mm">
                <w:txbxContent>
                  <w:p w14:paraId="55E500C4">
                    <w:pPr>
                      <w:snapToGrid w:val="0"/>
                      <w:rPr>
                        <w:rFonts w:ascii="宋体" w:hAnsi="宋体" w:cs="宋体"/>
                        <w:sz w:val="24"/>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145C7D"/>
    <w:multiLevelType w:val="singleLevel"/>
    <w:tmpl w:val="95145C7D"/>
    <w:lvl w:ilvl="0" w:tentative="0">
      <w:start w:val="2"/>
      <w:numFmt w:val="decimal"/>
      <w:suff w:val="nothing"/>
      <w:lvlText w:val="%1、"/>
      <w:lvlJc w:val="left"/>
    </w:lvl>
  </w:abstractNum>
  <w:abstractNum w:abstractNumId="1">
    <w:nsid w:val="D24F628F"/>
    <w:multiLevelType w:val="singleLevel"/>
    <w:tmpl w:val="D24F628F"/>
    <w:lvl w:ilvl="0" w:tentative="0">
      <w:start w:val="2"/>
      <w:numFmt w:val="chineseCounting"/>
      <w:suff w:val="nothing"/>
      <w:lvlText w:val="（%1）"/>
      <w:lvlJc w:val="left"/>
      <w:rPr>
        <w:rFonts w:hint="eastAsia"/>
      </w:rPr>
    </w:lvl>
  </w:abstractNum>
  <w:abstractNum w:abstractNumId="2">
    <w:nsid w:val="43F81834"/>
    <w:multiLevelType w:val="singleLevel"/>
    <w:tmpl w:val="43F81834"/>
    <w:lvl w:ilvl="0" w:tentative="0">
      <w:start w:val="5"/>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NWRlMDRkZDhjNDJlZWRjYjE4ZmY5YTczMWM5MzIifQ=="/>
  </w:docVars>
  <w:rsids>
    <w:rsidRoot w:val="47771FA6"/>
    <w:rsid w:val="00016E06"/>
    <w:rsid w:val="00075535"/>
    <w:rsid w:val="000A34D0"/>
    <w:rsid w:val="001C2FA6"/>
    <w:rsid w:val="00212EDD"/>
    <w:rsid w:val="00263C89"/>
    <w:rsid w:val="0029135A"/>
    <w:rsid w:val="002D049F"/>
    <w:rsid w:val="003B41FA"/>
    <w:rsid w:val="00405B29"/>
    <w:rsid w:val="004B735F"/>
    <w:rsid w:val="007D02DB"/>
    <w:rsid w:val="00860851"/>
    <w:rsid w:val="008E0A6E"/>
    <w:rsid w:val="00A337BA"/>
    <w:rsid w:val="00AC2DF4"/>
    <w:rsid w:val="00B76C90"/>
    <w:rsid w:val="00CE67BB"/>
    <w:rsid w:val="00E8449F"/>
    <w:rsid w:val="00EB38A4"/>
    <w:rsid w:val="01E41DF2"/>
    <w:rsid w:val="03737274"/>
    <w:rsid w:val="09A54569"/>
    <w:rsid w:val="10BC5375"/>
    <w:rsid w:val="10EE78FF"/>
    <w:rsid w:val="114D7498"/>
    <w:rsid w:val="15346E71"/>
    <w:rsid w:val="163D4599"/>
    <w:rsid w:val="17723121"/>
    <w:rsid w:val="17C90256"/>
    <w:rsid w:val="1838202B"/>
    <w:rsid w:val="197E06D1"/>
    <w:rsid w:val="1C293EC1"/>
    <w:rsid w:val="1CE75257"/>
    <w:rsid w:val="1DD41E36"/>
    <w:rsid w:val="254C3116"/>
    <w:rsid w:val="26747EF9"/>
    <w:rsid w:val="2A5D4F24"/>
    <w:rsid w:val="2B277579"/>
    <w:rsid w:val="2B501B2C"/>
    <w:rsid w:val="2C770B70"/>
    <w:rsid w:val="2EAA60D5"/>
    <w:rsid w:val="2FF9632D"/>
    <w:rsid w:val="33BA48B0"/>
    <w:rsid w:val="3B4E4C98"/>
    <w:rsid w:val="3CE04A9F"/>
    <w:rsid w:val="40D75730"/>
    <w:rsid w:val="44D675EA"/>
    <w:rsid w:val="47771FA6"/>
    <w:rsid w:val="508541C0"/>
    <w:rsid w:val="5469161B"/>
    <w:rsid w:val="579C1B4A"/>
    <w:rsid w:val="6A644452"/>
    <w:rsid w:val="6BE06664"/>
    <w:rsid w:val="791505C8"/>
    <w:rsid w:val="79C25397"/>
    <w:rsid w:val="7ADF36A4"/>
    <w:rsid w:val="7B9545F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sz w:val="32"/>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0"/>
    <w:rPr>
      <w:b/>
    </w:rPr>
  </w:style>
  <w:style w:type="paragraph" w:customStyle="1" w:styleId="8">
    <w:name w:val="p0"/>
    <w:basedOn w:val="1"/>
    <w:qFormat/>
    <w:uiPriority w:val="0"/>
    <w:pPr>
      <w:widowControl/>
    </w:pPr>
    <w:rPr>
      <w:kern w:val="0"/>
      <w:szCs w:val="21"/>
    </w:rPr>
  </w:style>
  <w:style w:type="character" w:customStyle="1" w:styleId="9">
    <w:name w:val="页眉 Char"/>
    <w:basedOn w:val="6"/>
    <w:link w:val="4"/>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10</Pages>
  <Words>3209</Words>
  <Characters>3314</Characters>
  <Lines>42</Lines>
  <Paragraphs>11</Paragraphs>
  <TotalTime>45</TotalTime>
  <ScaleCrop>false</ScaleCrop>
  <LinksUpToDate>false</LinksUpToDate>
  <CharactersWithSpaces>3314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2022-05-11T02:39:00Z</dcterms:created>
  <dc:creator>Administrator</dc:creator>
  <cp:lastModifiedBy>Linhuan</cp:lastModifiedBy>
  <cp:lastPrinted>2022-04-07T01:41:00Z</cp:lastPrinted>
  <dcterms:modified xsi:type="dcterms:W3CDTF">2025-07-10T02:56:09Z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619847348DCB4B03B0A8E01BF9DC307F_13</vt:lpwstr>
  </property>
  <property fmtid="{D5CDD505-2E9C-101B-9397-08002B2CF9AE}" pid="4" name="KSOTemplateDocerSaveRecord">
    <vt:lpwstr>eyJoZGlkIjoiNDViMTJmOWJjOTExNTYwMWJmYjhlMmYxZjkwNDQyMGIiLCJ1c2VySWQiOiIzMDQ4MTE3OTQifQ==</vt:lpwstr>
  </property>
</Properties>
</file>