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方正小标宋简体" w:hAnsi="方正小标宋简体" w:eastAsia="方正小标宋简体" w:cs="方正小标宋简体"/>
          <w:sz w:val="44"/>
          <w:szCs w:val="44"/>
          <w:vertAlign w:val="baseline"/>
          <w:lang w:val="en-US" w:eastAsia="zh-CN"/>
        </w:rPr>
      </w:pPr>
      <w:r>
        <w:rPr>
          <w:rFonts w:hint="eastAsia" w:ascii="方正小标宋简体" w:hAnsi="方正小标宋简体" w:eastAsia="方正小标宋简体" w:cs="方正小标宋简体"/>
          <w:sz w:val="44"/>
          <w:szCs w:val="44"/>
          <w:lang w:val="en-US" w:eastAsia="zh-CN"/>
        </w:rPr>
        <w:t>荣成市海洋发展局“双随机、</w:t>
      </w:r>
      <w:bookmarkStart w:id="0" w:name="_GoBack"/>
      <w:bookmarkEnd w:id="0"/>
      <w:r>
        <w:rPr>
          <w:rFonts w:hint="eastAsia" w:ascii="方正小标宋简体" w:hAnsi="方正小标宋简体" w:eastAsia="方正小标宋简体" w:cs="方正小标宋简体"/>
          <w:sz w:val="44"/>
          <w:szCs w:val="44"/>
          <w:lang w:val="en-US" w:eastAsia="zh-CN"/>
        </w:rPr>
        <w:t>一公开</w:t>
      </w:r>
      <w:r>
        <w:rPr>
          <w:rFonts w:hint="default" w:ascii="方正小标宋简体" w:hAnsi="方正小标宋简体" w:eastAsia="方正小标宋简体" w:cs="方正小标宋简体"/>
          <w:sz w:val="44"/>
          <w:szCs w:val="44"/>
          <w:lang w:val="en-US" w:eastAsia="zh-CN"/>
        </w:rPr>
        <w:t>”</w:t>
      </w:r>
      <w:r>
        <w:rPr>
          <w:rFonts w:hint="eastAsia" w:ascii="方正小标宋简体" w:hAnsi="方正小标宋简体" w:eastAsia="方正小标宋简体" w:cs="方正小标宋简体"/>
          <w:sz w:val="44"/>
          <w:szCs w:val="44"/>
          <w:lang w:val="en-US" w:eastAsia="zh-CN"/>
        </w:rPr>
        <w:t>监管随机抽查事项清单</w:t>
      </w:r>
    </w:p>
    <w:tbl>
      <w:tblPr>
        <w:tblStyle w:val="4"/>
        <w:tblW w:w="147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1534"/>
        <w:gridCol w:w="1450"/>
        <w:gridCol w:w="1533"/>
        <w:gridCol w:w="1217"/>
        <w:gridCol w:w="1750"/>
        <w:gridCol w:w="1000"/>
        <w:gridCol w:w="54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78"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序号</w:t>
            </w:r>
          </w:p>
        </w:tc>
        <w:tc>
          <w:tcPr>
            <w:tcW w:w="1534"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抽查事项</w:t>
            </w:r>
          </w:p>
        </w:tc>
        <w:tc>
          <w:tcPr>
            <w:tcW w:w="1450"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抽查对象</w:t>
            </w:r>
          </w:p>
        </w:tc>
        <w:tc>
          <w:tcPr>
            <w:tcW w:w="1533"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事项类别</w:t>
            </w:r>
          </w:p>
        </w:tc>
        <w:tc>
          <w:tcPr>
            <w:tcW w:w="1217"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检查方式</w:t>
            </w:r>
          </w:p>
        </w:tc>
        <w:tc>
          <w:tcPr>
            <w:tcW w:w="1750"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抽查比例及频次</w:t>
            </w:r>
          </w:p>
        </w:tc>
        <w:tc>
          <w:tcPr>
            <w:tcW w:w="1000"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检查部门及实施层级</w:t>
            </w:r>
          </w:p>
        </w:tc>
        <w:tc>
          <w:tcPr>
            <w:tcW w:w="5433"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检查依据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78"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1</w:t>
            </w:r>
          </w:p>
        </w:tc>
        <w:tc>
          <w:tcPr>
            <w:tcW w:w="1534"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渔业船员培训质量的检查</w:t>
            </w:r>
          </w:p>
        </w:tc>
        <w:tc>
          <w:tcPr>
            <w:tcW w:w="1450"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渔业船员培训机构</w:t>
            </w:r>
          </w:p>
        </w:tc>
        <w:tc>
          <w:tcPr>
            <w:tcW w:w="1533" w:type="dxa"/>
            <w:noWrap w:val="0"/>
            <w:vAlign w:val="center"/>
          </w:tcPr>
          <w:p>
            <w:pPr>
              <w:jc w:val="center"/>
              <w:rPr>
                <w:rFonts w:hint="eastAsia" w:eastAsia="仿宋_GB2312"/>
                <w:sz w:val="21"/>
                <w:szCs w:val="21"/>
                <w:vertAlign w:val="baseline"/>
                <w:lang w:val="en-US" w:eastAsia="zh-CN"/>
              </w:rPr>
            </w:pPr>
            <w:r>
              <w:rPr>
                <w:rFonts w:hint="eastAsia"/>
                <w:sz w:val="21"/>
                <w:szCs w:val="21"/>
                <w:vertAlign w:val="baseline"/>
                <w:lang w:val="en-US" w:eastAsia="zh-CN"/>
              </w:rPr>
              <w:t>一般检查事项</w:t>
            </w:r>
          </w:p>
        </w:tc>
        <w:tc>
          <w:tcPr>
            <w:tcW w:w="1217" w:type="dxa"/>
            <w:noWrap w:val="0"/>
            <w:vAlign w:val="center"/>
          </w:tcPr>
          <w:p>
            <w:pPr>
              <w:jc w:val="both"/>
              <w:rPr>
                <w:rFonts w:hint="eastAsia" w:eastAsia="仿宋_GB2312"/>
                <w:sz w:val="21"/>
                <w:szCs w:val="21"/>
                <w:vertAlign w:val="baseline"/>
                <w:lang w:eastAsia="zh-CN"/>
              </w:rPr>
            </w:pPr>
            <w:r>
              <w:rPr>
                <w:rFonts w:hint="eastAsia"/>
                <w:sz w:val="21"/>
                <w:szCs w:val="21"/>
                <w:vertAlign w:val="baseline"/>
                <w:lang w:eastAsia="zh-CN"/>
              </w:rPr>
              <w:t>现场检查</w:t>
            </w:r>
          </w:p>
        </w:tc>
        <w:tc>
          <w:tcPr>
            <w:tcW w:w="1750" w:type="dxa"/>
            <w:noWrap w:val="0"/>
            <w:vAlign w:val="center"/>
          </w:tcPr>
          <w:p>
            <w:pPr>
              <w:jc w:val="both"/>
              <w:rPr>
                <w:sz w:val="21"/>
                <w:szCs w:val="21"/>
                <w:vertAlign w:val="baseline"/>
              </w:rPr>
            </w:pPr>
            <w:r>
              <w:rPr>
                <w:rFonts w:hint="eastAsia"/>
                <w:sz w:val="21"/>
                <w:szCs w:val="21"/>
                <w:vertAlign w:val="baseline"/>
              </w:rPr>
              <w:t>抽查比例为30%；根据实际情况确定频次</w:t>
            </w:r>
          </w:p>
        </w:tc>
        <w:tc>
          <w:tcPr>
            <w:tcW w:w="1000" w:type="dxa"/>
            <w:noWrap w:val="0"/>
            <w:vAlign w:val="center"/>
          </w:tcPr>
          <w:p>
            <w:pPr>
              <w:jc w:val="center"/>
              <w:rPr>
                <w:sz w:val="21"/>
                <w:szCs w:val="21"/>
                <w:vertAlign w:val="baseline"/>
              </w:rPr>
            </w:pPr>
            <w:r>
              <w:rPr>
                <w:rFonts w:hint="eastAsia"/>
                <w:sz w:val="21"/>
                <w:szCs w:val="21"/>
                <w:vertAlign w:val="baseline"/>
                <w:lang w:val="en-US" w:eastAsia="zh-CN"/>
              </w:rPr>
              <w:t>海洋与渔业主管部门</w:t>
            </w:r>
          </w:p>
        </w:tc>
        <w:tc>
          <w:tcPr>
            <w:tcW w:w="5433" w:type="dxa"/>
            <w:noWrap w:val="0"/>
            <w:vAlign w:val="center"/>
          </w:tcPr>
          <w:p>
            <w:pPr>
              <w:jc w:val="center"/>
              <w:rPr>
                <w:sz w:val="21"/>
                <w:szCs w:val="21"/>
                <w:vertAlign w:val="baseline"/>
              </w:rPr>
            </w:pPr>
            <w:r>
              <w:rPr>
                <w:rFonts w:hint="eastAsia"/>
                <w:sz w:val="21"/>
                <w:szCs w:val="21"/>
                <w:vertAlign w:val="baseline"/>
              </w:rPr>
              <w:t>《中华人民共和国渔业船员管理办法》第三条第二款：县级以上地方人民政府渔业行政主管部门及其所属的渔政渔港监督管理机构，依照各自职责负责渔业船员管理工作。第三十六条：渔政渔港监督管理机构应当依法对渔业船员持证情况、任职资格和资历、履职情况、安全记录，船员培训机构培训质量，船员服务机构诚实守信情况等进行监督检查，必要时可对船员进行现场考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878" w:type="dxa"/>
            <w:noWrap w:val="0"/>
            <w:vAlign w:val="center"/>
          </w:tcPr>
          <w:p>
            <w:pPr>
              <w:jc w:val="center"/>
              <w:rPr>
                <w:rFonts w:hint="default"/>
                <w:sz w:val="21"/>
                <w:szCs w:val="21"/>
                <w:vertAlign w:val="baseline"/>
                <w:lang w:val="en-US" w:eastAsia="zh-CN"/>
              </w:rPr>
            </w:pPr>
            <w:r>
              <w:rPr>
                <w:rFonts w:hint="eastAsia"/>
                <w:sz w:val="21"/>
                <w:szCs w:val="21"/>
                <w:vertAlign w:val="baseline"/>
                <w:lang w:val="en-US" w:eastAsia="zh-CN"/>
              </w:rPr>
              <w:t>2</w:t>
            </w:r>
          </w:p>
        </w:tc>
        <w:tc>
          <w:tcPr>
            <w:tcW w:w="1534"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对渔港水域拆船活动的监督检查</w:t>
            </w:r>
          </w:p>
        </w:tc>
        <w:tc>
          <w:tcPr>
            <w:tcW w:w="1450"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渔业港口</w:t>
            </w:r>
          </w:p>
        </w:tc>
        <w:tc>
          <w:tcPr>
            <w:tcW w:w="1533"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一般检查事项</w:t>
            </w:r>
          </w:p>
        </w:tc>
        <w:tc>
          <w:tcPr>
            <w:tcW w:w="1217" w:type="dxa"/>
            <w:noWrap w:val="0"/>
            <w:vAlign w:val="center"/>
          </w:tcPr>
          <w:p>
            <w:pPr>
              <w:jc w:val="both"/>
              <w:rPr>
                <w:rFonts w:hint="eastAsia"/>
                <w:sz w:val="21"/>
                <w:szCs w:val="21"/>
                <w:vertAlign w:val="baseline"/>
              </w:rPr>
            </w:pPr>
            <w:r>
              <w:rPr>
                <w:rFonts w:hint="eastAsia"/>
                <w:sz w:val="21"/>
                <w:szCs w:val="21"/>
                <w:vertAlign w:val="baseline"/>
                <w:lang w:eastAsia="zh-CN"/>
              </w:rPr>
              <w:t>现场检查</w:t>
            </w:r>
          </w:p>
        </w:tc>
        <w:tc>
          <w:tcPr>
            <w:tcW w:w="1750" w:type="dxa"/>
            <w:noWrap w:val="0"/>
            <w:vAlign w:val="center"/>
          </w:tcPr>
          <w:p>
            <w:pPr>
              <w:jc w:val="both"/>
              <w:rPr>
                <w:rFonts w:hint="eastAsia"/>
                <w:sz w:val="21"/>
                <w:szCs w:val="21"/>
                <w:vertAlign w:val="baseline"/>
              </w:rPr>
            </w:pPr>
            <w:r>
              <w:rPr>
                <w:rFonts w:hint="eastAsia"/>
                <w:sz w:val="21"/>
                <w:szCs w:val="21"/>
                <w:vertAlign w:val="baseline"/>
              </w:rPr>
              <w:t>抽查比例为</w:t>
            </w:r>
            <w:r>
              <w:rPr>
                <w:rFonts w:hint="eastAsia"/>
                <w:sz w:val="21"/>
                <w:szCs w:val="21"/>
                <w:vertAlign w:val="baseline"/>
                <w:lang w:val="en-US" w:eastAsia="zh-CN"/>
              </w:rPr>
              <w:t>5</w:t>
            </w:r>
            <w:r>
              <w:rPr>
                <w:rFonts w:hint="eastAsia"/>
                <w:sz w:val="21"/>
                <w:szCs w:val="21"/>
                <w:vertAlign w:val="baseline"/>
              </w:rPr>
              <w:t>%；根据实际情况确定频次</w:t>
            </w:r>
          </w:p>
        </w:tc>
        <w:tc>
          <w:tcPr>
            <w:tcW w:w="1000"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海洋与渔业主管部门</w:t>
            </w:r>
          </w:p>
        </w:tc>
        <w:tc>
          <w:tcPr>
            <w:tcW w:w="5433" w:type="dxa"/>
            <w:noWrap w:val="0"/>
            <w:vAlign w:val="center"/>
          </w:tcPr>
          <w:p>
            <w:pPr>
              <w:jc w:val="center"/>
              <w:rPr>
                <w:rFonts w:hint="eastAsia"/>
                <w:sz w:val="21"/>
                <w:szCs w:val="21"/>
                <w:vertAlign w:val="baseline"/>
              </w:rPr>
            </w:pPr>
            <w:r>
              <w:rPr>
                <w:rFonts w:hint="eastAsia"/>
                <w:sz w:val="21"/>
                <w:szCs w:val="21"/>
                <w:vertAlign w:val="baseline"/>
              </w:rPr>
              <w:t>《防止拆船污染环境管理条例》（1988年5月国务院发布，2017年3月修订）第四条：“国家渔政渔港监督管理部门主管渔港水域拆船的环境保护工作，负责监督拆船活动对沿岸渔业水域的影响，发现污染损害事故后，会同环境保护部门调查处理。”</w:t>
            </w:r>
          </w:p>
          <w:p>
            <w:pPr>
              <w:jc w:val="center"/>
              <w:rPr>
                <w:rFonts w:hint="eastAsia"/>
                <w:sz w:val="21"/>
                <w:szCs w:val="21"/>
                <w:vertAlign w:val="baseline"/>
              </w:rPr>
            </w:pPr>
            <w:r>
              <w:rPr>
                <w:rFonts w:hint="eastAsia"/>
                <w:sz w:val="21"/>
                <w:szCs w:val="21"/>
                <w:vertAlign w:val="baseline"/>
              </w:rPr>
              <w:t>第七条：“监督拆船污染的主管部门有权对拆船单位的拆船活动进行检查，被检查单位必须如实反映情况，提供必要的资料。监督拆船污染的主管部门有义务为被检查单位保守技术和业务秘密。”</w:t>
            </w:r>
          </w:p>
          <w:p>
            <w:pPr>
              <w:jc w:val="center"/>
              <w:rPr>
                <w:rFonts w:hint="eastAsia"/>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68" w:hRule="atLeast"/>
        </w:trPr>
        <w:tc>
          <w:tcPr>
            <w:tcW w:w="878" w:type="dxa"/>
            <w:noWrap w:val="0"/>
            <w:vAlign w:val="center"/>
          </w:tcPr>
          <w:p>
            <w:pPr>
              <w:jc w:val="center"/>
              <w:rPr>
                <w:rFonts w:hint="default"/>
                <w:sz w:val="21"/>
                <w:szCs w:val="21"/>
                <w:vertAlign w:val="baseline"/>
                <w:lang w:val="en-US" w:eastAsia="zh-CN"/>
              </w:rPr>
            </w:pPr>
            <w:r>
              <w:rPr>
                <w:rFonts w:hint="eastAsia"/>
                <w:sz w:val="21"/>
                <w:szCs w:val="21"/>
                <w:vertAlign w:val="baseline"/>
                <w:lang w:val="en-US" w:eastAsia="zh-CN"/>
              </w:rPr>
              <w:t>3</w:t>
            </w:r>
          </w:p>
        </w:tc>
        <w:tc>
          <w:tcPr>
            <w:tcW w:w="1534"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对海域使用的法人或特定自然人的行政检查</w:t>
            </w:r>
          </w:p>
        </w:tc>
        <w:tc>
          <w:tcPr>
            <w:tcW w:w="1450"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用海主体</w:t>
            </w:r>
          </w:p>
        </w:tc>
        <w:tc>
          <w:tcPr>
            <w:tcW w:w="1533"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一般检查事项</w:t>
            </w:r>
          </w:p>
        </w:tc>
        <w:tc>
          <w:tcPr>
            <w:tcW w:w="1217" w:type="dxa"/>
            <w:noWrap w:val="0"/>
            <w:vAlign w:val="center"/>
          </w:tcPr>
          <w:p>
            <w:pPr>
              <w:jc w:val="both"/>
              <w:rPr>
                <w:rFonts w:hint="eastAsia"/>
                <w:sz w:val="21"/>
                <w:szCs w:val="21"/>
                <w:vertAlign w:val="baseline"/>
                <w:lang w:eastAsia="zh-CN"/>
              </w:rPr>
            </w:pPr>
            <w:r>
              <w:rPr>
                <w:rFonts w:hint="eastAsia"/>
                <w:sz w:val="21"/>
                <w:szCs w:val="21"/>
                <w:vertAlign w:val="baseline"/>
                <w:lang w:eastAsia="zh-CN"/>
              </w:rPr>
              <w:t>现场检查</w:t>
            </w:r>
          </w:p>
        </w:tc>
        <w:tc>
          <w:tcPr>
            <w:tcW w:w="1750" w:type="dxa"/>
            <w:noWrap w:val="0"/>
            <w:vAlign w:val="center"/>
          </w:tcPr>
          <w:p>
            <w:pPr>
              <w:jc w:val="both"/>
              <w:rPr>
                <w:rFonts w:hint="default" w:eastAsia="仿宋_GB2312"/>
                <w:sz w:val="21"/>
                <w:szCs w:val="21"/>
                <w:vertAlign w:val="baseline"/>
                <w:lang w:val="en-US" w:eastAsia="zh-CN"/>
              </w:rPr>
            </w:pPr>
            <w:r>
              <w:rPr>
                <w:rFonts w:hint="eastAsia"/>
                <w:sz w:val="21"/>
                <w:szCs w:val="21"/>
                <w:vertAlign w:val="baseline"/>
                <w:lang w:eastAsia="zh-CN"/>
              </w:rPr>
              <w:t>不低于</w:t>
            </w:r>
            <w:r>
              <w:rPr>
                <w:rFonts w:hint="eastAsia"/>
                <w:sz w:val="21"/>
                <w:szCs w:val="21"/>
                <w:vertAlign w:val="baseline"/>
                <w:lang w:val="en-US" w:eastAsia="zh-CN"/>
              </w:rPr>
              <w:t>2家</w:t>
            </w:r>
          </w:p>
        </w:tc>
        <w:tc>
          <w:tcPr>
            <w:tcW w:w="1000" w:type="dxa"/>
            <w:noWrap w:val="0"/>
            <w:vAlign w:val="center"/>
          </w:tcPr>
          <w:p>
            <w:pPr>
              <w:jc w:val="center"/>
              <w:rPr>
                <w:rFonts w:hint="eastAsia"/>
                <w:sz w:val="21"/>
                <w:szCs w:val="21"/>
                <w:vertAlign w:val="baseline"/>
                <w:lang w:val="en-US" w:eastAsia="zh-CN"/>
              </w:rPr>
            </w:pPr>
            <w:r>
              <w:rPr>
                <w:rFonts w:hint="eastAsia"/>
                <w:sz w:val="21"/>
                <w:szCs w:val="21"/>
                <w:vertAlign w:val="baseline"/>
                <w:lang w:val="en-US" w:eastAsia="zh-CN"/>
              </w:rPr>
              <w:t>海洋与渔业主管部门</w:t>
            </w:r>
          </w:p>
        </w:tc>
        <w:tc>
          <w:tcPr>
            <w:tcW w:w="5433" w:type="dxa"/>
            <w:noWrap w:val="0"/>
            <w:vAlign w:val="center"/>
          </w:tcPr>
          <w:p>
            <w:pPr>
              <w:jc w:val="center"/>
              <w:rPr>
                <w:rFonts w:hint="eastAsia"/>
                <w:sz w:val="21"/>
                <w:szCs w:val="21"/>
                <w:vertAlign w:val="baseline"/>
              </w:rPr>
            </w:pPr>
            <w:r>
              <w:rPr>
                <w:rFonts w:hint="eastAsia"/>
                <w:sz w:val="21"/>
                <w:szCs w:val="21"/>
                <w:vertAlign w:val="baseline"/>
              </w:rPr>
              <w:t>《中华人民共和国海域使用管理法》</w:t>
            </w:r>
          </w:p>
          <w:p>
            <w:pPr>
              <w:jc w:val="center"/>
              <w:rPr>
                <w:rFonts w:hint="eastAsia"/>
                <w:sz w:val="21"/>
                <w:szCs w:val="21"/>
                <w:vertAlign w:val="baseline"/>
              </w:rPr>
            </w:pPr>
            <w:r>
              <w:rPr>
                <w:rFonts w:hint="eastAsia"/>
                <w:sz w:val="21"/>
                <w:szCs w:val="21"/>
                <w:vertAlign w:val="baseline"/>
              </w:rPr>
              <w:t>第三十七条：县级以上人民政府海洋行政主管部门应当加强对海域使用的监督检查。</w:t>
            </w:r>
          </w:p>
          <w:p>
            <w:pPr>
              <w:jc w:val="center"/>
              <w:rPr>
                <w:rFonts w:hint="eastAsia"/>
                <w:sz w:val="21"/>
                <w:szCs w:val="21"/>
                <w:vertAlign w:val="baseline"/>
              </w:rPr>
            </w:pPr>
            <w:r>
              <w:rPr>
                <w:rFonts w:hint="eastAsia"/>
                <w:sz w:val="21"/>
                <w:szCs w:val="21"/>
                <w:vertAlign w:val="baseline"/>
              </w:rPr>
              <w:t>第三十九条：县级以上人民政府海洋行政主管部门履行监督检查职责时，有权采取下列措施：</w:t>
            </w:r>
          </w:p>
          <w:p>
            <w:pPr>
              <w:jc w:val="center"/>
              <w:rPr>
                <w:rFonts w:hint="eastAsia"/>
                <w:sz w:val="21"/>
                <w:szCs w:val="21"/>
                <w:vertAlign w:val="baseline"/>
              </w:rPr>
            </w:pPr>
            <w:r>
              <w:rPr>
                <w:rFonts w:hint="eastAsia"/>
                <w:sz w:val="21"/>
                <w:szCs w:val="21"/>
                <w:vertAlign w:val="baseline"/>
              </w:rPr>
              <w:t>（一）要求被检查单位或者个人提供海域使用的有关文件和资料</w:t>
            </w:r>
          </w:p>
          <w:p>
            <w:pPr>
              <w:jc w:val="center"/>
              <w:rPr>
                <w:rFonts w:hint="eastAsia"/>
                <w:sz w:val="21"/>
                <w:szCs w:val="21"/>
                <w:vertAlign w:val="baseline"/>
              </w:rPr>
            </w:pPr>
            <w:r>
              <w:rPr>
                <w:rFonts w:hint="eastAsia"/>
                <w:sz w:val="21"/>
                <w:szCs w:val="21"/>
                <w:vertAlign w:val="baseline"/>
              </w:rPr>
              <w:t>（二）要求被检查单位或者个人就海域使用的有关问题作出说明</w:t>
            </w:r>
          </w:p>
          <w:p>
            <w:pPr>
              <w:jc w:val="center"/>
              <w:rPr>
                <w:rFonts w:hint="eastAsia"/>
                <w:sz w:val="21"/>
                <w:szCs w:val="21"/>
                <w:vertAlign w:val="baseline"/>
              </w:rPr>
            </w:pPr>
            <w:r>
              <w:rPr>
                <w:rFonts w:hint="eastAsia"/>
                <w:sz w:val="21"/>
                <w:szCs w:val="21"/>
                <w:vertAlign w:val="baseline"/>
              </w:rPr>
              <w:t>（三）进入被检查单位或者个人占用的海域现场进行勘查</w:t>
            </w:r>
          </w:p>
          <w:p>
            <w:pPr>
              <w:jc w:val="center"/>
              <w:rPr>
                <w:rFonts w:hint="eastAsia"/>
                <w:sz w:val="21"/>
                <w:szCs w:val="21"/>
                <w:vertAlign w:val="baseline"/>
              </w:rPr>
            </w:pPr>
            <w:r>
              <w:rPr>
                <w:rFonts w:hint="eastAsia"/>
                <w:sz w:val="21"/>
                <w:szCs w:val="21"/>
                <w:vertAlign w:val="baseline"/>
              </w:rPr>
              <w:t>（四）责令当事人停止正在进行的违法行为。</w:t>
            </w:r>
          </w:p>
          <w:p>
            <w:pPr>
              <w:jc w:val="center"/>
              <w:rPr>
                <w:rFonts w:hint="eastAsia"/>
                <w:sz w:val="21"/>
                <w:szCs w:val="21"/>
                <w:vertAlign w:val="baseli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92" w:hRule="atLeast"/>
        </w:trPr>
        <w:tc>
          <w:tcPr>
            <w:tcW w:w="878" w:type="dxa"/>
            <w:noWrap w:val="0"/>
            <w:vAlign w:val="center"/>
          </w:tcPr>
          <w:p>
            <w:pPr>
              <w:jc w:val="center"/>
              <w:rPr>
                <w:rFonts w:hint="default"/>
                <w:sz w:val="21"/>
                <w:szCs w:val="21"/>
                <w:vertAlign w:val="baseline"/>
                <w:lang w:val="en-US" w:eastAsia="zh-CN"/>
              </w:rPr>
            </w:pPr>
            <w:r>
              <w:rPr>
                <w:rFonts w:hint="eastAsia"/>
                <w:sz w:val="21"/>
                <w:szCs w:val="21"/>
                <w:vertAlign w:val="baseline"/>
                <w:lang w:val="en-US" w:eastAsia="zh-CN"/>
              </w:rPr>
              <w:t>4</w:t>
            </w:r>
          </w:p>
        </w:tc>
        <w:tc>
          <w:tcPr>
            <w:tcW w:w="1534" w:type="dxa"/>
            <w:noWrap w:val="0"/>
            <w:vAlign w:val="center"/>
          </w:tcPr>
          <w:p>
            <w:pPr>
              <w:jc w:val="center"/>
              <w:rPr>
                <w:rFonts w:hint="eastAsia" w:ascii="Calibri" w:hAnsi="Calibri" w:eastAsia="仿宋_GB2312" w:cs="Times New Roman"/>
                <w:kern w:val="2"/>
                <w:sz w:val="21"/>
                <w:szCs w:val="21"/>
                <w:vertAlign w:val="baseline"/>
                <w:lang w:val="en-US" w:eastAsia="zh-CN" w:bidi="ar-SA"/>
              </w:rPr>
            </w:pPr>
            <w:r>
              <w:rPr>
                <w:rFonts w:hint="eastAsia"/>
                <w:sz w:val="21"/>
                <w:szCs w:val="21"/>
                <w:vertAlign w:val="baseline"/>
                <w:lang w:val="en-US" w:eastAsia="zh-CN"/>
              </w:rPr>
              <w:t>利用水生野生动物及其制品的事业单位、企业、社会组织</w:t>
            </w:r>
          </w:p>
        </w:tc>
        <w:tc>
          <w:tcPr>
            <w:tcW w:w="1450" w:type="dxa"/>
            <w:noWrap w:val="0"/>
            <w:vAlign w:val="center"/>
          </w:tcPr>
          <w:p>
            <w:pPr>
              <w:jc w:val="center"/>
              <w:rPr>
                <w:rFonts w:hint="eastAsia" w:ascii="Calibri" w:hAnsi="Calibri" w:eastAsia="仿宋_GB2312" w:cs="Times New Roman"/>
                <w:kern w:val="2"/>
                <w:sz w:val="21"/>
                <w:szCs w:val="21"/>
                <w:vertAlign w:val="baseline"/>
                <w:lang w:val="en-US" w:eastAsia="zh-CN" w:bidi="ar-SA"/>
              </w:rPr>
            </w:pPr>
            <w:r>
              <w:rPr>
                <w:rFonts w:hint="eastAsia"/>
                <w:sz w:val="21"/>
                <w:szCs w:val="21"/>
                <w:vertAlign w:val="baseline"/>
                <w:lang w:val="en-US" w:eastAsia="zh-CN"/>
              </w:rPr>
              <w:t>利用水生野生动物及其制品的事业单位、企业、社会组织</w:t>
            </w:r>
          </w:p>
        </w:tc>
        <w:tc>
          <w:tcPr>
            <w:tcW w:w="1533" w:type="dxa"/>
            <w:noWrap w:val="0"/>
            <w:vAlign w:val="center"/>
          </w:tcPr>
          <w:p>
            <w:pPr>
              <w:jc w:val="both"/>
              <w:rPr>
                <w:rFonts w:hint="eastAsia" w:ascii="Calibri" w:hAnsi="Calibri" w:eastAsia="仿宋_GB2312" w:cs="Times New Roman"/>
                <w:kern w:val="2"/>
                <w:sz w:val="21"/>
                <w:szCs w:val="21"/>
                <w:vertAlign w:val="baseline"/>
                <w:lang w:val="en-US" w:eastAsia="zh-CN" w:bidi="ar-SA"/>
              </w:rPr>
            </w:pPr>
            <w:r>
              <w:rPr>
                <w:rFonts w:hint="eastAsia"/>
                <w:sz w:val="21"/>
                <w:szCs w:val="21"/>
                <w:vertAlign w:val="baseline"/>
                <w:lang w:val="en-US" w:eastAsia="zh-CN"/>
              </w:rPr>
              <w:t>一般检查事项</w:t>
            </w:r>
          </w:p>
        </w:tc>
        <w:tc>
          <w:tcPr>
            <w:tcW w:w="1217" w:type="dxa"/>
            <w:noWrap w:val="0"/>
            <w:vAlign w:val="center"/>
          </w:tcPr>
          <w:p>
            <w:pPr>
              <w:jc w:val="center"/>
              <w:rPr>
                <w:rFonts w:hint="eastAsia"/>
                <w:sz w:val="21"/>
                <w:szCs w:val="21"/>
                <w:vertAlign w:val="baseline"/>
                <w:lang w:val="en-US" w:eastAsia="zh-CN"/>
              </w:rPr>
            </w:pPr>
            <w:r>
              <w:rPr>
                <w:rFonts w:hint="eastAsia"/>
                <w:sz w:val="21"/>
                <w:szCs w:val="21"/>
                <w:vertAlign w:val="baseline"/>
                <w:lang w:eastAsia="zh-CN"/>
              </w:rPr>
              <w:t>现场检查</w:t>
            </w:r>
          </w:p>
        </w:tc>
        <w:tc>
          <w:tcPr>
            <w:tcW w:w="1750" w:type="dxa"/>
            <w:noWrap w:val="0"/>
            <w:vAlign w:val="center"/>
          </w:tcPr>
          <w:p>
            <w:pPr>
              <w:jc w:val="center"/>
              <w:rPr>
                <w:rFonts w:hint="eastAsia" w:ascii="Calibri" w:hAnsi="Calibri" w:eastAsia="仿宋_GB2312" w:cs="Times New Roman"/>
                <w:kern w:val="2"/>
                <w:sz w:val="21"/>
                <w:szCs w:val="21"/>
                <w:vertAlign w:val="baseline"/>
                <w:lang w:val="en-US" w:eastAsia="zh-CN" w:bidi="ar-SA"/>
              </w:rPr>
            </w:pPr>
            <w:r>
              <w:rPr>
                <w:rFonts w:hint="eastAsia"/>
                <w:sz w:val="21"/>
                <w:szCs w:val="21"/>
                <w:vertAlign w:val="baseline"/>
              </w:rPr>
              <w:t>抽查比例</w:t>
            </w:r>
            <w:r>
              <w:rPr>
                <w:rFonts w:hint="eastAsia"/>
                <w:sz w:val="21"/>
                <w:szCs w:val="21"/>
                <w:vertAlign w:val="baseline"/>
                <w:lang w:eastAsia="zh-CN"/>
              </w:rPr>
              <w:t>不低于</w:t>
            </w:r>
            <w:r>
              <w:rPr>
                <w:rFonts w:hint="eastAsia"/>
                <w:sz w:val="21"/>
                <w:szCs w:val="21"/>
                <w:vertAlign w:val="baseline"/>
                <w:lang w:val="en-US" w:eastAsia="zh-CN"/>
              </w:rPr>
              <w:t>5</w:t>
            </w:r>
            <w:r>
              <w:rPr>
                <w:rFonts w:hint="eastAsia"/>
                <w:sz w:val="21"/>
                <w:szCs w:val="21"/>
                <w:vertAlign w:val="baseline"/>
              </w:rPr>
              <w:t>；根据实际情况确定频次</w:t>
            </w:r>
          </w:p>
        </w:tc>
        <w:tc>
          <w:tcPr>
            <w:tcW w:w="1000" w:type="dxa"/>
            <w:noWrap w:val="0"/>
            <w:vAlign w:val="center"/>
          </w:tcPr>
          <w:p>
            <w:pPr>
              <w:jc w:val="center"/>
              <w:rPr>
                <w:rFonts w:hint="eastAsia" w:ascii="Calibri" w:hAnsi="Calibri" w:eastAsia="仿宋_GB2312" w:cs="Times New Roman"/>
                <w:kern w:val="2"/>
                <w:sz w:val="21"/>
                <w:szCs w:val="21"/>
                <w:vertAlign w:val="baseline"/>
                <w:lang w:val="en-US" w:eastAsia="zh-CN" w:bidi="ar-SA"/>
              </w:rPr>
            </w:pPr>
            <w:r>
              <w:rPr>
                <w:rFonts w:hint="eastAsia"/>
                <w:sz w:val="21"/>
                <w:szCs w:val="21"/>
                <w:vertAlign w:val="baseline"/>
                <w:lang w:val="en-US" w:eastAsia="zh-CN"/>
              </w:rPr>
              <w:t>海洋与渔业主管部门</w:t>
            </w:r>
          </w:p>
        </w:tc>
        <w:tc>
          <w:tcPr>
            <w:tcW w:w="5433" w:type="dxa"/>
            <w:noWrap w:val="0"/>
            <w:vAlign w:val="center"/>
          </w:tcPr>
          <w:p>
            <w:pPr>
              <w:jc w:val="left"/>
              <w:rPr>
                <w:sz w:val="21"/>
                <w:szCs w:val="21"/>
                <w:vertAlign w:val="baseline"/>
                <w:lang w:val="en-US" w:eastAsia="zh-CN"/>
              </w:rPr>
            </w:pPr>
            <w:r>
              <w:rPr>
                <w:rFonts w:hint="eastAsia"/>
                <w:sz w:val="21"/>
                <w:szCs w:val="21"/>
                <w:vertAlign w:val="baseline"/>
                <w:lang w:val="en-US" w:eastAsia="zh-CN"/>
              </w:rPr>
              <w:t>《</w:t>
            </w:r>
            <w:r>
              <w:rPr>
                <w:sz w:val="21"/>
                <w:szCs w:val="21"/>
                <w:vertAlign w:val="baseline"/>
                <w:lang w:val="en-US" w:eastAsia="zh-CN"/>
              </w:rPr>
              <w:t>中华人民共和国水生野生动物利用特许办法</w:t>
            </w:r>
            <w:r>
              <w:rPr>
                <w:rFonts w:hint="eastAsia"/>
                <w:sz w:val="21"/>
                <w:szCs w:val="21"/>
                <w:vertAlign w:val="baseline"/>
                <w:lang w:val="en-US" w:eastAsia="zh-CN"/>
              </w:rPr>
              <w:t>》</w:t>
            </w:r>
          </w:p>
          <w:p>
            <w:pPr>
              <w:jc w:val="left"/>
              <w:rPr>
                <w:rFonts w:hint="eastAsia" w:ascii="Calibri" w:hAnsi="Calibri" w:eastAsia="仿宋_GB2312" w:cs="Times New Roman"/>
                <w:kern w:val="2"/>
                <w:sz w:val="21"/>
                <w:szCs w:val="21"/>
                <w:vertAlign w:val="baseline"/>
                <w:lang w:val="en-US" w:eastAsia="zh-CN" w:bidi="ar-SA"/>
              </w:rPr>
            </w:pPr>
            <w:r>
              <w:rPr>
                <w:sz w:val="21"/>
                <w:szCs w:val="21"/>
                <w:vertAlign w:val="baseline"/>
                <w:lang w:val="en-US" w:eastAsia="zh-CN"/>
              </w:rPr>
              <w:t>第七条 各级渔业行政主管部门及其所属的渔政监督管理机构，有权对本办法的实施情况进行监督检查，被检查的单位和个人应当给予配合。第二十一条 第一款 第六项 取得《驯养繁殖证》的单位和个人，应当遵守以下规定：（六）接受当地渔业行政主管部门的监督检查和指导。第二十七条 第一款 第四项 出售、收购、利用水生野生动物或其产品的单位和个人，应当遵守以下规定：（四）接受当地渔业行政主管部门的监督检查和指导。第二十八条 地方各级渔业行政主管部门应当对水生野生动物或其产品的经营利用建立监督检查制度，加强对经营利用水生野生动物或其产品的监督管理。第三十七条 县级以上渔业行政主管部门或者其所属的渔政监督管理机构应当对进入本行政区域内的水生野生动物或其产品的利用活动进行监督检查。</w:t>
            </w:r>
          </w:p>
        </w:tc>
      </w:tr>
    </w:tbl>
    <w:p>
      <w:pPr>
        <w:jc w:val="both"/>
        <w:rPr>
          <w:rFonts w:hint="eastAsia" w:ascii="方正小标宋简体" w:hAnsi="方正小标宋简体" w:eastAsia="方正小标宋简体" w:cs="方正小标宋简体"/>
          <w:sz w:val="44"/>
          <w:szCs w:val="44"/>
          <w:lang w:val="en-US" w:eastAsia="zh-CN"/>
        </w:rPr>
      </w:pPr>
    </w:p>
    <w:sectPr>
      <w:pgSz w:w="16838" w:h="11906" w:orient="landscape"/>
      <w:pgMar w:top="1236" w:right="1270" w:bottom="1293" w:left="127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D3D14037-379A-4354-8B6E-9F22CFADBFC1}"/>
  </w:font>
  <w:font w:name="仿宋_GB2312">
    <w:panose1 w:val="02010609030101010101"/>
    <w:charset w:val="86"/>
    <w:family w:val="auto"/>
    <w:pitch w:val="default"/>
    <w:sig w:usb0="00000001" w:usb1="080E0000" w:usb2="00000000" w:usb3="00000000" w:csb0="00040000" w:csb1="00000000"/>
    <w:embedRegular r:id="rId2" w:fontKey="{1752D72E-0844-4373-920C-9E02FAE76F09}"/>
  </w:font>
  <w:font w:name="CESI仿宋-GB2312">
    <w:altName w:val="仿宋"/>
    <w:panose1 w:val="02000500000000000000"/>
    <w:charset w:val="86"/>
    <w:family w:val="auto"/>
    <w:pitch w:val="default"/>
    <w:sig w:usb0="00000000" w:usb1="00000000" w:usb2="00000010" w:usb3="00000000" w:csb0="0004000F" w:csb1="00000000"/>
  </w:font>
  <w:font w:name="方正小标宋简体">
    <w:panose1 w:val="02000000000000000000"/>
    <w:charset w:val="86"/>
    <w:family w:val="auto"/>
    <w:pitch w:val="default"/>
    <w:sig w:usb0="00000001" w:usb1="08000000" w:usb2="00000000" w:usb3="00000000" w:csb0="00040000" w:csb1="00000000"/>
    <w:embedRegular r:id="rId3" w:fontKey="{EF88E28D-348D-4CBF-8A06-92968C8880F3}"/>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JjNDU3OGUxZTA3YmE4ZTMyYzBiYWJiYzVhOWM4YTgifQ=="/>
  </w:docVars>
  <w:rsids>
    <w:rsidRoot w:val="FDAE675C"/>
    <w:rsid w:val="017FD1F8"/>
    <w:rsid w:val="1FFDA2E7"/>
    <w:rsid w:val="35773563"/>
    <w:rsid w:val="3CF60F68"/>
    <w:rsid w:val="59D06449"/>
    <w:rsid w:val="72221517"/>
    <w:rsid w:val="96B673E0"/>
    <w:rsid w:val="9ECB650E"/>
    <w:rsid w:val="BEFF8214"/>
    <w:rsid w:val="FDAE675C"/>
    <w:rsid w:val="FEFFC101"/>
    <w:rsid w:val="FFBEA39E"/>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仿宋_GB2312" w:cs="Times New Roman"/>
      <w:kern w:val="2"/>
      <w:sz w:val="32"/>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100" w:beforeAutospacing="1" w:after="100" w:afterAutospacing="1"/>
      <w:ind w:left="0" w:right="0"/>
      <w:jc w:val="left"/>
    </w:pPr>
    <w:rPr>
      <w:kern w:val="0"/>
      <w:sz w:val="24"/>
      <w:lang w:val="en-US" w:eastAsia="zh-CN" w:bidi="ar"/>
    </w:rPr>
  </w:style>
  <w:style w:type="table" w:styleId="4">
    <w:name w:val="Table Grid"/>
    <w:basedOn w:val="3"/>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
    <w:name w:val="标准格式"/>
    <w:basedOn w:val="1"/>
    <w:autoRedefine/>
    <w:qFormat/>
    <w:uiPriority w:val="0"/>
    <w:rPr>
      <w:rFonts w:ascii="Calibri" w:hAnsi="Calibri" w:eastAsia="CESI仿宋-GB2312"/>
      <w:sz w:val="32"/>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1212</Words>
  <Characters>1221</Characters>
  <Lines>0</Lines>
  <Paragraphs>0</Paragraphs>
  <TotalTime>16</TotalTime>
  <ScaleCrop>false</ScaleCrop>
  <LinksUpToDate>false</LinksUpToDate>
  <CharactersWithSpaces>1231</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2022-07-19T09:57:00Z</dcterms:created>
  <dc:creator>user</dc:creator>
  <cp:lastModifiedBy>李宗达</cp:lastModifiedBy>
  <cp:lastPrinted>2023-11-07T09:40:00Z</cp:lastPrinted>
  <dcterms:modified xsi:type="dcterms:W3CDTF">2024-07-23T00:29:35Z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7445833BB4AE49508678212E63E3A590_13</vt:lpwstr>
  </property>
</Properties>
</file>