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方正小标宋简体" w:eastAsia="方正小标宋简体" w:cs="Times New Roman"/>
          <w:sz w:val="44"/>
          <w:szCs w:val="44"/>
        </w:rPr>
      </w:pPr>
      <w:r>
        <w:rPr>
          <w:rFonts w:hint="eastAsia" w:ascii="方正小标宋简体" w:eastAsia="方正小标宋简体" w:cs="方正小标宋简体"/>
          <w:sz w:val="44"/>
          <w:szCs w:val="44"/>
          <w:lang w:eastAsia="zh-CN"/>
        </w:rPr>
        <w:t>荣成市卫生健康局</w:t>
      </w:r>
      <w:r>
        <w:rPr>
          <w:rFonts w:hint="eastAsia" w:ascii="方正小标宋简体" w:eastAsia="方正小标宋简体" w:cs="方正小标宋简体"/>
          <w:sz w:val="44"/>
          <w:szCs w:val="44"/>
        </w:rPr>
        <w:t>证明事项通用清单</w:t>
      </w:r>
    </w:p>
    <w:tbl>
      <w:tblPr>
        <w:tblStyle w:val="5"/>
        <w:tblW w:w="14385" w:type="dxa"/>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58"/>
        <w:gridCol w:w="957"/>
        <w:gridCol w:w="2160"/>
        <w:gridCol w:w="9038"/>
        <w:gridCol w:w="1028"/>
        <w:gridCol w:w="6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8" w:type="dxa"/>
            <w:vAlign w:val="center"/>
          </w:tcPr>
          <w:p>
            <w:pPr>
              <w:spacing w:line="240" w:lineRule="exact"/>
              <w:rPr>
                <w:rFonts w:ascii="宋体" w:cs="Times New Roman"/>
                <w:sz w:val="18"/>
                <w:szCs w:val="18"/>
              </w:rPr>
            </w:pPr>
            <w:r>
              <w:rPr>
                <w:rFonts w:hint="eastAsia" w:ascii="宋体" w:hAnsi="宋体" w:cs="宋体"/>
                <w:sz w:val="18"/>
                <w:szCs w:val="18"/>
              </w:rPr>
              <w:t>序号</w:t>
            </w:r>
          </w:p>
        </w:tc>
        <w:tc>
          <w:tcPr>
            <w:tcW w:w="957" w:type="dxa"/>
            <w:vAlign w:val="center"/>
          </w:tcPr>
          <w:p>
            <w:pPr>
              <w:spacing w:line="240" w:lineRule="exact"/>
              <w:jc w:val="center"/>
              <w:rPr>
                <w:rFonts w:ascii="宋体" w:cs="Times New Roman"/>
                <w:sz w:val="18"/>
                <w:szCs w:val="18"/>
              </w:rPr>
            </w:pPr>
            <w:r>
              <w:rPr>
                <w:rFonts w:hint="eastAsia" w:ascii="宋体" w:hAnsi="宋体" w:cs="宋体"/>
                <w:sz w:val="18"/>
                <w:szCs w:val="18"/>
              </w:rPr>
              <w:t>证明事项名称</w:t>
            </w:r>
          </w:p>
        </w:tc>
        <w:tc>
          <w:tcPr>
            <w:tcW w:w="2160" w:type="dxa"/>
            <w:vAlign w:val="center"/>
          </w:tcPr>
          <w:p>
            <w:pPr>
              <w:spacing w:line="240" w:lineRule="exact"/>
              <w:jc w:val="center"/>
              <w:rPr>
                <w:rFonts w:ascii="宋体" w:cs="Times New Roman"/>
                <w:sz w:val="18"/>
                <w:szCs w:val="18"/>
              </w:rPr>
            </w:pPr>
            <w:r>
              <w:rPr>
                <w:rFonts w:hint="eastAsia" w:ascii="宋体" w:hAnsi="宋体" w:cs="宋体"/>
                <w:sz w:val="18"/>
                <w:szCs w:val="18"/>
              </w:rPr>
              <w:t>涉及的政务服务事项名称及编码</w:t>
            </w:r>
          </w:p>
        </w:tc>
        <w:tc>
          <w:tcPr>
            <w:tcW w:w="9038" w:type="dxa"/>
            <w:vAlign w:val="center"/>
          </w:tcPr>
          <w:p>
            <w:pPr>
              <w:spacing w:line="240" w:lineRule="exact"/>
              <w:jc w:val="center"/>
              <w:rPr>
                <w:rFonts w:ascii="宋体" w:cs="Times New Roman"/>
                <w:sz w:val="18"/>
                <w:szCs w:val="18"/>
              </w:rPr>
            </w:pPr>
            <w:r>
              <w:rPr>
                <w:rFonts w:hint="eastAsia" w:ascii="宋体" w:hAnsi="宋体" w:cs="宋体"/>
                <w:sz w:val="18"/>
                <w:szCs w:val="18"/>
              </w:rPr>
              <w:t>设定依据（依据名称规范表述及具体条文内容）</w:t>
            </w:r>
          </w:p>
        </w:tc>
        <w:tc>
          <w:tcPr>
            <w:tcW w:w="1028" w:type="dxa"/>
            <w:vAlign w:val="center"/>
          </w:tcPr>
          <w:p>
            <w:pPr>
              <w:spacing w:line="240" w:lineRule="exact"/>
              <w:jc w:val="center"/>
              <w:rPr>
                <w:rFonts w:ascii="宋体" w:cs="Times New Roman"/>
                <w:sz w:val="18"/>
                <w:szCs w:val="18"/>
              </w:rPr>
            </w:pPr>
            <w:r>
              <w:rPr>
                <w:rFonts w:hint="eastAsia" w:ascii="宋体" w:hAnsi="宋体" w:cs="宋体"/>
                <w:sz w:val="18"/>
                <w:szCs w:val="18"/>
              </w:rPr>
              <w:t>开具单位</w:t>
            </w:r>
          </w:p>
        </w:tc>
        <w:tc>
          <w:tcPr>
            <w:tcW w:w="644" w:type="dxa"/>
            <w:vAlign w:val="center"/>
          </w:tcPr>
          <w:p>
            <w:pPr>
              <w:spacing w:line="240" w:lineRule="exact"/>
              <w:jc w:val="center"/>
              <w:rPr>
                <w:rFonts w:ascii="宋体" w:cs="Times New Roman"/>
                <w:sz w:val="18"/>
                <w:szCs w:val="18"/>
              </w:rPr>
            </w:pPr>
            <w:r>
              <w:rPr>
                <w:rFonts w:hint="eastAsia" w:ascii="宋体" w:hAnsi="宋体" w:cs="宋体"/>
                <w:sz w:val="18"/>
                <w:szCs w:val="1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8" w:type="dxa"/>
            <w:vMerge w:val="restart"/>
            <w:vAlign w:val="center"/>
          </w:tcPr>
          <w:p>
            <w:pPr>
              <w:spacing w:line="240" w:lineRule="exact"/>
              <w:jc w:val="center"/>
              <w:rPr>
                <w:rFonts w:hint="eastAsia" w:ascii="宋体" w:eastAsia="宋体" w:cs="Times New Roman"/>
                <w:color w:val="000000"/>
                <w:sz w:val="18"/>
                <w:szCs w:val="18"/>
                <w:lang w:val="en-US" w:eastAsia="zh-CN"/>
              </w:rPr>
            </w:pPr>
            <w:r>
              <w:rPr>
                <w:rFonts w:hint="eastAsia" w:ascii="宋体" w:cs="Times New Roman"/>
                <w:color w:val="000000"/>
                <w:sz w:val="18"/>
                <w:szCs w:val="18"/>
                <w:lang w:val="en-US" w:eastAsia="zh-CN"/>
              </w:rPr>
              <w:t>1</w:t>
            </w:r>
          </w:p>
        </w:tc>
        <w:tc>
          <w:tcPr>
            <w:tcW w:w="957" w:type="dxa"/>
            <w:vMerge w:val="restart"/>
            <w:tcBorders>
              <w:right w:val="single" w:color="000000" w:sz="4" w:space="0"/>
            </w:tcBorders>
            <w:vAlign w:val="center"/>
          </w:tcPr>
          <w:p>
            <w:pPr>
              <w:widowControl/>
              <w:spacing w:line="240" w:lineRule="exact"/>
              <w:jc w:val="center"/>
              <w:rPr>
                <w:rFonts w:hint="eastAsia" w:ascii="宋体" w:eastAsia="宋体" w:cs="Times New Roman"/>
                <w:color w:val="000000"/>
                <w:sz w:val="18"/>
                <w:szCs w:val="18"/>
                <w:lang w:eastAsia="zh-CN"/>
              </w:rPr>
            </w:pPr>
            <w:r>
              <w:rPr>
                <w:rFonts w:hint="eastAsia" w:ascii="宋体" w:cs="Times New Roman"/>
                <w:color w:val="000000"/>
                <w:sz w:val="18"/>
                <w:szCs w:val="18"/>
                <w:lang w:eastAsia="zh-CN"/>
              </w:rPr>
              <w:t>身份证</w:t>
            </w:r>
          </w:p>
        </w:tc>
        <w:tc>
          <w:tcPr>
            <w:tcW w:w="2160" w:type="dxa"/>
            <w:tcBorders>
              <w:left w:val="single" w:color="000000" w:sz="4" w:space="0"/>
            </w:tcBorders>
            <w:vAlign w:val="center"/>
          </w:tcPr>
          <w:p>
            <w:pPr>
              <w:widowControl/>
              <w:spacing w:line="240" w:lineRule="exact"/>
              <w:rPr>
                <w:rFonts w:ascii="宋体" w:hAnsi="宋体" w:cs="宋体"/>
                <w:sz w:val="18"/>
                <w:szCs w:val="18"/>
              </w:rPr>
            </w:pPr>
            <w:r>
              <w:rPr>
                <w:rFonts w:hint="eastAsia" w:ascii="宋体" w:hAnsi="宋体" w:cs="宋体"/>
                <w:sz w:val="18"/>
                <w:szCs w:val="18"/>
              </w:rPr>
              <w:t>医师执业资格考试</w:t>
            </w:r>
            <w:r>
              <w:rPr>
                <w:rFonts w:ascii="宋体" w:hAnsi="宋体" w:cs="宋体"/>
                <w:sz w:val="18"/>
                <w:szCs w:val="18"/>
              </w:rPr>
              <w:t>3700001023029</w:t>
            </w:r>
          </w:p>
        </w:tc>
        <w:tc>
          <w:tcPr>
            <w:tcW w:w="9038" w:type="dxa"/>
            <w:vAlign w:val="center"/>
          </w:tcPr>
          <w:p>
            <w:pPr>
              <w:spacing w:line="240" w:lineRule="exact"/>
              <w:rPr>
                <w:rFonts w:ascii="宋体" w:hAnsi="宋体" w:cs="宋体"/>
                <w:sz w:val="18"/>
                <w:szCs w:val="18"/>
              </w:rPr>
            </w:pPr>
            <w:r>
              <w:rPr>
                <w:rFonts w:hint="eastAsia" w:ascii="宋体" w:hAnsi="宋体" w:cs="宋体"/>
                <w:sz w:val="18"/>
                <w:szCs w:val="18"/>
              </w:rPr>
              <w:t>《医师资格考试暂行办法》第十三条</w:t>
            </w:r>
            <w:r>
              <w:rPr>
                <w:rFonts w:ascii="宋体" w:hAnsi="宋体" w:cs="宋体"/>
                <w:sz w:val="18"/>
                <w:szCs w:val="18"/>
              </w:rPr>
              <w:t xml:space="preserve">  </w:t>
            </w:r>
            <w:r>
              <w:rPr>
                <w:rFonts w:hint="eastAsia" w:ascii="宋体" w:hAnsi="宋体" w:cs="宋体"/>
                <w:sz w:val="18"/>
                <w:szCs w:val="18"/>
              </w:rPr>
              <w:t>申请参加医师资格考试的人员，应当在公告规定的期限内，到户籍所在地的考点办公室报名，并提交下列材料：</w:t>
            </w:r>
            <w:r>
              <w:rPr>
                <w:rFonts w:ascii="宋体" w:hAnsi="宋体" w:cs="宋体"/>
                <w:sz w:val="18"/>
                <w:szCs w:val="18"/>
              </w:rPr>
              <w:t xml:space="preserve">  </w:t>
            </w:r>
            <w:r>
              <w:rPr>
                <w:rFonts w:hint="eastAsia" w:ascii="宋体" w:hAnsi="宋体" w:cs="宋体"/>
                <w:sz w:val="18"/>
                <w:szCs w:val="18"/>
              </w:rPr>
              <w:t>（二）本人身份证明；</w:t>
            </w:r>
            <w:r>
              <w:rPr>
                <w:rFonts w:ascii="宋体" w:hAnsi="宋体" w:cs="宋体"/>
                <w:sz w:val="18"/>
                <w:szCs w:val="18"/>
              </w:rPr>
              <w:t xml:space="preserve">  </w:t>
            </w:r>
            <w:r>
              <w:rPr>
                <w:rFonts w:hint="eastAsia" w:ascii="宋体" w:hAnsi="宋体" w:cs="宋体"/>
                <w:sz w:val="18"/>
                <w:szCs w:val="18"/>
              </w:rPr>
              <w:t>（六）报考所需的其他材料。</w:t>
            </w:r>
            <w:r>
              <w:rPr>
                <w:rFonts w:ascii="宋体" w:hAnsi="宋体" w:cs="宋体"/>
                <w:sz w:val="18"/>
                <w:szCs w:val="18"/>
              </w:rPr>
              <w:t xml:space="preserve"> </w:t>
            </w:r>
          </w:p>
        </w:tc>
        <w:tc>
          <w:tcPr>
            <w:tcW w:w="1028" w:type="dxa"/>
            <w:vAlign w:val="center"/>
          </w:tcPr>
          <w:p>
            <w:pPr>
              <w:widowControl/>
              <w:spacing w:line="240" w:lineRule="exact"/>
              <w:jc w:val="center"/>
              <w:rPr>
                <w:rFonts w:ascii="宋体" w:cs="Times New Roman"/>
                <w:color w:val="000000"/>
                <w:sz w:val="18"/>
                <w:szCs w:val="18"/>
              </w:rPr>
            </w:pPr>
            <w:r>
              <w:rPr>
                <w:rFonts w:hint="eastAsia" w:ascii="宋体" w:hAnsi="宋体" w:cs="宋体"/>
                <w:sz w:val="18"/>
                <w:szCs w:val="18"/>
              </w:rPr>
              <w:t>公安部门</w:t>
            </w:r>
          </w:p>
        </w:tc>
        <w:tc>
          <w:tcPr>
            <w:tcW w:w="644" w:type="dxa"/>
          </w:tcPr>
          <w:p>
            <w:pPr>
              <w:widowControl/>
              <w:spacing w:line="240" w:lineRule="exact"/>
              <w:rPr>
                <w:rFonts w:ascii="Verdana" w:hAnsi="Verdana" w:cs="Verdan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8" w:type="dxa"/>
            <w:vMerge w:val="continue"/>
            <w:vAlign w:val="center"/>
          </w:tcPr>
          <w:p>
            <w:pPr>
              <w:spacing w:line="240" w:lineRule="exact"/>
              <w:jc w:val="center"/>
              <w:rPr>
                <w:rFonts w:ascii="宋体" w:cs="Times New Roman"/>
                <w:color w:val="000000"/>
                <w:sz w:val="18"/>
                <w:szCs w:val="18"/>
              </w:rPr>
            </w:pPr>
          </w:p>
        </w:tc>
        <w:tc>
          <w:tcPr>
            <w:tcW w:w="957" w:type="dxa"/>
            <w:vMerge w:val="continue"/>
            <w:tcBorders>
              <w:right w:val="single" w:color="000000" w:sz="4" w:space="0"/>
            </w:tcBorders>
            <w:vAlign w:val="center"/>
          </w:tcPr>
          <w:p>
            <w:pPr>
              <w:widowControl/>
              <w:spacing w:line="240" w:lineRule="exact"/>
              <w:jc w:val="center"/>
              <w:rPr>
                <w:rFonts w:ascii="宋体" w:cs="Times New Roman"/>
                <w:color w:val="000000"/>
                <w:sz w:val="18"/>
                <w:szCs w:val="18"/>
              </w:rPr>
            </w:pPr>
          </w:p>
        </w:tc>
        <w:tc>
          <w:tcPr>
            <w:tcW w:w="2160" w:type="dxa"/>
            <w:tcBorders>
              <w:left w:val="single" w:color="000000" w:sz="4" w:space="0"/>
            </w:tcBorders>
            <w:vAlign w:val="center"/>
          </w:tcPr>
          <w:p>
            <w:pPr>
              <w:widowControl/>
              <w:spacing w:line="240" w:lineRule="exact"/>
              <w:rPr>
                <w:rFonts w:ascii="宋体" w:hAnsi="宋体" w:cs="宋体"/>
                <w:color w:val="000000"/>
                <w:sz w:val="18"/>
                <w:szCs w:val="18"/>
              </w:rPr>
            </w:pPr>
            <w:r>
              <w:rPr>
                <w:rFonts w:hint="eastAsia" w:ascii="宋体" w:hAnsi="宋体" w:cs="宋体"/>
                <w:color w:val="000000"/>
                <w:sz w:val="18"/>
                <w:szCs w:val="18"/>
              </w:rPr>
              <w:t>医师定期考核</w:t>
            </w:r>
            <w:r>
              <w:rPr>
                <w:rFonts w:ascii="宋体" w:hAnsi="宋体" w:cs="宋体"/>
                <w:color w:val="000000"/>
                <w:sz w:val="18"/>
                <w:szCs w:val="18"/>
              </w:rPr>
              <w:t>3700001023036</w:t>
            </w:r>
          </w:p>
        </w:tc>
        <w:tc>
          <w:tcPr>
            <w:tcW w:w="9038" w:type="dxa"/>
            <w:vAlign w:val="center"/>
          </w:tcPr>
          <w:p>
            <w:pPr>
              <w:spacing w:line="240" w:lineRule="exact"/>
              <w:rPr>
                <w:rFonts w:ascii="宋体" w:cs="Times New Roman"/>
                <w:color w:val="000000"/>
                <w:sz w:val="18"/>
                <w:szCs w:val="18"/>
              </w:rPr>
            </w:pPr>
            <w:r>
              <w:rPr>
                <w:rFonts w:hint="eastAsia" w:ascii="宋体" w:hAnsi="宋体" w:cs="宋体"/>
                <w:color w:val="000000"/>
                <w:sz w:val="18"/>
                <w:szCs w:val="18"/>
              </w:rPr>
              <w:t>《医师执业注册管理办法》第十二条</w:t>
            </w:r>
            <w:r>
              <w:rPr>
                <w:rFonts w:ascii="宋体" w:hAnsi="宋体" w:cs="宋体"/>
                <w:color w:val="000000"/>
                <w:sz w:val="18"/>
                <w:szCs w:val="18"/>
              </w:rPr>
              <w:t xml:space="preserve">  </w:t>
            </w:r>
            <w:r>
              <w:rPr>
                <w:rFonts w:hint="eastAsia" w:ascii="宋体" w:hAnsi="宋体" w:cs="宋体"/>
                <w:color w:val="000000"/>
                <w:sz w:val="18"/>
                <w:szCs w:val="18"/>
              </w:rPr>
              <w:t>申请医师执业注册，应当提交下列材料：（四）省级以上卫生计生行政部门规定的其他材料。</w:t>
            </w:r>
          </w:p>
        </w:tc>
        <w:tc>
          <w:tcPr>
            <w:tcW w:w="1028" w:type="dxa"/>
            <w:vAlign w:val="center"/>
          </w:tcPr>
          <w:p>
            <w:pPr>
              <w:widowControl/>
              <w:spacing w:line="240" w:lineRule="exact"/>
              <w:jc w:val="center"/>
              <w:rPr>
                <w:rFonts w:ascii="宋体" w:cs="Times New Roman"/>
                <w:color w:val="000000"/>
                <w:sz w:val="18"/>
                <w:szCs w:val="18"/>
              </w:rPr>
            </w:pPr>
            <w:r>
              <w:rPr>
                <w:rFonts w:hint="eastAsia" w:ascii="宋体" w:hAnsi="宋体" w:cs="宋体"/>
                <w:sz w:val="18"/>
                <w:szCs w:val="18"/>
              </w:rPr>
              <w:t>公安部门</w:t>
            </w:r>
          </w:p>
        </w:tc>
        <w:tc>
          <w:tcPr>
            <w:tcW w:w="644" w:type="dxa"/>
          </w:tcPr>
          <w:p>
            <w:pPr>
              <w:widowControl/>
              <w:spacing w:line="240" w:lineRule="exact"/>
              <w:rPr>
                <w:rFonts w:ascii="Verdana" w:hAnsi="Verdana" w:cs="Verdan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8" w:type="dxa"/>
            <w:vMerge w:val="continue"/>
            <w:vAlign w:val="center"/>
          </w:tcPr>
          <w:p>
            <w:pPr>
              <w:spacing w:line="240" w:lineRule="exact"/>
              <w:jc w:val="center"/>
              <w:rPr>
                <w:rFonts w:ascii="宋体" w:cs="Times New Roman"/>
                <w:color w:val="000000"/>
                <w:sz w:val="18"/>
                <w:szCs w:val="18"/>
              </w:rPr>
            </w:pPr>
          </w:p>
        </w:tc>
        <w:tc>
          <w:tcPr>
            <w:tcW w:w="957" w:type="dxa"/>
            <w:vMerge w:val="continue"/>
            <w:tcBorders>
              <w:right w:val="single" w:color="000000" w:sz="4" w:space="0"/>
            </w:tcBorders>
            <w:vAlign w:val="center"/>
          </w:tcPr>
          <w:p>
            <w:pPr>
              <w:widowControl/>
              <w:spacing w:line="240" w:lineRule="exact"/>
              <w:jc w:val="center"/>
              <w:rPr>
                <w:rFonts w:ascii="宋体" w:cs="Times New Roman"/>
                <w:color w:val="000000"/>
                <w:sz w:val="18"/>
                <w:szCs w:val="18"/>
              </w:rPr>
            </w:pPr>
          </w:p>
        </w:tc>
        <w:tc>
          <w:tcPr>
            <w:tcW w:w="2160" w:type="dxa"/>
            <w:tcBorders>
              <w:left w:val="single" w:color="000000" w:sz="4" w:space="0"/>
            </w:tcBorders>
            <w:vAlign w:val="center"/>
          </w:tcPr>
          <w:p>
            <w:pPr>
              <w:widowControl/>
              <w:spacing w:line="240" w:lineRule="exact"/>
              <w:rPr>
                <w:rFonts w:ascii="宋体" w:hAnsi="宋体" w:cs="宋体"/>
                <w:color w:val="000000"/>
                <w:sz w:val="18"/>
                <w:szCs w:val="18"/>
              </w:rPr>
            </w:pPr>
            <w:r>
              <w:rPr>
                <w:rFonts w:hint="eastAsia" w:ascii="宋体" w:hAnsi="宋体" w:cs="宋体"/>
                <w:color w:val="000000"/>
                <w:sz w:val="18"/>
                <w:szCs w:val="18"/>
              </w:rPr>
              <w:t>中医医术确有专长人员医师资格考核</w:t>
            </w:r>
            <w:r>
              <w:rPr>
                <w:rFonts w:ascii="宋体" w:hAnsi="宋体" w:cs="宋体"/>
                <w:color w:val="000000"/>
                <w:sz w:val="18"/>
                <w:szCs w:val="18"/>
              </w:rPr>
              <w:t>3700001023038</w:t>
            </w:r>
          </w:p>
        </w:tc>
        <w:tc>
          <w:tcPr>
            <w:tcW w:w="9038" w:type="dxa"/>
            <w:vAlign w:val="center"/>
          </w:tcPr>
          <w:p>
            <w:pPr>
              <w:spacing w:line="240" w:lineRule="exact"/>
              <w:rPr>
                <w:rFonts w:ascii="宋体" w:hAnsi="宋体" w:cs="宋体"/>
                <w:color w:val="000000"/>
                <w:sz w:val="18"/>
                <w:szCs w:val="18"/>
              </w:rPr>
            </w:pPr>
            <w:r>
              <w:rPr>
                <w:rFonts w:hint="eastAsia" w:ascii="宋体" w:hAnsi="宋体" w:cs="宋体"/>
                <w:color w:val="000000"/>
                <w:sz w:val="18"/>
                <w:szCs w:val="18"/>
              </w:rPr>
              <w:t>《传统医学师承和确有专长人员医师资格考核考试办法》第二十二条</w:t>
            </w:r>
            <w:r>
              <w:rPr>
                <w:rFonts w:ascii="宋体" w:hAnsi="宋体" w:cs="宋体"/>
                <w:color w:val="000000"/>
                <w:sz w:val="18"/>
                <w:szCs w:val="18"/>
              </w:rPr>
              <w:t xml:space="preserve">  </w:t>
            </w:r>
            <w:r>
              <w:rPr>
                <w:rFonts w:hint="eastAsia" w:ascii="宋体" w:hAnsi="宋体" w:cs="宋体"/>
                <w:color w:val="000000"/>
                <w:sz w:val="18"/>
                <w:szCs w:val="18"/>
              </w:rPr>
              <w:t>申请确有专长考核的应当提交下列材料：（二）本人身份证明；</w:t>
            </w:r>
            <w:r>
              <w:rPr>
                <w:rFonts w:ascii="宋体" w:hAnsi="宋体" w:cs="宋体"/>
                <w:color w:val="000000"/>
                <w:sz w:val="18"/>
                <w:szCs w:val="18"/>
              </w:rPr>
              <w:t xml:space="preserve"> </w:t>
            </w:r>
          </w:p>
        </w:tc>
        <w:tc>
          <w:tcPr>
            <w:tcW w:w="1028" w:type="dxa"/>
            <w:vAlign w:val="center"/>
          </w:tcPr>
          <w:p>
            <w:pPr>
              <w:widowControl/>
              <w:spacing w:line="240" w:lineRule="exact"/>
              <w:jc w:val="center"/>
              <w:rPr>
                <w:rFonts w:ascii="宋体" w:cs="Times New Roman"/>
                <w:color w:val="000000"/>
                <w:sz w:val="18"/>
                <w:szCs w:val="18"/>
              </w:rPr>
            </w:pPr>
            <w:r>
              <w:rPr>
                <w:rFonts w:hint="eastAsia" w:ascii="宋体" w:hAnsi="宋体" w:cs="宋体"/>
                <w:sz w:val="18"/>
                <w:szCs w:val="18"/>
              </w:rPr>
              <w:t>公安部门</w:t>
            </w:r>
          </w:p>
        </w:tc>
        <w:tc>
          <w:tcPr>
            <w:tcW w:w="644" w:type="dxa"/>
          </w:tcPr>
          <w:p>
            <w:pPr>
              <w:widowControl/>
              <w:spacing w:line="240" w:lineRule="exact"/>
              <w:rPr>
                <w:rFonts w:ascii="Verdana" w:hAnsi="Verdana" w:cs="Verdan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3" w:hRule="atLeast"/>
        </w:trPr>
        <w:tc>
          <w:tcPr>
            <w:tcW w:w="558" w:type="dxa"/>
            <w:vMerge w:val="continue"/>
            <w:vAlign w:val="center"/>
          </w:tcPr>
          <w:p>
            <w:pPr>
              <w:widowControl/>
              <w:spacing w:line="240" w:lineRule="exact"/>
              <w:jc w:val="center"/>
              <w:rPr>
                <w:rFonts w:ascii="宋体" w:cs="Times New Roman"/>
                <w:color w:val="000000"/>
                <w:sz w:val="18"/>
                <w:szCs w:val="18"/>
              </w:rPr>
            </w:pPr>
          </w:p>
        </w:tc>
        <w:tc>
          <w:tcPr>
            <w:tcW w:w="957" w:type="dxa"/>
            <w:vMerge w:val="continue"/>
            <w:tcBorders>
              <w:right w:val="single" w:color="000000" w:sz="4" w:space="0"/>
            </w:tcBorders>
            <w:vAlign w:val="center"/>
          </w:tcPr>
          <w:p>
            <w:pPr>
              <w:widowControl/>
              <w:spacing w:line="240" w:lineRule="exact"/>
              <w:jc w:val="center"/>
              <w:rPr>
                <w:rFonts w:ascii="宋体" w:cs="Times New Roman"/>
                <w:color w:val="000000"/>
                <w:sz w:val="18"/>
                <w:szCs w:val="18"/>
              </w:rPr>
            </w:pPr>
          </w:p>
        </w:tc>
        <w:tc>
          <w:tcPr>
            <w:tcW w:w="2160" w:type="dxa"/>
            <w:tcBorders>
              <w:left w:val="single" w:color="000000" w:sz="4" w:space="0"/>
            </w:tcBorders>
            <w:vAlign w:val="center"/>
          </w:tcPr>
          <w:p>
            <w:pPr>
              <w:widowControl/>
              <w:spacing w:line="240" w:lineRule="exact"/>
              <w:rPr>
                <w:rFonts w:ascii="宋体" w:hAnsi="宋体" w:cs="宋体"/>
                <w:color w:val="000000"/>
                <w:sz w:val="18"/>
                <w:szCs w:val="18"/>
              </w:rPr>
            </w:pPr>
            <w:r>
              <w:rPr>
                <w:rFonts w:hint="eastAsia" w:ascii="宋体" w:hAnsi="宋体" w:cs="宋体"/>
                <w:color w:val="000000"/>
                <w:sz w:val="18"/>
                <w:szCs w:val="18"/>
              </w:rPr>
              <w:t>传统医学医</w:t>
            </w:r>
            <w:bookmarkStart w:id="0" w:name="_GoBack"/>
            <w:bookmarkEnd w:id="0"/>
            <w:r>
              <w:rPr>
                <w:rFonts w:hint="eastAsia" w:ascii="宋体" w:hAnsi="宋体" w:cs="宋体"/>
                <w:color w:val="000000"/>
                <w:sz w:val="18"/>
                <w:szCs w:val="18"/>
              </w:rPr>
              <w:t>术确有专长考核</w:t>
            </w:r>
            <w:r>
              <w:rPr>
                <w:rFonts w:ascii="宋体" w:hAnsi="宋体" w:cs="宋体"/>
                <w:color w:val="000000"/>
                <w:sz w:val="18"/>
                <w:szCs w:val="18"/>
              </w:rPr>
              <w:t>3700001023043</w:t>
            </w:r>
          </w:p>
        </w:tc>
        <w:tc>
          <w:tcPr>
            <w:tcW w:w="9038" w:type="dxa"/>
            <w:vAlign w:val="center"/>
          </w:tcPr>
          <w:p>
            <w:pPr>
              <w:spacing w:line="240" w:lineRule="exact"/>
              <w:rPr>
                <w:rFonts w:ascii="宋体" w:hAnsi="宋体" w:cs="宋体"/>
                <w:color w:val="000000"/>
                <w:sz w:val="18"/>
                <w:szCs w:val="18"/>
              </w:rPr>
            </w:pPr>
            <w:r>
              <w:rPr>
                <w:rFonts w:hint="eastAsia" w:ascii="宋体" w:hAnsi="宋体" w:cs="宋体"/>
                <w:color w:val="000000"/>
                <w:sz w:val="18"/>
                <w:szCs w:val="18"/>
              </w:rPr>
              <w:t>《传统医学师承和确有专长人员医师资格考核考试办法》第二十二条</w:t>
            </w:r>
            <w:r>
              <w:rPr>
                <w:rFonts w:ascii="宋体" w:hAnsi="宋体" w:cs="宋体"/>
                <w:color w:val="000000"/>
                <w:sz w:val="18"/>
                <w:szCs w:val="18"/>
              </w:rPr>
              <w:t xml:space="preserve">  </w:t>
            </w:r>
            <w:r>
              <w:rPr>
                <w:rFonts w:hint="eastAsia" w:ascii="宋体" w:hAnsi="宋体" w:cs="宋体"/>
                <w:color w:val="000000"/>
                <w:sz w:val="18"/>
                <w:szCs w:val="18"/>
              </w:rPr>
              <w:t>申请确有专长考核的应当提交下列材料：（二）本人身份证明；</w:t>
            </w:r>
            <w:r>
              <w:rPr>
                <w:rFonts w:ascii="宋体" w:hAnsi="宋体" w:cs="宋体"/>
                <w:color w:val="000000"/>
                <w:sz w:val="18"/>
                <w:szCs w:val="18"/>
              </w:rPr>
              <w:t xml:space="preserve"> </w:t>
            </w:r>
          </w:p>
        </w:tc>
        <w:tc>
          <w:tcPr>
            <w:tcW w:w="1028" w:type="dxa"/>
            <w:vAlign w:val="center"/>
          </w:tcPr>
          <w:p>
            <w:pPr>
              <w:widowControl/>
              <w:spacing w:line="240" w:lineRule="exact"/>
              <w:jc w:val="center"/>
              <w:rPr>
                <w:rFonts w:ascii="宋体" w:cs="Times New Roman"/>
                <w:color w:val="000000"/>
                <w:sz w:val="18"/>
                <w:szCs w:val="18"/>
              </w:rPr>
            </w:pPr>
            <w:r>
              <w:rPr>
                <w:rFonts w:hint="eastAsia" w:ascii="宋体" w:hAnsi="宋体" w:cs="宋体"/>
                <w:sz w:val="18"/>
                <w:szCs w:val="18"/>
              </w:rPr>
              <w:t>公安部门</w:t>
            </w:r>
          </w:p>
        </w:tc>
        <w:tc>
          <w:tcPr>
            <w:tcW w:w="644" w:type="dxa"/>
          </w:tcPr>
          <w:p>
            <w:pPr>
              <w:widowControl/>
              <w:spacing w:line="240" w:lineRule="exact"/>
              <w:rPr>
                <w:rFonts w:ascii="Verdana" w:hAnsi="Verdana" w:cs="Verdan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8" w:type="dxa"/>
            <w:vMerge w:val="restart"/>
            <w:vAlign w:val="center"/>
          </w:tcPr>
          <w:p>
            <w:pPr>
              <w:spacing w:line="240" w:lineRule="exact"/>
              <w:jc w:val="center"/>
              <w:rPr>
                <w:rFonts w:hint="eastAsia" w:ascii="宋体" w:eastAsia="宋体" w:cs="Times New Roman"/>
                <w:color w:val="000000"/>
                <w:sz w:val="18"/>
                <w:szCs w:val="18"/>
                <w:lang w:val="en-US" w:eastAsia="zh-CN"/>
              </w:rPr>
            </w:pPr>
            <w:r>
              <w:rPr>
                <w:rFonts w:hint="eastAsia" w:ascii="宋体" w:cs="Times New Roman"/>
                <w:color w:val="000000"/>
                <w:sz w:val="18"/>
                <w:szCs w:val="18"/>
                <w:lang w:val="en-US" w:eastAsia="zh-CN"/>
              </w:rPr>
              <w:t>2</w:t>
            </w:r>
          </w:p>
        </w:tc>
        <w:tc>
          <w:tcPr>
            <w:tcW w:w="957" w:type="dxa"/>
            <w:vMerge w:val="restart"/>
            <w:vAlign w:val="center"/>
          </w:tcPr>
          <w:p>
            <w:pPr>
              <w:widowControl/>
              <w:spacing w:line="240" w:lineRule="exact"/>
              <w:jc w:val="center"/>
              <w:rPr>
                <w:rFonts w:hint="eastAsia" w:ascii="宋体" w:eastAsia="宋体" w:cs="Times New Roman"/>
                <w:color w:val="000000"/>
                <w:sz w:val="18"/>
                <w:szCs w:val="18"/>
                <w:lang w:eastAsia="zh-CN"/>
              </w:rPr>
            </w:pPr>
            <w:r>
              <w:rPr>
                <w:rFonts w:hint="eastAsia" w:ascii="宋体" w:cs="Times New Roman"/>
                <w:color w:val="000000"/>
                <w:sz w:val="18"/>
                <w:szCs w:val="18"/>
                <w:lang w:eastAsia="zh-CN"/>
              </w:rPr>
              <w:t>资格（职称）证书</w:t>
            </w:r>
          </w:p>
        </w:tc>
        <w:tc>
          <w:tcPr>
            <w:tcW w:w="2160" w:type="dxa"/>
            <w:vAlign w:val="center"/>
          </w:tcPr>
          <w:p>
            <w:pPr>
              <w:widowControl/>
              <w:spacing w:line="240" w:lineRule="exact"/>
              <w:rPr>
                <w:rFonts w:ascii="宋体" w:hAnsi="宋体" w:cs="宋体"/>
                <w:color w:val="000000"/>
                <w:sz w:val="18"/>
                <w:szCs w:val="18"/>
              </w:rPr>
            </w:pPr>
            <w:r>
              <w:rPr>
                <w:rFonts w:hint="eastAsia" w:ascii="宋体" w:hAnsi="宋体" w:cs="宋体"/>
                <w:color w:val="000000"/>
                <w:sz w:val="18"/>
                <w:szCs w:val="18"/>
              </w:rPr>
              <w:t>医疗机构放射性职业病危害建设项目预评价报告审核、竣工验收</w:t>
            </w:r>
            <w:r>
              <w:rPr>
                <w:rFonts w:ascii="宋体" w:hAnsi="宋体" w:cs="宋体"/>
                <w:color w:val="000000"/>
                <w:sz w:val="18"/>
                <w:szCs w:val="18"/>
              </w:rPr>
              <w:t>3700000123046</w:t>
            </w:r>
          </w:p>
        </w:tc>
        <w:tc>
          <w:tcPr>
            <w:tcW w:w="9038" w:type="dxa"/>
            <w:vAlign w:val="center"/>
          </w:tcPr>
          <w:p>
            <w:pPr>
              <w:spacing w:line="240" w:lineRule="exact"/>
              <w:rPr>
                <w:rFonts w:ascii="宋体" w:hAnsi="宋体" w:cs="宋体"/>
                <w:color w:val="000000"/>
                <w:sz w:val="18"/>
                <w:szCs w:val="18"/>
              </w:rPr>
            </w:pPr>
            <w:r>
              <w:rPr>
                <w:rFonts w:hint="eastAsia" w:ascii="宋体" w:hAnsi="宋体" w:cs="宋体"/>
                <w:color w:val="000000"/>
                <w:sz w:val="18"/>
                <w:szCs w:val="18"/>
              </w:rPr>
              <w:t>《中华人民共和国职业病防治法》第十五条（六）法律、行政法规和国务院卫生行政部门关于保护劳动者健康的其他要求。《放射诊疗管理规定》第十四条</w:t>
            </w:r>
            <w:r>
              <w:rPr>
                <w:rFonts w:ascii="宋体" w:hAnsi="宋体" w:cs="宋体"/>
                <w:color w:val="000000"/>
                <w:sz w:val="18"/>
                <w:szCs w:val="18"/>
              </w:rPr>
              <w:t xml:space="preserve">  </w:t>
            </w:r>
            <w:r>
              <w:rPr>
                <w:rFonts w:hint="eastAsia" w:ascii="宋体" w:hAnsi="宋体" w:cs="宋体"/>
                <w:color w:val="000000"/>
                <w:sz w:val="18"/>
                <w:szCs w:val="18"/>
              </w:rPr>
              <w:t>医疗机构在开展放射诊疗工作前，应当提交下列资料，向相应的卫生行政部门提出放射诊疗许可申请：（三）放射诊疗专业技术人员的任职资格证书（复印件）；</w:t>
            </w:r>
            <w:r>
              <w:rPr>
                <w:rFonts w:ascii="宋体" w:hAnsi="宋体" w:cs="宋体"/>
                <w:color w:val="000000"/>
                <w:sz w:val="18"/>
                <w:szCs w:val="18"/>
              </w:rPr>
              <w:t xml:space="preserve"> </w:t>
            </w:r>
          </w:p>
        </w:tc>
        <w:tc>
          <w:tcPr>
            <w:tcW w:w="1028" w:type="dxa"/>
            <w:vAlign w:val="center"/>
          </w:tcPr>
          <w:p>
            <w:pPr>
              <w:widowControl/>
              <w:spacing w:line="240" w:lineRule="exact"/>
              <w:jc w:val="center"/>
              <w:rPr>
                <w:rFonts w:ascii="宋体" w:cs="Times New Roman"/>
                <w:color w:val="000000"/>
                <w:sz w:val="18"/>
                <w:szCs w:val="18"/>
              </w:rPr>
            </w:pPr>
            <w:r>
              <w:rPr>
                <w:rFonts w:hint="eastAsia" w:ascii="宋体" w:hAnsi="宋体" w:cs="宋体"/>
                <w:color w:val="000000"/>
                <w:sz w:val="18"/>
                <w:szCs w:val="18"/>
              </w:rPr>
              <w:t>人事部门</w:t>
            </w:r>
          </w:p>
        </w:tc>
        <w:tc>
          <w:tcPr>
            <w:tcW w:w="644" w:type="dxa"/>
          </w:tcPr>
          <w:p>
            <w:pPr>
              <w:widowControl/>
              <w:spacing w:line="240" w:lineRule="exact"/>
              <w:rPr>
                <w:rFonts w:ascii="Verdana" w:hAnsi="Verdana" w:cs="Verdan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8" w:type="dxa"/>
            <w:vMerge w:val="continue"/>
            <w:vAlign w:val="center"/>
          </w:tcPr>
          <w:p>
            <w:pPr>
              <w:spacing w:line="240" w:lineRule="exact"/>
              <w:jc w:val="center"/>
              <w:rPr>
                <w:rFonts w:ascii="宋体" w:cs="Times New Roman"/>
                <w:color w:val="000000"/>
                <w:sz w:val="18"/>
                <w:szCs w:val="18"/>
              </w:rPr>
            </w:pPr>
          </w:p>
        </w:tc>
        <w:tc>
          <w:tcPr>
            <w:tcW w:w="957" w:type="dxa"/>
            <w:vMerge w:val="continue"/>
            <w:vAlign w:val="center"/>
          </w:tcPr>
          <w:p>
            <w:pPr>
              <w:widowControl/>
              <w:spacing w:line="240" w:lineRule="exact"/>
              <w:jc w:val="center"/>
              <w:rPr>
                <w:rFonts w:ascii="宋体" w:cs="Times New Roman"/>
                <w:color w:val="000000"/>
                <w:sz w:val="18"/>
                <w:szCs w:val="18"/>
              </w:rPr>
            </w:pPr>
          </w:p>
        </w:tc>
        <w:tc>
          <w:tcPr>
            <w:tcW w:w="2160" w:type="dxa"/>
            <w:vAlign w:val="center"/>
          </w:tcPr>
          <w:p>
            <w:pPr>
              <w:widowControl/>
              <w:spacing w:line="240" w:lineRule="exact"/>
              <w:rPr>
                <w:rFonts w:ascii="宋体" w:hAnsi="宋体" w:cs="宋体"/>
                <w:color w:val="000000"/>
                <w:sz w:val="18"/>
                <w:szCs w:val="18"/>
              </w:rPr>
            </w:pPr>
            <w:r>
              <w:rPr>
                <w:rFonts w:hint="eastAsia" w:ascii="宋体" w:hAnsi="宋体" w:cs="宋体"/>
                <w:color w:val="000000"/>
                <w:sz w:val="18"/>
                <w:szCs w:val="18"/>
              </w:rPr>
              <w:t>承担预防接种工作的医疗卫生机构（接种单位）的确认</w:t>
            </w:r>
            <w:r>
              <w:rPr>
                <w:rFonts w:ascii="宋体" w:cs="Times New Roman"/>
                <w:color w:val="000000"/>
                <w:sz w:val="18"/>
                <w:szCs w:val="18"/>
              </w:rPr>
              <w:tab/>
            </w:r>
            <w:r>
              <w:rPr>
                <w:rFonts w:ascii="宋体" w:hAnsi="宋体" w:cs="宋体"/>
                <w:color w:val="000000"/>
                <w:sz w:val="18"/>
                <w:szCs w:val="18"/>
              </w:rPr>
              <w:t>3700000723012</w:t>
            </w:r>
          </w:p>
        </w:tc>
        <w:tc>
          <w:tcPr>
            <w:tcW w:w="9038" w:type="dxa"/>
            <w:vAlign w:val="center"/>
          </w:tcPr>
          <w:p>
            <w:pPr>
              <w:spacing w:line="240" w:lineRule="exact"/>
              <w:rPr>
                <w:rFonts w:ascii="宋体" w:hAnsi="宋体" w:cs="宋体"/>
                <w:color w:val="000000"/>
                <w:sz w:val="18"/>
                <w:szCs w:val="18"/>
              </w:rPr>
            </w:pPr>
            <w:r>
              <w:rPr>
                <w:rFonts w:hint="eastAsia" w:ascii="宋体" w:hAnsi="宋体" w:cs="宋体"/>
                <w:color w:val="000000"/>
                <w:sz w:val="18"/>
                <w:szCs w:val="18"/>
              </w:rPr>
              <w:t>《中华人民共和国疫苗管理法》第四十四条</w:t>
            </w:r>
            <w:r>
              <w:rPr>
                <w:rFonts w:ascii="宋体" w:hAnsi="宋体" w:cs="宋体"/>
                <w:color w:val="000000"/>
                <w:sz w:val="18"/>
                <w:szCs w:val="18"/>
              </w:rPr>
              <w:t xml:space="preserve">  </w:t>
            </w:r>
            <w:r>
              <w:rPr>
                <w:rFonts w:hint="eastAsia" w:ascii="宋体" w:hAnsi="宋体" w:cs="宋体"/>
                <w:color w:val="000000"/>
                <w:sz w:val="18"/>
                <w:szCs w:val="18"/>
              </w:rPr>
              <w:t>接种单位应当具备下列条件：</w:t>
            </w:r>
            <w:r>
              <w:rPr>
                <w:rFonts w:ascii="宋体" w:hAnsi="宋体" w:cs="宋体"/>
                <w:color w:val="000000"/>
                <w:sz w:val="18"/>
                <w:szCs w:val="18"/>
              </w:rPr>
              <w:t xml:space="preserve">  </w:t>
            </w:r>
            <w:r>
              <w:rPr>
                <w:rFonts w:hint="eastAsia" w:ascii="宋体" w:hAnsi="宋体" w:cs="宋体"/>
                <w:color w:val="000000"/>
                <w:sz w:val="18"/>
                <w:szCs w:val="18"/>
              </w:rPr>
              <w:t>（二）具有经过县级人民政府卫生健康主管部门组织的预防接种专业培训并考核合格的医师、护士或者乡村医生；</w:t>
            </w:r>
            <w:r>
              <w:rPr>
                <w:rFonts w:ascii="宋体" w:hAnsi="宋体" w:cs="宋体"/>
                <w:color w:val="000000"/>
                <w:sz w:val="18"/>
                <w:szCs w:val="18"/>
              </w:rPr>
              <w:t xml:space="preserve"> </w:t>
            </w:r>
          </w:p>
        </w:tc>
        <w:tc>
          <w:tcPr>
            <w:tcW w:w="1028" w:type="dxa"/>
            <w:vAlign w:val="center"/>
          </w:tcPr>
          <w:p>
            <w:pPr>
              <w:widowControl/>
              <w:spacing w:line="240" w:lineRule="exact"/>
              <w:jc w:val="center"/>
              <w:rPr>
                <w:rFonts w:ascii="宋体" w:cs="Times New Roman"/>
                <w:color w:val="000000"/>
                <w:sz w:val="18"/>
                <w:szCs w:val="18"/>
              </w:rPr>
            </w:pPr>
            <w:r>
              <w:rPr>
                <w:rFonts w:hint="eastAsia" w:ascii="宋体" w:hAnsi="宋体" w:cs="宋体"/>
                <w:color w:val="000000"/>
                <w:sz w:val="18"/>
                <w:szCs w:val="18"/>
              </w:rPr>
              <w:t>人事部门</w:t>
            </w:r>
          </w:p>
        </w:tc>
        <w:tc>
          <w:tcPr>
            <w:tcW w:w="644" w:type="dxa"/>
          </w:tcPr>
          <w:p>
            <w:pPr>
              <w:widowControl/>
              <w:spacing w:line="240" w:lineRule="exact"/>
              <w:rPr>
                <w:rFonts w:ascii="Verdana" w:hAnsi="Verdana" w:cs="Verdan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8" w:type="dxa"/>
            <w:vMerge w:val="restart"/>
            <w:vAlign w:val="center"/>
          </w:tcPr>
          <w:p>
            <w:pPr>
              <w:spacing w:line="240" w:lineRule="exact"/>
              <w:jc w:val="center"/>
              <w:rPr>
                <w:rFonts w:hint="eastAsia" w:ascii="宋体" w:eastAsia="宋体" w:cs="Times New Roman"/>
                <w:color w:val="000000"/>
                <w:sz w:val="18"/>
                <w:szCs w:val="18"/>
                <w:lang w:val="en-US" w:eastAsia="zh-CN"/>
              </w:rPr>
            </w:pPr>
            <w:r>
              <w:rPr>
                <w:rFonts w:hint="eastAsia" w:ascii="宋体" w:cs="Times New Roman"/>
                <w:color w:val="000000"/>
                <w:sz w:val="18"/>
                <w:szCs w:val="18"/>
                <w:lang w:val="en-US" w:eastAsia="zh-CN"/>
              </w:rPr>
              <w:t>3</w:t>
            </w:r>
          </w:p>
        </w:tc>
        <w:tc>
          <w:tcPr>
            <w:tcW w:w="957" w:type="dxa"/>
            <w:vMerge w:val="restart"/>
            <w:vAlign w:val="center"/>
          </w:tcPr>
          <w:p>
            <w:pPr>
              <w:widowControl/>
              <w:spacing w:line="240" w:lineRule="exact"/>
              <w:jc w:val="center"/>
              <w:rPr>
                <w:rFonts w:hint="eastAsia" w:ascii="宋体" w:eastAsia="宋体" w:cs="Times New Roman"/>
                <w:color w:val="000000"/>
                <w:sz w:val="18"/>
                <w:szCs w:val="18"/>
                <w:lang w:eastAsia="zh-CN"/>
              </w:rPr>
            </w:pPr>
            <w:r>
              <w:rPr>
                <w:rFonts w:hint="eastAsia" w:ascii="宋体" w:cs="Times New Roman"/>
                <w:color w:val="000000"/>
                <w:sz w:val="18"/>
                <w:szCs w:val="18"/>
                <w:lang w:eastAsia="zh-CN"/>
              </w:rPr>
              <w:t>学历证明（毕业证）</w:t>
            </w:r>
          </w:p>
        </w:tc>
        <w:tc>
          <w:tcPr>
            <w:tcW w:w="2160" w:type="dxa"/>
            <w:vAlign w:val="center"/>
          </w:tcPr>
          <w:p>
            <w:pPr>
              <w:widowControl/>
              <w:spacing w:line="240" w:lineRule="exact"/>
              <w:rPr>
                <w:rFonts w:ascii="宋体" w:hAnsi="宋体" w:cs="宋体"/>
                <w:color w:val="000000"/>
                <w:sz w:val="18"/>
                <w:szCs w:val="18"/>
              </w:rPr>
            </w:pPr>
            <w:r>
              <w:rPr>
                <w:rFonts w:hint="eastAsia" w:ascii="宋体" w:hAnsi="宋体" w:cs="宋体"/>
                <w:color w:val="000000"/>
                <w:sz w:val="18"/>
                <w:szCs w:val="18"/>
              </w:rPr>
              <w:t>护士执业资格考试</w:t>
            </w:r>
            <w:r>
              <w:rPr>
                <w:rFonts w:ascii="宋体" w:hAnsi="宋体" w:cs="宋体"/>
                <w:color w:val="000000"/>
                <w:sz w:val="18"/>
                <w:szCs w:val="18"/>
              </w:rPr>
              <w:t>3700001023028</w:t>
            </w:r>
          </w:p>
        </w:tc>
        <w:tc>
          <w:tcPr>
            <w:tcW w:w="9038" w:type="dxa"/>
            <w:vAlign w:val="center"/>
          </w:tcPr>
          <w:p>
            <w:pPr>
              <w:widowControl/>
              <w:spacing w:line="240" w:lineRule="exact"/>
              <w:rPr>
                <w:rFonts w:ascii="宋体" w:cs="Times New Roman"/>
                <w:color w:val="000000"/>
                <w:sz w:val="18"/>
                <w:szCs w:val="18"/>
              </w:rPr>
            </w:pPr>
            <w:r>
              <w:rPr>
                <w:rFonts w:hint="eastAsia" w:ascii="宋体" w:hAnsi="宋体" w:cs="宋体"/>
                <w:color w:val="000000"/>
                <w:sz w:val="18"/>
                <w:szCs w:val="18"/>
              </w:rPr>
              <w:t>《护士执业注册管理办法》第七条</w:t>
            </w:r>
            <w:r>
              <w:rPr>
                <w:rFonts w:ascii="宋体" w:hAnsi="宋体" w:cs="宋体"/>
                <w:color w:val="000000"/>
                <w:sz w:val="18"/>
                <w:szCs w:val="18"/>
              </w:rPr>
              <w:t xml:space="preserve">  </w:t>
            </w:r>
            <w:r>
              <w:rPr>
                <w:rFonts w:hint="eastAsia" w:ascii="宋体" w:hAnsi="宋体" w:cs="宋体"/>
                <w:color w:val="000000"/>
                <w:sz w:val="18"/>
                <w:szCs w:val="18"/>
              </w:rPr>
              <w:t>申请护士执业注册，应当提交下列材料：</w:t>
            </w:r>
            <w:r>
              <w:rPr>
                <w:rFonts w:ascii="宋体" w:hAnsi="宋体" w:cs="宋体"/>
                <w:color w:val="000000"/>
                <w:sz w:val="18"/>
                <w:szCs w:val="18"/>
              </w:rPr>
              <w:t xml:space="preserve">  </w:t>
            </w:r>
            <w:r>
              <w:rPr>
                <w:rFonts w:hint="eastAsia" w:ascii="宋体" w:hAnsi="宋体" w:cs="宋体"/>
                <w:color w:val="000000"/>
                <w:sz w:val="18"/>
                <w:szCs w:val="18"/>
              </w:rPr>
              <w:t>（三）申请人学历证书及专业学习中的临床实习证明；</w:t>
            </w:r>
          </w:p>
          <w:p>
            <w:pPr>
              <w:widowControl/>
              <w:spacing w:line="240" w:lineRule="exact"/>
              <w:rPr>
                <w:rFonts w:ascii="宋体" w:hAnsi="宋体" w:cs="宋体"/>
                <w:color w:val="000000"/>
                <w:sz w:val="18"/>
                <w:szCs w:val="18"/>
              </w:rPr>
            </w:pPr>
            <w:r>
              <w:rPr>
                <w:rFonts w:hint="eastAsia" w:ascii="宋体" w:hAnsi="宋体" w:cs="宋体"/>
                <w:color w:val="000000"/>
                <w:sz w:val="18"/>
                <w:szCs w:val="18"/>
              </w:rPr>
              <w:t>《护士执业资格考试办法》第十三条</w:t>
            </w:r>
            <w:r>
              <w:rPr>
                <w:rFonts w:ascii="宋体" w:hAnsi="宋体" w:cs="宋体"/>
                <w:color w:val="000000"/>
                <w:sz w:val="18"/>
                <w:szCs w:val="18"/>
              </w:rPr>
              <w:t xml:space="preserve">  </w:t>
            </w:r>
            <w:r>
              <w:rPr>
                <w:rFonts w:hint="eastAsia" w:ascii="宋体" w:hAnsi="宋体" w:cs="宋体"/>
                <w:color w:val="000000"/>
                <w:sz w:val="18"/>
                <w:szCs w:val="18"/>
              </w:rPr>
              <w:t>申请参加护士执业资格考试的人员，应当在公告规定的期限内报名，并提交以下材料：（四）本人毕业证书；</w:t>
            </w:r>
            <w:r>
              <w:rPr>
                <w:rFonts w:ascii="宋体" w:hAnsi="宋体" w:cs="宋体"/>
                <w:color w:val="000000"/>
                <w:sz w:val="18"/>
                <w:szCs w:val="18"/>
              </w:rPr>
              <w:t xml:space="preserve"> </w:t>
            </w:r>
          </w:p>
        </w:tc>
        <w:tc>
          <w:tcPr>
            <w:tcW w:w="1028" w:type="dxa"/>
            <w:vAlign w:val="center"/>
          </w:tcPr>
          <w:p>
            <w:pPr>
              <w:widowControl/>
              <w:spacing w:line="240" w:lineRule="exact"/>
              <w:jc w:val="center"/>
              <w:rPr>
                <w:rFonts w:ascii="宋体" w:cs="Times New Roman"/>
                <w:color w:val="000000"/>
                <w:sz w:val="18"/>
                <w:szCs w:val="18"/>
              </w:rPr>
            </w:pPr>
            <w:r>
              <w:rPr>
                <w:rFonts w:hint="eastAsia" w:ascii="宋体" w:hAnsi="宋体" w:cs="宋体"/>
                <w:color w:val="000000"/>
                <w:sz w:val="18"/>
                <w:szCs w:val="18"/>
              </w:rPr>
              <w:t>教育部门</w:t>
            </w:r>
          </w:p>
        </w:tc>
        <w:tc>
          <w:tcPr>
            <w:tcW w:w="644" w:type="dxa"/>
          </w:tcPr>
          <w:p>
            <w:pPr>
              <w:widowControl/>
              <w:spacing w:line="240" w:lineRule="exact"/>
              <w:rPr>
                <w:rFonts w:ascii="Verdana" w:hAnsi="Verdana" w:cs="Verdan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8" w:type="dxa"/>
            <w:vMerge w:val="continue"/>
            <w:tcBorders/>
            <w:vAlign w:val="center"/>
          </w:tcPr>
          <w:p>
            <w:pPr>
              <w:widowControl/>
              <w:spacing w:line="240" w:lineRule="exact"/>
              <w:jc w:val="center"/>
              <w:rPr>
                <w:rFonts w:ascii="宋体" w:cs="Times New Roman"/>
                <w:color w:val="000000"/>
                <w:sz w:val="18"/>
                <w:szCs w:val="18"/>
              </w:rPr>
            </w:pPr>
          </w:p>
        </w:tc>
        <w:tc>
          <w:tcPr>
            <w:tcW w:w="957" w:type="dxa"/>
            <w:vMerge w:val="continue"/>
            <w:tcBorders/>
            <w:vAlign w:val="center"/>
          </w:tcPr>
          <w:p>
            <w:pPr>
              <w:widowControl/>
              <w:spacing w:line="240" w:lineRule="exact"/>
              <w:rPr>
                <w:rFonts w:ascii="宋体" w:cs="Times New Roman"/>
                <w:color w:val="000000"/>
                <w:sz w:val="18"/>
                <w:szCs w:val="18"/>
              </w:rPr>
            </w:pPr>
          </w:p>
        </w:tc>
        <w:tc>
          <w:tcPr>
            <w:tcW w:w="2160" w:type="dxa"/>
            <w:vAlign w:val="center"/>
          </w:tcPr>
          <w:p>
            <w:pPr>
              <w:widowControl/>
              <w:spacing w:line="240" w:lineRule="exact"/>
              <w:rPr>
                <w:rFonts w:ascii="宋体" w:hAnsi="宋体" w:cs="宋体"/>
                <w:color w:val="000000"/>
                <w:sz w:val="18"/>
                <w:szCs w:val="18"/>
              </w:rPr>
            </w:pPr>
            <w:r>
              <w:rPr>
                <w:rFonts w:hint="eastAsia" w:ascii="宋体" w:hAnsi="宋体" w:cs="宋体"/>
                <w:color w:val="000000"/>
                <w:sz w:val="18"/>
                <w:szCs w:val="18"/>
              </w:rPr>
              <w:t>医师执业资格考试</w:t>
            </w:r>
            <w:r>
              <w:rPr>
                <w:rFonts w:ascii="宋体" w:hAnsi="宋体" w:cs="宋体"/>
                <w:color w:val="000000"/>
                <w:sz w:val="18"/>
                <w:szCs w:val="18"/>
              </w:rPr>
              <w:t>3700001023029</w:t>
            </w:r>
          </w:p>
        </w:tc>
        <w:tc>
          <w:tcPr>
            <w:tcW w:w="9038" w:type="dxa"/>
            <w:vAlign w:val="center"/>
          </w:tcPr>
          <w:p>
            <w:pPr>
              <w:widowControl/>
              <w:spacing w:line="240" w:lineRule="exact"/>
              <w:rPr>
                <w:rFonts w:ascii="宋体" w:cs="Times New Roman"/>
                <w:color w:val="000000"/>
                <w:sz w:val="18"/>
                <w:szCs w:val="18"/>
              </w:rPr>
            </w:pPr>
            <w:r>
              <w:rPr>
                <w:rFonts w:hint="eastAsia" w:ascii="宋体" w:hAnsi="宋体" w:cs="宋体"/>
                <w:color w:val="000000"/>
                <w:sz w:val="18"/>
                <w:szCs w:val="18"/>
              </w:rPr>
              <w:t>《执业医师法》第九条</w:t>
            </w:r>
            <w:r>
              <w:rPr>
                <w:rFonts w:ascii="宋体" w:hAnsi="宋体" w:cs="宋体"/>
                <w:color w:val="000000"/>
                <w:sz w:val="18"/>
                <w:szCs w:val="18"/>
              </w:rPr>
              <w:t xml:space="preserve">  </w:t>
            </w:r>
            <w:r>
              <w:rPr>
                <w:rFonts w:hint="eastAsia" w:ascii="宋体" w:hAnsi="宋体" w:cs="宋体"/>
                <w:color w:val="000000"/>
                <w:sz w:val="18"/>
                <w:szCs w:val="18"/>
              </w:rPr>
              <w:t>具有下列条件之一的，可以参加执业医师资格考试：</w:t>
            </w:r>
            <w:r>
              <w:rPr>
                <w:rFonts w:ascii="宋体" w:hAnsi="宋体" w:cs="宋体"/>
                <w:color w:val="000000"/>
                <w:sz w:val="18"/>
                <w:szCs w:val="18"/>
              </w:rPr>
              <w:t xml:space="preserve"> </w:t>
            </w:r>
            <w:r>
              <w:rPr>
                <w:rFonts w:hint="eastAsia" w:ascii="宋体" w:hAnsi="宋体" w:cs="宋体"/>
                <w:color w:val="000000"/>
                <w:sz w:val="18"/>
                <w:szCs w:val="18"/>
              </w:rPr>
              <w:t>（一）具有高等学校医学专业本科以上学历，在执业医师指导下，在医疗、预防、保健机构中试用期满一年的；</w:t>
            </w:r>
          </w:p>
          <w:p>
            <w:pPr>
              <w:widowControl/>
              <w:spacing w:line="240" w:lineRule="exact"/>
              <w:rPr>
                <w:rFonts w:ascii="宋体" w:hAnsi="宋体" w:cs="宋体"/>
                <w:color w:val="000000"/>
                <w:sz w:val="18"/>
                <w:szCs w:val="18"/>
              </w:rPr>
            </w:pPr>
            <w:r>
              <w:rPr>
                <w:rFonts w:hint="eastAsia" w:ascii="宋体" w:hAnsi="宋体" w:cs="宋体"/>
                <w:color w:val="000000"/>
                <w:sz w:val="18"/>
                <w:szCs w:val="18"/>
              </w:rPr>
              <w:t>《医师资格考试暂行办法》第十三条</w:t>
            </w:r>
            <w:r>
              <w:rPr>
                <w:rFonts w:ascii="宋体" w:hAnsi="宋体" w:cs="宋体"/>
                <w:color w:val="000000"/>
                <w:sz w:val="18"/>
                <w:szCs w:val="18"/>
              </w:rPr>
              <w:t xml:space="preserve">  </w:t>
            </w:r>
            <w:r>
              <w:rPr>
                <w:rFonts w:hint="eastAsia" w:ascii="宋体" w:hAnsi="宋体" w:cs="宋体"/>
                <w:color w:val="000000"/>
                <w:sz w:val="18"/>
                <w:szCs w:val="18"/>
              </w:rPr>
              <w:t>申请参加医师资格考试的人员，应当在公告规定的期限内，到户籍所在地的考点办公室报名，并提交下列材料：（三）毕业证书复印件；</w:t>
            </w:r>
            <w:r>
              <w:rPr>
                <w:rFonts w:ascii="宋体" w:hAnsi="宋体" w:cs="宋体"/>
                <w:color w:val="000000"/>
                <w:sz w:val="18"/>
                <w:szCs w:val="18"/>
              </w:rPr>
              <w:t xml:space="preserve"> </w:t>
            </w:r>
          </w:p>
        </w:tc>
        <w:tc>
          <w:tcPr>
            <w:tcW w:w="1028" w:type="dxa"/>
            <w:vAlign w:val="center"/>
          </w:tcPr>
          <w:p>
            <w:pPr>
              <w:widowControl/>
              <w:spacing w:line="240" w:lineRule="exact"/>
              <w:jc w:val="center"/>
              <w:rPr>
                <w:rFonts w:ascii="宋体" w:cs="Times New Roman"/>
                <w:color w:val="000000"/>
                <w:sz w:val="18"/>
                <w:szCs w:val="18"/>
              </w:rPr>
            </w:pPr>
            <w:r>
              <w:rPr>
                <w:rFonts w:hint="eastAsia" w:ascii="宋体" w:hAnsi="宋体" w:cs="宋体"/>
                <w:color w:val="000000"/>
                <w:sz w:val="18"/>
                <w:szCs w:val="18"/>
              </w:rPr>
              <w:t>教育部门</w:t>
            </w:r>
          </w:p>
        </w:tc>
        <w:tc>
          <w:tcPr>
            <w:tcW w:w="644" w:type="dxa"/>
          </w:tcPr>
          <w:p>
            <w:pPr>
              <w:widowControl/>
              <w:spacing w:line="240" w:lineRule="exact"/>
              <w:rPr>
                <w:rFonts w:ascii="Verdana" w:hAnsi="Verdana" w:cs="Verdan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8" w:type="dxa"/>
            <w:vAlign w:val="center"/>
          </w:tcPr>
          <w:p>
            <w:pPr>
              <w:spacing w:line="240" w:lineRule="exact"/>
              <w:jc w:val="center"/>
              <w:rPr>
                <w:rFonts w:hint="eastAsia" w:ascii="宋体" w:eastAsia="宋体" w:cs="Times New Roman"/>
                <w:color w:val="000000"/>
                <w:sz w:val="18"/>
                <w:szCs w:val="18"/>
                <w:lang w:eastAsia="zh-CN"/>
              </w:rPr>
            </w:pPr>
            <w:r>
              <w:rPr>
                <w:rFonts w:hint="eastAsia" w:ascii="宋体" w:hAnsi="宋体" w:cs="宋体"/>
                <w:color w:val="000000"/>
                <w:sz w:val="18"/>
                <w:szCs w:val="18"/>
                <w:lang w:val="en-US" w:eastAsia="zh-CN"/>
              </w:rPr>
              <w:t>4</w:t>
            </w:r>
          </w:p>
        </w:tc>
        <w:tc>
          <w:tcPr>
            <w:tcW w:w="957" w:type="dxa"/>
            <w:vAlign w:val="center"/>
          </w:tcPr>
          <w:p>
            <w:pPr>
              <w:widowControl/>
              <w:spacing w:line="240" w:lineRule="exact"/>
              <w:jc w:val="center"/>
              <w:rPr>
                <w:rFonts w:ascii="宋体" w:cs="Times New Roman"/>
                <w:color w:val="000000"/>
                <w:sz w:val="18"/>
                <w:szCs w:val="18"/>
              </w:rPr>
            </w:pPr>
            <w:r>
              <w:rPr>
                <w:rFonts w:hint="eastAsia" w:ascii="宋体" w:hAnsi="宋体" w:cs="宋体"/>
                <w:color w:val="000000"/>
                <w:sz w:val="18"/>
                <w:szCs w:val="18"/>
              </w:rPr>
              <w:t>医学诊断证明</w:t>
            </w:r>
          </w:p>
        </w:tc>
        <w:tc>
          <w:tcPr>
            <w:tcW w:w="2160" w:type="dxa"/>
            <w:vAlign w:val="center"/>
          </w:tcPr>
          <w:p>
            <w:pPr>
              <w:widowControl/>
              <w:spacing w:line="240" w:lineRule="exact"/>
              <w:rPr>
                <w:rFonts w:ascii="宋体" w:hAnsi="宋体" w:cs="宋体"/>
                <w:color w:val="000000"/>
                <w:sz w:val="18"/>
                <w:szCs w:val="18"/>
              </w:rPr>
            </w:pPr>
            <w:r>
              <w:rPr>
                <w:rFonts w:hint="eastAsia" w:ascii="宋体" w:hAnsi="宋体" w:cs="宋体"/>
                <w:color w:val="000000"/>
                <w:sz w:val="18"/>
                <w:szCs w:val="18"/>
              </w:rPr>
              <w:t>提供妊娠十四周以上的妇女终止妊娠证明</w:t>
            </w:r>
            <w:r>
              <w:rPr>
                <w:rFonts w:ascii="宋体" w:hAnsi="宋体" w:cs="宋体"/>
                <w:color w:val="000000"/>
                <w:sz w:val="18"/>
                <w:szCs w:val="18"/>
              </w:rPr>
              <w:t>3700001023041</w:t>
            </w:r>
          </w:p>
        </w:tc>
        <w:tc>
          <w:tcPr>
            <w:tcW w:w="9038" w:type="dxa"/>
            <w:vAlign w:val="center"/>
          </w:tcPr>
          <w:p>
            <w:pPr>
              <w:widowControl/>
              <w:spacing w:line="240" w:lineRule="exact"/>
              <w:rPr>
                <w:rFonts w:ascii="宋体" w:hAnsi="宋体" w:cs="宋体"/>
                <w:color w:val="000000"/>
                <w:sz w:val="18"/>
                <w:szCs w:val="18"/>
              </w:rPr>
            </w:pPr>
            <w:r>
              <w:rPr>
                <w:rFonts w:hint="eastAsia" w:ascii="宋体" w:hAnsi="宋体" w:cs="宋体"/>
                <w:color w:val="000000"/>
                <w:sz w:val="18"/>
                <w:szCs w:val="18"/>
              </w:rPr>
              <w:t>《山东省禁止非医学需要鉴定胎儿性别和选择性别终止妊娠规定》第九条</w:t>
            </w:r>
            <w:r>
              <w:rPr>
                <w:rFonts w:ascii="宋体" w:hAnsi="宋体" w:cs="宋体"/>
                <w:color w:val="000000"/>
                <w:sz w:val="18"/>
                <w:szCs w:val="18"/>
              </w:rPr>
              <w:t xml:space="preserve">  </w:t>
            </w:r>
            <w:r>
              <w:rPr>
                <w:rFonts w:hint="eastAsia" w:ascii="宋体" w:hAnsi="宋体" w:cs="宋体"/>
                <w:color w:val="000000"/>
                <w:sz w:val="18"/>
                <w:szCs w:val="18"/>
              </w:rPr>
              <w:t>符合法定生育条件的十四周以上的妊娠不得人工终止，有下列情形之一的除外：</w:t>
            </w:r>
            <w:r>
              <w:rPr>
                <w:rFonts w:ascii="宋体" w:hAnsi="宋体" w:cs="宋体"/>
                <w:color w:val="000000"/>
                <w:sz w:val="18"/>
                <w:szCs w:val="18"/>
              </w:rPr>
              <w:t xml:space="preserve"> </w:t>
            </w:r>
            <w:r>
              <w:rPr>
                <w:rFonts w:hint="eastAsia" w:ascii="宋体" w:hAnsi="宋体" w:cs="宋体"/>
                <w:color w:val="000000"/>
                <w:sz w:val="18"/>
                <w:szCs w:val="18"/>
              </w:rPr>
              <w:t>（一）胎儿患有严重遗传性疾病的；</w:t>
            </w:r>
            <w:r>
              <w:rPr>
                <w:rFonts w:ascii="宋体" w:hAnsi="宋体" w:cs="宋体"/>
                <w:color w:val="000000"/>
                <w:sz w:val="18"/>
                <w:szCs w:val="18"/>
              </w:rPr>
              <w:t xml:space="preserve"> </w:t>
            </w:r>
            <w:r>
              <w:rPr>
                <w:rFonts w:hint="eastAsia" w:ascii="宋体" w:hAnsi="宋体" w:cs="宋体"/>
                <w:color w:val="000000"/>
                <w:sz w:val="18"/>
                <w:szCs w:val="18"/>
              </w:rPr>
              <w:t>（二）胎儿有严重缺陷的；</w:t>
            </w:r>
            <w:r>
              <w:rPr>
                <w:rFonts w:ascii="宋体" w:hAnsi="宋体" w:cs="宋体"/>
                <w:color w:val="000000"/>
                <w:sz w:val="18"/>
                <w:szCs w:val="18"/>
              </w:rPr>
              <w:t xml:space="preserve"> </w:t>
            </w:r>
            <w:r>
              <w:rPr>
                <w:rFonts w:hint="eastAsia" w:ascii="宋体" w:hAnsi="宋体" w:cs="宋体"/>
                <w:color w:val="000000"/>
                <w:sz w:val="18"/>
                <w:szCs w:val="18"/>
              </w:rPr>
              <w:t>（三）因妊娠妇女患有严重疾病，继续妊娠可能危及妊娠妇女生命安全或者严重危害妊娠妇女或者胎儿健康的；</w:t>
            </w:r>
            <w:r>
              <w:rPr>
                <w:rFonts w:ascii="宋体" w:hAnsi="宋体" w:cs="宋体"/>
                <w:color w:val="000000"/>
                <w:sz w:val="18"/>
                <w:szCs w:val="18"/>
              </w:rPr>
              <w:t xml:space="preserve"> </w:t>
            </w:r>
            <w:r>
              <w:rPr>
                <w:rFonts w:hint="eastAsia" w:ascii="宋体" w:hAnsi="宋体" w:cs="宋体"/>
                <w:color w:val="000000"/>
                <w:sz w:val="18"/>
                <w:szCs w:val="18"/>
              </w:rPr>
              <w:t>（四）经省人民政府人口和计划生育行政部门规定或者批准的其他情形。</w:t>
            </w:r>
            <w:r>
              <w:rPr>
                <w:rFonts w:ascii="宋体" w:hAnsi="宋体" w:cs="宋体"/>
                <w:color w:val="000000"/>
                <w:sz w:val="18"/>
                <w:szCs w:val="18"/>
              </w:rPr>
              <w:t xml:space="preserve"> </w:t>
            </w:r>
            <w:r>
              <w:rPr>
                <w:rFonts w:hint="eastAsia" w:ascii="宋体" w:hAnsi="宋体" w:cs="宋体"/>
                <w:color w:val="000000"/>
                <w:sz w:val="18"/>
                <w:szCs w:val="18"/>
              </w:rPr>
              <w:t>有本条第一款第（一）、（二）、（三）项规定情形之一的妊娠妇女要求终止妊娠的，应当向医疗保健机构或者计划生育技术服务机构提供相应的医学诊断证明和所在地县级人民政府人口和计划生育行政部门出具的证明。</w:t>
            </w:r>
            <w:r>
              <w:rPr>
                <w:rFonts w:ascii="宋体" w:hAnsi="宋体" w:cs="宋体"/>
                <w:color w:val="000000"/>
                <w:sz w:val="18"/>
                <w:szCs w:val="18"/>
              </w:rPr>
              <w:t xml:space="preserve"> </w:t>
            </w:r>
          </w:p>
        </w:tc>
        <w:tc>
          <w:tcPr>
            <w:tcW w:w="1028" w:type="dxa"/>
            <w:vAlign w:val="center"/>
          </w:tcPr>
          <w:p>
            <w:pPr>
              <w:widowControl/>
              <w:spacing w:line="240" w:lineRule="exact"/>
              <w:jc w:val="center"/>
              <w:rPr>
                <w:rFonts w:ascii="宋体" w:cs="Times New Roman"/>
                <w:color w:val="000000"/>
                <w:sz w:val="18"/>
                <w:szCs w:val="18"/>
              </w:rPr>
            </w:pPr>
            <w:r>
              <w:rPr>
                <w:rFonts w:hint="eastAsia" w:ascii="宋体" w:hAnsi="宋体" w:cs="宋体"/>
                <w:color w:val="000000"/>
                <w:sz w:val="18"/>
                <w:szCs w:val="18"/>
              </w:rPr>
              <w:t>医疗机构</w:t>
            </w:r>
          </w:p>
        </w:tc>
        <w:tc>
          <w:tcPr>
            <w:tcW w:w="644" w:type="dxa"/>
          </w:tcPr>
          <w:p>
            <w:pPr>
              <w:widowControl/>
              <w:spacing w:line="240" w:lineRule="exact"/>
              <w:rPr>
                <w:rFonts w:ascii="Verdana" w:hAnsi="Verdana" w:cs="Verdan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8" w:type="dxa"/>
            <w:vMerge w:val="restart"/>
            <w:vAlign w:val="center"/>
          </w:tcPr>
          <w:p>
            <w:pPr>
              <w:widowControl/>
              <w:spacing w:line="240" w:lineRule="exact"/>
              <w:jc w:val="center"/>
              <w:rPr>
                <w:rFonts w:hint="eastAsia" w:ascii="宋体" w:eastAsia="宋体" w:cs="Times New Roman"/>
                <w:color w:val="000000"/>
                <w:sz w:val="18"/>
                <w:szCs w:val="18"/>
                <w:lang w:val="en-US" w:eastAsia="zh-CN"/>
              </w:rPr>
            </w:pPr>
            <w:r>
              <w:rPr>
                <w:rFonts w:hint="eastAsia" w:ascii="宋体" w:cs="Times New Roman"/>
                <w:color w:val="000000"/>
                <w:sz w:val="18"/>
                <w:szCs w:val="18"/>
                <w:lang w:val="en-US" w:eastAsia="zh-CN"/>
              </w:rPr>
              <w:t>5</w:t>
            </w:r>
          </w:p>
        </w:tc>
        <w:tc>
          <w:tcPr>
            <w:tcW w:w="957" w:type="dxa"/>
            <w:vMerge w:val="restart"/>
            <w:vAlign w:val="center"/>
          </w:tcPr>
          <w:p>
            <w:pPr>
              <w:widowControl/>
              <w:spacing w:line="240" w:lineRule="exact"/>
              <w:jc w:val="center"/>
              <w:rPr>
                <w:rFonts w:hint="eastAsia" w:ascii="宋体" w:eastAsia="宋体" w:cs="Times New Roman"/>
                <w:color w:val="000000"/>
                <w:sz w:val="18"/>
                <w:szCs w:val="18"/>
                <w:lang w:eastAsia="zh-CN"/>
              </w:rPr>
            </w:pPr>
            <w:r>
              <w:rPr>
                <w:rFonts w:hint="eastAsia" w:ascii="宋体" w:cs="Times New Roman"/>
                <w:color w:val="000000"/>
                <w:sz w:val="18"/>
                <w:szCs w:val="18"/>
                <w:lang w:eastAsia="zh-CN"/>
              </w:rPr>
              <w:t>设置医疗机构批准证明</w:t>
            </w:r>
          </w:p>
        </w:tc>
        <w:tc>
          <w:tcPr>
            <w:tcW w:w="2160" w:type="dxa"/>
            <w:vAlign w:val="center"/>
          </w:tcPr>
          <w:p>
            <w:pPr>
              <w:widowControl/>
              <w:spacing w:line="240" w:lineRule="exact"/>
              <w:rPr>
                <w:rFonts w:ascii="宋体" w:hAnsi="宋体" w:cs="宋体"/>
                <w:color w:val="000000"/>
                <w:sz w:val="18"/>
                <w:szCs w:val="18"/>
              </w:rPr>
            </w:pPr>
            <w:r>
              <w:rPr>
                <w:rFonts w:hint="eastAsia" w:ascii="宋体" w:hAnsi="宋体" w:cs="宋体"/>
                <w:color w:val="000000"/>
                <w:sz w:val="18"/>
                <w:szCs w:val="18"/>
              </w:rPr>
              <w:t>承担预防接种工作的医疗卫生机构（接种单位）的确认</w:t>
            </w:r>
            <w:r>
              <w:rPr>
                <w:rFonts w:ascii="宋体" w:cs="Times New Roman"/>
                <w:color w:val="000000"/>
                <w:sz w:val="18"/>
                <w:szCs w:val="18"/>
              </w:rPr>
              <w:tab/>
            </w:r>
            <w:r>
              <w:rPr>
                <w:rFonts w:ascii="宋体" w:hAnsi="宋体" w:cs="宋体"/>
                <w:color w:val="000000"/>
                <w:sz w:val="18"/>
                <w:szCs w:val="18"/>
              </w:rPr>
              <w:t>3700000723012</w:t>
            </w:r>
          </w:p>
        </w:tc>
        <w:tc>
          <w:tcPr>
            <w:tcW w:w="9038" w:type="dxa"/>
            <w:vAlign w:val="center"/>
          </w:tcPr>
          <w:p>
            <w:pPr>
              <w:widowControl/>
              <w:spacing w:line="240" w:lineRule="exact"/>
              <w:rPr>
                <w:rFonts w:ascii="宋体" w:cs="Times New Roman"/>
                <w:color w:val="000000"/>
                <w:sz w:val="18"/>
                <w:szCs w:val="18"/>
              </w:rPr>
            </w:pPr>
            <w:r>
              <w:rPr>
                <w:rFonts w:hint="eastAsia" w:ascii="宋体" w:hAnsi="宋体" w:cs="宋体"/>
                <w:color w:val="000000"/>
                <w:sz w:val="18"/>
                <w:szCs w:val="18"/>
              </w:rPr>
              <w:t>《医疗机构管理条例》第十条</w:t>
            </w:r>
            <w:r>
              <w:rPr>
                <w:rFonts w:ascii="宋体" w:hAnsi="宋体" w:cs="宋体"/>
                <w:color w:val="000000"/>
                <w:sz w:val="18"/>
                <w:szCs w:val="18"/>
              </w:rPr>
              <w:t xml:space="preserve">  </w:t>
            </w:r>
            <w:r>
              <w:rPr>
                <w:rFonts w:hint="eastAsia" w:ascii="宋体" w:hAnsi="宋体" w:cs="宋体"/>
                <w:color w:val="000000"/>
                <w:sz w:val="18"/>
                <w:szCs w:val="18"/>
              </w:rPr>
              <w:t>申请设置医疗机构，应当提交下列文件：</w:t>
            </w:r>
            <w:r>
              <w:rPr>
                <w:rFonts w:ascii="宋体" w:hAnsi="宋体" w:cs="宋体"/>
                <w:color w:val="000000"/>
                <w:sz w:val="18"/>
                <w:szCs w:val="18"/>
              </w:rPr>
              <w:t xml:space="preserve"> </w:t>
            </w:r>
            <w:r>
              <w:rPr>
                <w:rFonts w:hint="eastAsia" w:ascii="宋体" w:hAnsi="宋体" w:cs="宋体"/>
                <w:color w:val="000000"/>
                <w:sz w:val="18"/>
                <w:szCs w:val="18"/>
              </w:rPr>
              <w:t>（一）设置申请书；</w:t>
            </w:r>
            <w:r>
              <w:rPr>
                <w:rFonts w:ascii="宋体" w:hAnsi="宋体" w:cs="宋体"/>
                <w:color w:val="000000"/>
                <w:sz w:val="18"/>
                <w:szCs w:val="18"/>
              </w:rPr>
              <w:t xml:space="preserve"> </w:t>
            </w:r>
            <w:r>
              <w:rPr>
                <w:rFonts w:hint="eastAsia" w:ascii="宋体" w:hAnsi="宋体" w:cs="宋体"/>
                <w:color w:val="000000"/>
                <w:sz w:val="18"/>
                <w:szCs w:val="18"/>
              </w:rPr>
              <w:t>（二）设置可行性研究报告；</w:t>
            </w:r>
            <w:r>
              <w:rPr>
                <w:rFonts w:ascii="宋体" w:hAnsi="宋体" w:cs="宋体"/>
                <w:color w:val="000000"/>
                <w:sz w:val="18"/>
                <w:szCs w:val="18"/>
              </w:rPr>
              <w:t xml:space="preserve"> </w:t>
            </w:r>
            <w:r>
              <w:rPr>
                <w:rFonts w:hint="eastAsia" w:ascii="宋体" w:hAnsi="宋体" w:cs="宋体"/>
                <w:color w:val="000000"/>
                <w:sz w:val="18"/>
                <w:szCs w:val="18"/>
              </w:rPr>
              <w:t>（三）选址报告和建筑设计平面图。第十一条</w:t>
            </w:r>
            <w:r>
              <w:rPr>
                <w:rFonts w:ascii="宋体" w:hAnsi="宋体" w:cs="宋体"/>
                <w:color w:val="000000"/>
                <w:sz w:val="18"/>
                <w:szCs w:val="18"/>
              </w:rPr>
              <w:t xml:space="preserve">  </w:t>
            </w:r>
            <w:r>
              <w:rPr>
                <w:rFonts w:hint="eastAsia" w:ascii="宋体" w:hAnsi="宋体" w:cs="宋体"/>
                <w:color w:val="000000"/>
                <w:sz w:val="18"/>
                <w:szCs w:val="18"/>
              </w:rPr>
              <w:t>单位或者个人设置医疗机构，应当按照以下规定提出设置申请：第十六条</w:t>
            </w:r>
            <w:r>
              <w:rPr>
                <w:rFonts w:ascii="宋体" w:hAnsi="宋体" w:cs="宋体"/>
                <w:color w:val="000000"/>
                <w:sz w:val="18"/>
                <w:szCs w:val="18"/>
              </w:rPr>
              <w:t xml:space="preserve">  </w:t>
            </w:r>
            <w:r>
              <w:rPr>
                <w:rFonts w:hint="eastAsia" w:ascii="宋体" w:hAnsi="宋体" w:cs="宋体"/>
                <w:color w:val="000000"/>
                <w:sz w:val="18"/>
                <w:szCs w:val="18"/>
              </w:rPr>
              <w:t>申请医疗机构执业登记，应当具备下列条件：</w:t>
            </w:r>
            <w:r>
              <w:rPr>
                <w:rFonts w:ascii="宋体" w:hAnsi="宋体" w:cs="宋体"/>
                <w:color w:val="000000"/>
                <w:sz w:val="18"/>
                <w:szCs w:val="18"/>
              </w:rPr>
              <w:t xml:space="preserve"> </w:t>
            </w:r>
            <w:r>
              <w:rPr>
                <w:rFonts w:hint="eastAsia" w:ascii="宋体" w:hAnsi="宋体" w:cs="宋体"/>
                <w:color w:val="000000"/>
                <w:sz w:val="18"/>
                <w:szCs w:val="18"/>
              </w:rPr>
              <w:t>（一）有设置医疗机构批准书；</w:t>
            </w:r>
          </w:p>
        </w:tc>
        <w:tc>
          <w:tcPr>
            <w:tcW w:w="1028" w:type="dxa"/>
            <w:vAlign w:val="center"/>
          </w:tcPr>
          <w:p>
            <w:pPr>
              <w:widowControl/>
              <w:spacing w:line="240" w:lineRule="exact"/>
              <w:jc w:val="center"/>
              <w:rPr>
                <w:rFonts w:ascii="宋体" w:cs="Times New Roman"/>
                <w:color w:val="000000"/>
                <w:sz w:val="18"/>
                <w:szCs w:val="18"/>
              </w:rPr>
            </w:pPr>
            <w:r>
              <w:rPr>
                <w:rFonts w:hint="eastAsia" w:ascii="宋体" w:hAnsi="宋体" w:cs="宋体"/>
                <w:color w:val="000000"/>
                <w:sz w:val="18"/>
                <w:szCs w:val="18"/>
              </w:rPr>
              <w:t>卫生健康或行政审批部门</w:t>
            </w:r>
          </w:p>
        </w:tc>
        <w:tc>
          <w:tcPr>
            <w:tcW w:w="644" w:type="dxa"/>
          </w:tcPr>
          <w:p>
            <w:pPr>
              <w:widowControl/>
              <w:spacing w:line="240" w:lineRule="exact"/>
              <w:rPr>
                <w:rFonts w:ascii="Verdana" w:hAnsi="Verdana" w:cs="Verdan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8" w:type="dxa"/>
            <w:vMerge w:val="continue"/>
            <w:vAlign w:val="center"/>
          </w:tcPr>
          <w:p>
            <w:pPr>
              <w:widowControl/>
              <w:spacing w:line="240" w:lineRule="exact"/>
              <w:jc w:val="center"/>
              <w:rPr>
                <w:rFonts w:ascii="宋体" w:cs="Times New Roman"/>
                <w:color w:val="000000"/>
                <w:sz w:val="18"/>
                <w:szCs w:val="18"/>
              </w:rPr>
            </w:pPr>
          </w:p>
        </w:tc>
        <w:tc>
          <w:tcPr>
            <w:tcW w:w="957" w:type="dxa"/>
            <w:vMerge w:val="continue"/>
            <w:vAlign w:val="center"/>
          </w:tcPr>
          <w:p>
            <w:pPr>
              <w:widowControl/>
              <w:spacing w:line="240" w:lineRule="exact"/>
              <w:jc w:val="center"/>
              <w:rPr>
                <w:rFonts w:ascii="宋体" w:cs="Times New Roman"/>
                <w:color w:val="000000"/>
                <w:sz w:val="18"/>
                <w:szCs w:val="18"/>
              </w:rPr>
            </w:pPr>
          </w:p>
        </w:tc>
        <w:tc>
          <w:tcPr>
            <w:tcW w:w="2160" w:type="dxa"/>
            <w:vAlign w:val="center"/>
          </w:tcPr>
          <w:p>
            <w:pPr>
              <w:widowControl/>
              <w:spacing w:line="240" w:lineRule="exact"/>
              <w:rPr>
                <w:rFonts w:ascii="宋体" w:hAnsi="宋体" w:cs="宋体"/>
                <w:color w:val="000000"/>
                <w:sz w:val="18"/>
                <w:szCs w:val="18"/>
              </w:rPr>
            </w:pPr>
            <w:r>
              <w:rPr>
                <w:rFonts w:hint="eastAsia" w:ascii="宋体" w:hAnsi="宋体" w:cs="宋体"/>
                <w:color w:val="000000"/>
                <w:sz w:val="18"/>
                <w:szCs w:val="18"/>
              </w:rPr>
              <w:t>医疗机构开展限制类技术临床应用备案</w:t>
            </w:r>
            <w:r>
              <w:rPr>
                <w:rFonts w:ascii="宋体" w:hAnsi="宋体" w:cs="宋体"/>
                <w:color w:val="000000"/>
                <w:sz w:val="18"/>
                <w:szCs w:val="18"/>
              </w:rPr>
              <w:t>3700001023040</w:t>
            </w:r>
          </w:p>
        </w:tc>
        <w:tc>
          <w:tcPr>
            <w:tcW w:w="9038" w:type="dxa"/>
            <w:vAlign w:val="center"/>
          </w:tcPr>
          <w:p>
            <w:pPr>
              <w:widowControl/>
              <w:spacing w:line="240" w:lineRule="exact"/>
              <w:rPr>
                <w:rFonts w:ascii="宋体" w:cs="Times New Roman"/>
                <w:color w:val="000000"/>
                <w:sz w:val="18"/>
                <w:szCs w:val="18"/>
              </w:rPr>
            </w:pPr>
            <w:r>
              <w:rPr>
                <w:rFonts w:hint="eastAsia" w:ascii="宋体" w:hAnsi="宋体" w:cs="宋体"/>
                <w:color w:val="000000"/>
                <w:sz w:val="18"/>
                <w:szCs w:val="18"/>
              </w:rPr>
              <w:t>《医疗机构管理条例》第十条</w:t>
            </w:r>
            <w:r>
              <w:rPr>
                <w:rFonts w:ascii="宋体" w:hAnsi="宋体" w:cs="宋体"/>
                <w:color w:val="000000"/>
                <w:sz w:val="18"/>
                <w:szCs w:val="18"/>
              </w:rPr>
              <w:t xml:space="preserve">  </w:t>
            </w:r>
            <w:r>
              <w:rPr>
                <w:rFonts w:hint="eastAsia" w:ascii="宋体" w:hAnsi="宋体" w:cs="宋体"/>
                <w:color w:val="000000"/>
                <w:sz w:val="18"/>
                <w:szCs w:val="18"/>
              </w:rPr>
              <w:t>申请设置医疗机构，应当提交下列文件：</w:t>
            </w:r>
            <w:r>
              <w:rPr>
                <w:rFonts w:ascii="宋体" w:hAnsi="宋体" w:cs="宋体"/>
                <w:color w:val="000000"/>
                <w:sz w:val="18"/>
                <w:szCs w:val="18"/>
              </w:rPr>
              <w:t xml:space="preserve"> </w:t>
            </w:r>
            <w:r>
              <w:rPr>
                <w:rFonts w:hint="eastAsia" w:ascii="宋体" w:hAnsi="宋体" w:cs="宋体"/>
                <w:color w:val="000000"/>
                <w:sz w:val="18"/>
                <w:szCs w:val="18"/>
              </w:rPr>
              <w:t>（一）设置申请书；</w:t>
            </w:r>
            <w:r>
              <w:rPr>
                <w:rFonts w:ascii="宋体" w:hAnsi="宋体" w:cs="宋体"/>
                <w:color w:val="000000"/>
                <w:sz w:val="18"/>
                <w:szCs w:val="18"/>
              </w:rPr>
              <w:t xml:space="preserve"> </w:t>
            </w:r>
            <w:r>
              <w:rPr>
                <w:rFonts w:hint="eastAsia" w:ascii="宋体" w:hAnsi="宋体" w:cs="宋体"/>
                <w:color w:val="000000"/>
                <w:sz w:val="18"/>
                <w:szCs w:val="18"/>
              </w:rPr>
              <w:t>（二）设置可行性研究报告；</w:t>
            </w:r>
            <w:r>
              <w:rPr>
                <w:rFonts w:ascii="宋体" w:hAnsi="宋体" w:cs="宋体"/>
                <w:color w:val="000000"/>
                <w:sz w:val="18"/>
                <w:szCs w:val="18"/>
              </w:rPr>
              <w:t xml:space="preserve"> </w:t>
            </w:r>
            <w:r>
              <w:rPr>
                <w:rFonts w:hint="eastAsia" w:ascii="宋体" w:hAnsi="宋体" w:cs="宋体"/>
                <w:color w:val="000000"/>
                <w:sz w:val="18"/>
                <w:szCs w:val="18"/>
              </w:rPr>
              <w:t>（三）选址报告和建筑设计平面图。第十一条</w:t>
            </w:r>
            <w:r>
              <w:rPr>
                <w:rFonts w:ascii="宋体" w:hAnsi="宋体" w:cs="宋体"/>
                <w:color w:val="000000"/>
                <w:sz w:val="18"/>
                <w:szCs w:val="18"/>
              </w:rPr>
              <w:t xml:space="preserve">  </w:t>
            </w:r>
            <w:r>
              <w:rPr>
                <w:rFonts w:hint="eastAsia" w:ascii="宋体" w:hAnsi="宋体" w:cs="宋体"/>
                <w:color w:val="000000"/>
                <w:sz w:val="18"/>
                <w:szCs w:val="18"/>
              </w:rPr>
              <w:t>单位或者个人设置医疗机构，应当按照以下规定提出设置申请：第十六条</w:t>
            </w:r>
            <w:r>
              <w:rPr>
                <w:rFonts w:ascii="宋体" w:hAnsi="宋体" w:cs="宋体"/>
                <w:color w:val="000000"/>
                <w:sz w:val="18"/>
                <w:szCs w:val="18"/>
              </w:rPr>
              <w:t xml:space="preserve">  </w:t>
            </w:r>
            <w:r>
              <w:rPr>
                <w:rFonts w:hint="eastAsia" w:ascii="宋体" w:hAnsi="宋体" w:cs="宋体"/>
                <w:color w:val="000000"/>
                <w:sz w:val="18"/>
                <w:szCs w:val="18"/>
              </w:rPr>
              <w:t>申请医疗机构执业登记，应当具备下列条件：</w:t>
            </w:r>
            <w:r>
              <w:rPr>
                <w:rFonts w:ascii="宋体" w:hAnsi="宋体" w:cs="宋体"/>
                <w:color w:val="000000"/>
                <w:sz w:val="18"/>
                <w:szCs w:val="18"/>
              </w:rPr>
              <w:t xml:space="preserve"> </w:t>
            </w:r>
            <w:r>
              <w:rPr>
                <w:rFonts w:hint="eastAsia" w:ascii="宋体" w:hAnsi="宋体" w:cs="宋体"/>
                <w:color w:val="000000"/>
                <w:sz w:val="18"/>
                <w:szCs w:val="18"/>
              </w:rPr>
              <w:t>（一）有设置医疗机构批准书；</w:t>
            </w:r>
          </w:p>
        </w:tc>
        <w:tc>
          <w:tcPr>
            <w:tcW w:w="1028" w:type="dxa"/>
            <w:vAlign w:val="center"/>
          </w:tcPr>
          <w:p>
            <w:pPr>
              <w:widowControl/>
              <w:spacing w:line="240" w:lineRule="exact"/>
              <w:jc w:val="center"/>
              <w:rPr>
                <w:rFonts w:ascii="宋体" w:cs="Times New Roman"/>
                <w:color w:val="000000"/>
                <w:sz w:val="18"/>
                <w:szCs w:val="18"/>
              </w:rPr>
            </w:pPr>
            <w:r>
              <w:rPr>
                <w:rFonts w:hint="eastAsia" w:ascii="宋体" w:hAnsi="宋体" w:cs="宋体"/>
                <w:color w:val="000000"/>
                <w:sz w:val="18"/>
                <w:szCs w:val="18"/>
              </w:rPr>
              <w:t>卫生健康或行政审批部门</w:t>
            </w:r>
          </w:p>
        </w:tc>
        <w:tc>
          <w:tcPr>
            <w:tcW w:w="644" w:type="dxa"/>
          </w:tcPr>
          <w:p>
            <w:pPr>
              <w:widowControl/>
              <w:spacing w:line="240" w:lineRule="exact"/>
              <w:rPr>
                <w:rFonts w:ascii="Verdana" w:hAnsi="Verdana" w:cs="Verdan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8" w:type="dxa"/>
            <w:vMerge w:val="restart"/>
            <w:vAlign w:val="center"/>
          </w:tcPr>
          <w:p>
            <w:pPr>
              <w:widowControl/>
              <w:spacing w:line="240" w:lineRule="exact"/>
              <w:jc w:val="center"/>
              <w:rPr>
                <w:rFonts w:hint="eastAsia" w:ascii="宋体" w:eastAsia="宋体" w:cs="Times New Roman"/>
                <w:sz w:val="18"/>
                <w:szCs w:val="18"/>
                <w:lang w:val="en-US" w:eastAsia="zh-CN"/>
              </w:rPr>
            </w:pPr>
            <w:r>
              <w:rPr>
                <w:rFonts w:hint="eastAsia" w:ascii="宋体" w:cs="Times New Roman"/>
                <w:sz w:val="18"/>
                <w:szCs w:val="18"/>
                <w:lang w:val="en-US" w:eastAsia="zh-CN"/>
              </w:rPr>
              <w:t>6</w:t>
            </w:r>
          </w:p>
        </w:tc>
        <w:tc>
          <w:tcPr>
            <w:tcW w:w="957" w:type="dxa"/>
            <w:vMerge w:val="restart"/>
            <w:vAlign w:val="center"/>
          </w:tcPr>
          <w:p>
            <w:pPr>
              <w:widowControl/>
              <w:spacing w:line="240" w:lineRule="exact"/>
              <w:jc w:val="center"/>
              <w:rPr>
                <w:rFonts w:ascii="宋体" w:cs="Times New Roman"/>
                <w:sz w:val="18"/>
                <w:szCs w:val="18"/>
              </w:rPr>
            </w:pPr>
            <w:r>
              <w:rPr>
                <w:rFonts w:hint="eastAsia" w:ascii="宋体" w:hAnsi="宋体" w:cs="宋体"/>
                <w:sz w:val="18"/>
                <w:szCs w:val="18"/>
              </w:rPr>
              <w:t>房屋产权证明或者使用权证明</w:t>
            </w:r>
          </w:p>
        </w:tc>
        <w:tc>
          <w:tcPr>
            <w:tcW w:w="2160" w:type="dxa"/>
            <w:vAlign w:val="center"/>
          </w:tcPr>
          <w:p>
            <w:pPr>
              <w:widowControl/>
              <w:spacing w:line="240" w:lineRule="exact"/>
              <w:rPr>
                <w:rFonts w:ascii="宋体" w:hAnsi="宋体" w:cs="宋体"/>
                <w:sz w:val="18"/>
                <w:szCs w:val="18"/>
              </w:rPr>
            </w:pPr>
            <w:r>
              <w:rPr>
                <w:rFonts w:hint="eastAsia" w:ascii="宋体" w:hAnsi="宋体" w:cs="宋体"/>
                <w:sz w:val="18"/>
                <w:szCs w:val="18"/>
              </w:rPr>
              <w:t>医疗机构放射性职业病危害建设项目预评价报告审核、竣工验收</w:t>
            </w:r>
            <w:r>
              <w:rPr>
                <w:rFonts w:ascii="宋体" w:hAnsi="宋体" w:cs="宋体"/>
                <w:sz w:val="18"/>
                <w:szCs w:val="18"/>
              </w:rPr>
              <w:t>3700000123046</w:t>
            </w:r>
          </w:p>
        </w:tc>
        <w:tc>
          <w:tcPr>
            <w:tcW w:w="9038" w:type="dxa"/>
            <w:vAlign w:val="center"/>
          </w:tcPr>
          <w:p>
            <w:pPr>
              <w:widowControl/>
              <w:spacing w:line="240" w:lineRule="exact"/>
              <w:rPr>
                <w:rFonts w:ascii="宋体" w:cs="Times New Roman"/>
                <w:sz w:val="18"/>
                <w:szCs w:val="18"/>
              </w:rPr>
            </w:pPr>
            <w:r>
              <w:rPr>
                <w:rFonts w:hint="eastAsia" w:ascii="宋体" w:hAnsi="宋体" w:cs="宋体"/>
                <w:sz w:val="18"/>
                <w:szCs w:val="18"/>
              </w:rPr>
              <w:t>《医疗机构管理条例》第十六条</w:t>
            </w:r>
            <w:r>
              <w:rPr>
                <w:rFonts w:ascii="宋体" w:hAnsi="宋体" w:cs="宋体"/>
                <w:sz w:val="18"/>
                <w:szCs w:val="18"/>
              </w:rPr>
              <w:t xml:space="preserve">  </w:t>
            </w:r>
            <w:r>
              <w:rPr>
                <w:rFonts w:hint="eastAsia" w:ascii="宋体" w:hAnsi="宋体" w:cs="宋体"/>
                <w:sz w:val="18"/>
                <w:szCs w:val="18"/>
              </w:rPr>
              <w:t>申请医疗机构执业登记，应当具备下列条件：</w:t>
            </w:r>
            <w:r>
              <w:rPr>
                <w:rFonts w:ascii="宋体" w:hAnsi="宋体" w:cs="宋体"/>
                <w:sz w:val="18"/>
                <w:szCs w:val="18"/>
              </w:rPr>
              <w:t xml:space="preserve">  </w:t>
            </w:r>
            <w:r>
              <w:rPr>
                <w:rFonts w:hint="eastAsia" w:ascii="宋体" w:hAnsi="宋体" w:cs="宋体"/>
                <w:sz w:val="18"/>
                <w:szCs w:val="18"/>
              </w:rPr>
              <w:t>（三）有适合的名称、组织机构和场所；</w:t>
            </w:r>
          </w:p>
          <w:p>
            <w:pPr>
              <w:widowControl/>
              <w:spacing w:line="240" w:lineRule="exact"/>
              <w:rPr>
                <w:rFonts w:ascii="宋体" w:cs="Times New Roman"/>
                <w:sz w:val="18"/>
                <w:szCs w:val="18"/>
              </w:rPr>
            </w:pPr>
            <w:r>
              <w:rPr>
                <w:rFonts w:hint="eastAsia" w:ascii="宋体" w:hAnsi="宋体" w:cs="宋体"/>
                <w:sz w:val="18"/>
                <w:szCs w:val="18"/>
              </w:rPr>
              <w:t>《医疗机构管理条例实施细则》第二十五条</w:t>
            </w:r>
            <w:r>
              <w:rPr>
                <w:rFonts w:ascii="宋体" w:hAnsi="宋体" w:cs="宋体"/>
                <w:sz w:val="18"/>
                <w:szCs w:val="18"/>
              </w:rPr>
              <w:t xml:space="preserve">  </w:t>
            </w:r>
            <w:r>
              <w:rPr>
                <w:rFonts w:hint="eastAsia" w:ascii="宋体" w:hAnsi="宋体" w:cs="宋体"/>
                <w:sz w:val="18"/>
                <w:szCs w:val="18"/>
              </w:rPr>
              <w:t>申请医疗机构执业登记必须填写《医疗机构申请执业登记注册书》，并向登记机关提交下列材料：</w:t>
            </w:r>
            <w:r>
              <w:rPr>
                <w:rFonts w:ascii="宋体" w:hAnsi="宋体" w:cs="宋体"/>
                <w:sz w:val="18"/>
                <w:szCs w:val="18"/>
              </w:rPr>
              <w:t xml:space="preserve">  </w:t>
            </w:r>
            <w:r>
              <w:rPr>
                <w:rFonts w:hint="eastAsia" w:ascii="宋体" w:hAnsi="宋体" w:cs="宋体"/>
                <w:sz w:val="18"/>
                <w:szCs w:val="18"/>
              </w:rPr>
              <w:t>（二）医疗机构用房产权证明或者使用证明；</w:t>
            </w:r>
          </w:p>
        </w:tc>
        <w:tc>
          <w:tcPr>
            <w:tcW w:w="1028" w:type="dxa"/>
            <w:vAlign w:val="center"/>
          </w:tcPr>
          <w:p>
            <w:pPr>
              <w:widowControl/>
              <w:spacing w:line="240" w:lineRule="exact"/>
              <w:jc w:val="center"/>
              <w:rPr>
                <w:rFonts w:ascii="宋体" w:cs="Times New Roman"/>
                <w:sz w:val="18"/>
                <w:szCs w:val="18"/>
              </w:rPr>
            </w:pPr>
            <w:r>
              <w:rPr>
                <w:rFonts w:hint="eastAsia" w:ascii="宋体" w:hAnsi="宋体" w:cs="宋体"/>
                <w:sz w:val="18"/>
                <w:szCs w:val="18"/>
              </w:rPr>
              <w:t>住建部门</w:t>
            </w:r>
          </w:p>
        </w:tc>
        <w:tc>
          <w:tcPr>
            <w:tcW w:w="644" w:type="dxa"/>
          </w:tcPr>
          <w:p>
            <w:pPr>
              <w:widowControl/>
              <w:spacing w:line="240" w:lineRule="exact"/>
              <w:rPr>
                <w:rFonts w:ascii="Verdana" w:hAnsi="Verdana" w:cs="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8" w:type="dxa"/>
            <w:vMerge w:val="continue"/>
            <w:vAlign w:val="center"/>
          </w:tcPr>
          <w:p>
            <w:pPr>
              <w:widowControl/>
              <w:spacing w:line="240" w:lineRule="exact"/>
              <w:jc w:val="center"/>
              <w:rPr>
                <w:rFonts w:ascii="宋体" w:cs="Times New Roman"/>
                <w:sz w:val="18"/>
                <w:szCs w:val="18"/>
              </w:rPr>
            </w:pPr>
          </w:p>
        </w:tc>
        <w:tc>
          <w:tcPr>
            <w:tcW w:w="957" w:type="dxa"/>
            <w:vMerge w:val="continue"/>
            <w:vAlign w:val="center"/>
          </w:tcPr>
          <w:p>
            <w:pPr>
              <w:widowControl/>
              <w:spacing w:line="240" w:lineRule="exact"/>
              <w:jc w:val="center"/>
              <w:rPr>
                <w:rFonts w:ascii="宋体" w:cs="Times New Roman"/>
                <w:sz w:val="18"/>
                <w:szCs w:val="18"/>
              </w:rPr>
            </w:pPr>
          </w:p>
        </w:tc>
        <w:tc>
          <w:tcPr>
            <w:tcW w:w="2160" w:type="dxa"/>
            <w:vAlign w:val="center"/>
          </w:tcPr>
          <w:p>
            <w:pPr>
              <w:widowControl/>
              <w:spacing w:line="240" w:lineRule="exact"/>
              <w:rPr>
                <w:rFonts w:ascii="宋体" w:hAnsi="宋体" w:cs="宋体"/>
                <w:sz w:val="18"/>
                <w:szCs w:val="18"/>
              </w:rPr>
            </w:pPr>
            <w:r>
              <w:rPr>
                <w:rFonts w:hint="eastAsia" w:ascii="宋体" w:hAnsi="宋体" w:cs="宋体"/>
                <w:sz w:val="18"/>
                <w:szCs w:val="18"/>
              </w:rPr>
              <w:t>承担预防接种工作的医疗卫生机构（接种单位）的确认</w:t>
            </w:r>
            <w:r>
              <w:rPr>
                <w:rFonts w:ascii="宋体" w:hAnsi="宋体" w:cs="宋体"/>
                <w:sz w:val="18"/>
                <w:szCs w:val="18"/>
              </w:rPr>
              <w:t>3700000723012</w:t>
            </w:r>
          </w:p>
        </w:tc>
        <w:tc>
          <w:tcPr>
            <w:tcW w:w="9038" w:type="dxa"/>
            <w:vAlign w:val="center"/>
          </w:tcPr>
          <w:p>
            <w:pPr>
              <w:widowControl/>
              <w:spacing w:line="240" w:lineRule="exact"/>
              <w:rPr>
                <w:rFonts w:ascii="宋体" w:cs="Times New Roman"/>
                <w:sz w:val="18"/>
                <w:szCs w:val="18"/>
              </w:rPr>
            </w:pPr>
            <w:r>
              <w:rPr>
                <w:rFonts w:hint="eastAsia" w:ascii="宋体" w:hAnsi="宋体" w:cs="宋体"/>
                <w:sz w:val="18"/>
                <w:szCs w:val="18"/>
              </w:rPr>
              <w:t>《医疗机构管理条例》第十六条</w:t>
            </w:r>
            <w:r>
              <w:rPr>
                <w:rFonts w:ascii="宋体" w:hAnsi="宋体" w:cs="宋体"/>
                <w:sz w:val="18"/>
                <w:szCs w:val="18"/>
              </w:rPr>
              <w:t xml:space="preserve">  </w:t>
            </w:r>
            <w:r>
              <w:rPr>
                <w:rFonts w:hint="eastAsia" w:ascii="宋体" w:hAnsi="宋体" w:cs="宋体"/>
                <w:sz w:val="18"/>
                <w:szCs w:val="18"/>
              </w:rPr>
              <w:t>申请医疗机构执业登记，应当具备下列条件：</w:t>
            </w:r>
            <w:r>
              <w:rPr>
                <w:rFonts w:ascii="宋体" w:hAnsi="宋体" w:cs="宋体"/>
                <w:sz w:val="18"/>
                <w:szCs w:val="18"/>
              </w:rPr>
              <w:t xml:space="preserve">  </w:t>
            </w:r>
            <w:r>
              <w:rPr>
                <w:rFonts w:hint="eastAsia" w:ascii="宋体" w:hAnsi="宋体" w:cs="宋体"/>
                <w:sz w:val="18"/>
                <w:szCs w:val="18"/>
              </w:rPr>
              <w:t>（三）有适合的名称、组织机构和场所；</w:t>
            </w:r>
          </w:p>
          <w:p>
            <w:pPr>
              <w:widowControl/>
              <w:spacing w:line="240" w:lineRule="exact"/>
              <w:rPr>
                <w:rFonts w:ascii="宋体" w:cs="Times New Roman"/>
                <w:sz w:val="18"/>
                <w:szCs w:val="18"/>
              </w:rPr>
            </w:pPr>
            <w:r>
              <w:rPr>
                <w:rFonts w:hint="eastAsia" w:ascii="宋体" w:hAnsi="宋体" w:cs="宋体"/>
                <w:sz w:val="18"/>
                <w:szCs w:val="18"/>
              </w:rPr>
              <w:t>《医疗机构管理条例实施细则》第二十五条</w:t>
            </w:r>
            <w:r>
              <w:rPr>
                <w:rFonts w:ascii="宋体" w:hAnsi="宋体" w:cs="宋体"/>
                <w:sz w:val="18"/>
                <w:szCs w:val="18"/>
              </w:rPr>
              <w:t xml:space="preserve">  </w:t>
            </w:r>
            <w:r>
              <w:rPr>
                <w:rFonts w:hint="eastAsia" w:ascii="宋体" w:hAnsi="宋体" w:cs="宋体"/>
                <w:sz w:val="18"/>
                <w:szCs w:val="18"/>
              </w:rPr>
              <w:t>申请医疗机构执业登记必须填写《医疗机构申请执业登记注册书》，并向登记机关提交下列材料：</w:t>
            </w:r>
            <w:r>
              <w:rPr>
                <w:rFonts w:ascii="宋体" w:hAnsi="宋体" w:cs="宋体"/>
                <w:sz w:val="18"/>
                <w:szCs w:val="18"/>
              </w:rPr>
              <w:t xml:space="preserve">  </w:t>
            </w:r>
            <w:r>
              <w:rPr>
                <w:rFonts w:hint="eastAsia" w:ascii="宋体" w:hAnsi="宋体" w:cs="宋体"/>
                <w:sz w:val="18"/>
                <w:szCs w:val="18"/>
              </w:rPr>
              <w:t>（二）医疗机构用房产权证明或者使用证明；</w:t>
            </w:r>
          </w:p>
        </w:tc>
        <w:tc>
          <w:tcPr>
            <w:tcW w:w="1028" w:type="dxa"/>
            <w:vAlign w:val="center"/>
          </w:tcPr>
          <w:p>
            <w:pPr>
              <w:widowControl/>
              <w:spacing w:line="240" w:lineRule="exact"/>
              <w:jc w:val="center"/>
              <w:rPr>
                <w:rFonts w:ascii="宋体" w:cs="Times New Roman"/>
                <w:sz w:val="18"/>
                <w:szCs w:val="18"/>
              </w:rPr>
            </w:pPr>
            <w:r>
              <w:rPr>
                <w:rFonts w:hint="eastAsia" w:ascii="宋体" w:hAnsi="宋体" w:cs="宋体"/>
                <w:sz w:val="18"/>
                <w:szCs w:val="18"/>
              </w:rPr>
              <w:t>住建部门</w:t>
            </w:r>
          </w:p>
        </w:tc>
        <w:tc>
          <w:tcPr>
            <w:tcW w:w="644" w:type="dxa"/>
          </w:tcPr>
          <w:p>
            <w:pPr>
              <w:widowControl/>
              <w:spacing w:line="240" w:lineRule="exact"/>
              <w:rPr>
                <w:rFonts w:ascii="Verdana" w:hAnsi="Verdana" w:cs="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8" w:type="dxa"/>
            <w:vMerge w:val="restart"/>
            <w:vAlign w:val="center"/>
          </w:tcPr>
          <w:p>
            <w:pPr>
              <w:widowControl/>
              <w:spacing w:line="240" w:lineRule="exact"/>
              <w:jc w:val="center"/>
              <w:rPr>
                <w:rFonts w:hint="eastAsia" w:ascii="宋体" w:hAnsi="宋体" w:cs="宋体"/>
                <w:sz w:val="18"/>
                <w:szCs w:val="18"/>
                <w:lang w:val="en-US" w:eastAsia="zh-CN"/>
              </w:rPr>
            </w:pPr>
            <w:r>
              <w:rPr>
                <w:rFonts w:hint="eastAsia" w:ascii="宋体" w:hAnsi="宋体" w:cs="宋体"/>
                <w:sz w:val="18"/>
                <w:szCs w:val="18"/>
                <w:lang w:val="en-US" w:eastAsia="zh-CN"/>
              </w:rPr>
              <w:t>7</w:t>
            </w:r>
          </w:p>
        </w:tc>
        <w:tc>
          <w:tcPr>
            <w:tcW w:w="957" w:type="dxa"/>
            <w:vMerge w:val="restart"/>
            <w:vAlign w:val="center"/>
          </w:tcPr>
          <w:p>
            <w:pPr>
              <w:widowControl/>
              <w:spacing w:line="240" w:lineRule="exact"/>
              <w:jc w:val="center"/>
              <w:rPr>
                <w:rFonts w:hint="eastAsia" w:ascii="宋体" w:hAnsi="宋体" w:cs="宋体"/>
                <w:sz w:val="18"/>
                <w:szCs w:val="18"/>
                <w:lang w:eastAsia="zh-CN"/>
              </w:rPr>
            </w:pPr>
            <w:r>
              <w:rPr>
                <w:rFonts w:hint="eastAsia" w:ascii="宋体" w:hAnsi="宋体" w:cs="宋体"/>
                <w:sz w:val="18"/>
                <w:szCs w:val="18"/>
                <w:lang w:eastAsia="zh-CN"/>
              </w:rPr>
              <w:t>验资证明</w:t>
            </w:r>
          </w:p>
        </w:tc>
        <w:tc>
          <w:tcPr>
            <w:tcW w:w="2160" w:type="dxa"/>
            <w:vAlign w:val="center"/>
          </w:tcPr>
          <w:p>
            <w:pPr>
              <w:widowControl/>
              <w:spacing w:line="240" w:lineRule="exact"/>
              <w:jc w:val="center"/>
              <w:rPr>
                <w:rFonts w:hint="eastAsia" w:ascii="宋体" w:hAnsi="宋体" w:cs="宋体"/>
                <w:sz w:val="18"/>
                <w:szCs w:val="18"/>
              </w:rPr>
            </w:pPr>
            <w:r>
              <w:rPr>
                <w:rFonts w:hint="eastAsia" w:ascii="宋体" w:hAnsi="宋体" w:cs="宋体"/>
                <w:sz w:val="18"/>
                <w:szCs w:val="18"/>
              </w:rPr>
              <w:t>医疗机构放射性职业病危害建设项目预评价报告审核、竣工验收3700000123046</w:t>
            </w:r>
          </w:p>
        </w:tc>
        <w:tc>
          <w:tcPr>
            <w:tcW w:w="9038" w:type="dxa"/>
            <w:vAlign w:val="center"/>
          </w:tcPr>
          <w:p>
            <w:pPr>
              <w:widowControl/>
              <w:spacing w:line="240" w:lineRule="exact"/>
              <w:rPr>
                <w:rFonts w:ascii="宋体" w:cs="Times New Roman"/>
                <w:sz w:val="18"/>
                <w:szCs w:val="18"/>
              </w:rPr>
            </w:pPr>
            <w:r>
              <w:rPr>
                <w:rFonts w:hint="eastAsia" w:ascii="宋体" w:hAnsi="宋体" w:cs="宋体"/>
                <w:sz w:val="18"/>
                <w:szCs w:val="18"/>
              </w:rPr>
              <w:t>《医疗机构管理条例》第十六条</w:t>
            </w:r>
            <w:r>
              <w:rPr>
                <w:rFonts w:ascii="宋体" w:hAnsi="宋体" w:cs="宋体"/>
                <w:sz w:val="18"/>
                <w:szCs w:val="18"/>
              </w:rPr>
              <w:t xml:space="preserve">  </w:t>
            </w:r>
            <w:r>
              <w:rPr>
                <w:rFonts w:hint="eastAsia" w:ascii="宋体" w:hAnsi="宋体" w:cs="宋体"/>
                <w:sz w:val="18"/>
                <w:szCs w:val="18"/>
              </w:rPr>
              <w:t>申请医疗机构执业登记，应当具备下列条件：</w:t>
            </w:r>
            <w:r>
              <w:rPr>
                <w:rFonts w:ascii="宋体" w:hAnsi="宋体" w:cs="宋体"/>
                <w:sz w:val="18"/>
                <w:szCs w:val="18"/>
              </w:rPr>
              <w:t xml:space="preserve">  </w:t>
            </w:r>
            <w:r>
              <w:rPr>
                <w:rFonts w:hint="eastAsia" w:ascii="宋体" w:hAnsi="宋体" w:cs="宋体"/>
                <w:sz w:val="18"/>
                <w:szCs w:val="18"/>
              </w:rPr>
              <w:t>（三）有适合的名称、组织机构和场所；</w:t>
            </w:r>
          </w:p>
          <w:p>
            <w:pPr>
              <w:widowControl/>
              <w:spacing w:line="240" w:lineRule="exact"/>
              <w:rPr>
                <w:rFonts w:ascii="宋体" w:cs="Times New Roman"/>
                <w:sz w:val="18"/>
                <w:szCs w:val="18"/>
              </w:rPr>
            </w:pPr>
            <w:r>
              <w:rPr>
                <w:rFonts w:hint="eastAsia" w:ascii="宋体" w:hAnsi="宋体" w:cs="宋体"/>
                <w:sz w:val="18"/>
                <w:szCs w:val="18"/>
              </w:rPr>
              <w:t>《医疗机构管理条例实施细则》第二十五条</w:t>
            </w:r>
            <w:r>
              <w:rPr>
                <w:rFonts w:ascii="宋体" w:hAnsi="宋体" w:cs="宋体"/>
                <w:sz w:val="18"/>
                <w:szCs w:val="18"/>
              </w:rPr>
              <w:t xml:space="preserve">  </w:t>
            </w:r>
            <w:r>
              <w:rPr>
                <w:rFonts w:hint="eastAsia" w:ascii="宋体" w:hAnsi="宋体" w:cs="宋体"/>
                <w:sz w:val="18"/>
                <w:szCs w:val="18"/>
              </w:rPr>
              <w:t>申请医疗机构执业登记必须填写《医疗机构申请执业登记注册书》，并向登记机关提交下列材料：（四）验资证明、资产评估报告；</w:t>
            </w:r>
          </w:p>
        </w:tc>
        <w:tc>
          <w:tcPr>
            <w:tcW w:w="1028" w:type="dxa"/>
            <w:vAlign w:val="center"/>
          </w:tcPr>
          <w:p>
            <w:pPr>
              <w:widowControl/>
              <w:spacing w:line="240" w:lineRule="exact"/>
              <w:jc w:val="center"/>
              <w:rPr>
                <w:rFonts w:ascii="宋体" w:cs="Times New Roman"/>
                <w:sz w:val="18"/>
                <w:szCs w:val="18"/>
              </w:rPr>
            </w:pPr>
            <w:r>
              <w:rPr>
                <w:rFonts w:hint="eastAsia" w:ascii="宋体" w:hAnsi="宋体" w:cs="宋体"/>
                <w:sz w:val="18"/>
                <w:szCs w:val="18"/>
              </w:rPr>
              <w:t>市场监管部门</w:t>
            </w:r>
          </w:p>
        </w:tc>
        <w:tc>
          <w:tcPr>
            <w:tcW w:w="644" w:type="dxa"/>
            <w:vMerge w:val="restart"/>
          </w:tcPr>
          <w:p>
            <w:pPr>
              <w:widowControl/>
              <w:spacing w:line="240" w:lineRule="exact"/>
              <w:rPr>
                <w:rFonts w:ascii="Verdana" w:hAnsi="Verdana" w:cs="Verdana"/>
                <w:color w:val="FF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8" w:type="dxa"/>
            <w:vMerge w:val="continue"/>
            <w:vAlign w:val="center"/>
          </w:tcPr>
          <w:p>
            <w:pPr>
              <w:widowControl/>
              <w:spacing w:line="240" w:lineRule="exact"/>
              <w:jc w:val="center"/>
              <w:rPr>
                <w:rFonts w:hint="eastAsia" w:ascii="宋体" w:hAnsi="宋体" w:cs="宋体"/>
                <w:sz w:val="18"/>
                <w:szCs w:val="18"/>
              </w:rPr>
            </w:pPr>
          </w:p>
        </w:tc>
        <w:tc>
          <w:tcPr>
            <w:tcW w:w="957" w:type="dxa"/>
            <w:vMerge w:val="continue"/>
            <w:vAlign w:val="center"/>
          </w:tcPr>
          <w:p>
            <w:pPr>
              <w:widowControl/>
              <w:spacing w:line="240" w:lineRule="exact"/>
              <w:jc w:val="center"/>
              <w:rPr>
                <w:rFonts w:hint="eastAsia" w:ascii="宋体" w:hAnsi="宋体" w:cs="宋体"/>
                <w:sz w:val="18"/>
                <w:szCs w:val="18"/>
              </w:rPr>
            </w:pPr>
          </w:p>
        </w:tc>
        <w:tc>
          <w:tcPr>
            <w:tcW w:w="2160" w:type="dxa"/>
            <w:vAlign w:val="center"/>
          </w:tcPr>
          <w:p>
            <w:pPr>
              <w:widowControl/>
              <w:spacing w:line="240" w:lineRule="exact"/>
              <w:jc w:val="center"/>
              <w:rPr>
                <w:rFonts w:hint="eastAsia" w:ascii="宋体" w:hAnsi="宋体" w:cs="宋体"/>
                <w:sz w:val="18"/>
                <w:szCs w:val="18"/>
              </w:rPr>
            </w:pPr>
            <w:r>
              <w:rPr>
                <w:rFonts w:hint="eastAsia" w:ascii="宋体" w:hAnsi="宋体" w:cs="宋体"/>
                <w:sz w:val="18"/>
                <w:szCs w:val="18"/>
              </w:rPr>
              <w:t>承担预防接种工作的医疗卫生机构（接种单位）的确认3700000723012</w:t>
            </w:r>
          </w:p>
        </w:tc>
        <w:tc>
          <w:tcPr>
            <w:tcW w:w="9038" w:type="dxa"/>
            <w:vAlign w:val="center"/>
          </w:tcPr>
          <w:p>
            <w:pPr>
              <w:widowControl/>
              <w:spacing w:line="240" w:lineRule="exact"/>
              <w:rPr>
                <w:rFonts w:ascii="宋体" w:cs="Times New Roman"/>
                <w:sz w:val="18"/>
                <w:szCs w:val="18"/>
              </w:rPr>
            </w:pPr>
            <w:r>
              <w:rPr>
                <w:rFonts w:hint="eastAsia" w:ascii="宋体" w:hAnsi="宋体" w:cs="宋体"/>
                <w:sz w:val="18"/>
                <w:szCs w:val="18"/>
              </w:rPr>
              <w:t>《医疗机构管理条例》第十六条</w:t>
            </w:r>
            <w:r>
              <w:rPr>
                <w:rFonts w:ascii="宋体" w:hAnsi="宋体" w:cs="宋体"/>
                <w:sz w:val="18"/>
                <w:szCs w:val="18"/>
              </w:rPr>
              <w:t xml:space="preserve">  </w:t>
            </w:r>
            <w:r>
              <w:rPr>
                <w:rFonts w:hint="eastAsia" w:ascii="宋体" w:hAnsi="宋体" w:cs="宋体"/>
                <w:sz w:val="18"/>
                <w:szCs w:val="18"/>
              </w:rPr>
              <w:t>申请医疗机构执业登记，应当具备下列条件：</w:t>
            </w:r>
            <w:r>
              <w:rPr>
                <w:rFonts w:ascii="宋体" w:hAnsi="宋体" w:cs="宋体"/>
                <w:sz w:val="18"/>
                <w:szCs w:val="18"/>
              </w:rPr>
              <w:t xml:space="preserve">  </w:t>
            </w:r>
            <w:r>
              <w:rPr>
                <w:rFonts w:hint="eastAsia" w:ascii="宋体" w:hAnsi="宋体" w:cs="宋体"/>
                <w:sz w:val="18"/>
                <w:szCs w:val="18"/>
              </w:rPr>
              <w:t>（三）有适合的名称、组织机构和场所；</w:t>
            </w:r>
          </w:p>
          <w:p>
            <w:pPr>
              <w:widowControl/>
              <w:spacing w:line="240" w:lineRule="exact"/>
              <w:rPr>
                <w:rFonts w:ascii="宋体" w:cs="Times New Roman"/>
                <w:sz w:val="18"/>
                <w:szCs w:val="18"/>
              </w:rPr>
            </w:pPr>
            <w:r>
              <w:rPr>
                <w:rFonts w:hint="eastAsia" w:ascii="宋体" w:hAnsi="宋体" w:cs="宋体"/>
                <w:sz w:val="18"/>
                <w:szCs w:val="18"/>
              </w:rPr>
              <w:t>《医疗机构管理条例实施细则》第二十五条</w:t>
            </w:r>
            <w:r>
              <w:rPr>
                <w:rFonts w:ascii="宋体" w:hAnsi="宋体" w:cs="宋体"/>
                <w:sz w:val="18"/>
                <w:szCs w:val="18"/>
              </w:rPr>
              <w:t xml:space="preserve">  </w:t>
            </w:r>
            <w:r>
              <w:rPr>
                <w:rFonts w:hint="eastAsia" w:ascii="宋体" w:hAnsi="宋体" w:cs="宋体"/>
                <w:sz w:val="18"/>
                <w:szCs w:val="18"/>
              </w:rPr>
              <w:t>申请医疗机构执业登记必须填写《医疗机构申请执业登记注册书》，并向登记机关提交下列材料：（四）验资证明、资产评估报告；</w:t>
            </w:r>
          </w:p>
        </w:tc>
        <w:tc>
          <w:tcPr>
            <w:tcW w:w="1028" w:type="dxa"/>
            <w:vAlign w:val="center"/>
          </w:tcPr>
          <w:p>
            <w:pPr>
              <w:widowControl/>
              <w:spacing w:line="240" w:lineRule="exact"/>
              <w:jc w:val="center"/>
              <w:rPr>
                <w:rFonts w:ascii="宋体" w:cs="Times New Roman"/>
                <w:sz w:val="18"/>
                <w:szCs w:val="18"/>
              </w:rPr>
            </w:pPr>
            <w:r>
              <w:rPr>
                <w:rFonts w:hint="eastAsia" w:ascii="宋体" w:hAnsi="宋体" w:cs="宋体"/>
                <w:sz w:val="18"/>
                <w:szCs w:val="18"/>
              </w:rPr>
              <w:t>市场监管部门</w:t>
            </w:r>
          </w:p>
        </w:tc>
        <w:tc>
          <w:tcPr>
            <w:tcW w:w="644" w:type="dxa"/>
            <w:vMerge w:val="continue"/>
          </w:tcPr>
          <w:p>
            <w:pPr>
              <w:widowControl/>
              <w:spacing w:line="240" w:lineRule="exact"/>
              <w:rPr>
                <w:rFonts w:ascii="Verdana" w:hAnsi="Verdana" w:cs="Verdana"/>
                <w:color w:val="FF0000"/>
                <w:sz w:val="18"/>
                <w:szCs w:val="18"/>
              </w:rPr>
            </w:pPr>
          </w:p>
        </w:tc>
      </w:tr>
    </w:tbl>
    <w:p>
      <w:pPr>
        <w:widowControl/>
        <w:rPr>
          <w:rFonts w:ascii="Verdana" w:hAnsi="Verdana" w:cs="Verdana"/>
          <w:color w:val="000000"/>
          <w:sz w:val="20"/>
          <w:szCs w:val="20"/>
        </w:rPr>
      </w:pPr>
    </w:p>
    <w:sectPr>
      <w:pgSz w:w="16838" w:h="11906" w:orient="landscape"/>
      <w:pgMar w:top="1701" w:right="1440" w:bottom="1418"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auto"/>
    <w:pitch w:val="default"/>
    <w:sig w:usb0="00000001" w:usb1="080E0000" w:usb2="00000000" w:usb3="00000000" w:csb0="00040000" w:csb1="00000000"/>
  </w:font>
  <w:font w:name="Verdana">
    <w:panose1 w:val="020B0604030504040204"/>
    <w:charset w:val="00"/>
    <w:family w:val="swiss"/>
    <w:pitch w:val="default"/>
    <w:sig w:usb0="A10006FF" w:usb1="4000205B" w:usb2="00000010"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870A8"/>
    <w:rsid w:val="00001696"/>
    <w:rsid w:val="00011142"/>
    <w:rsid w:val="000114BC"/>
    <w:rsid w:val="000201B9"/>
    <w:rsid w:val="000203CA"/>
    <w:rsid w:val="00026AA7"/>
    <w:rsid w:val="00035529"/>
    <w:rsid w:val="00035BD1"/>
    <w:rsid w:val="00040BC3"/>
    <w:rsid w:val="00040D23"/>
    <w:rsid w:val="00043E07"/>
    <w:rsid w:val="000441C9"/>
    <w:rsid w:val="00045CCF"/>
    <w:rsid w:val="00046675"/>
    <w:rsid w:val="000471C2"/>
    <w:rsid w:val="0005039F"/>
    <w:rsid w:val="000507FE"/>
    <w:rsid w:val="00051727"/>
    <w:rsid w:val="0005496F"/>
    <w:rsid w:val="0005595C"/>
    <w:rsid w:val="00073207"/>
    <w:rsid w:val="00074247"/>
    <w:rsid w:val="000767D6"/>
    <w:rsid w:val="00077A8D"/>
    <w:rsid w:val="0008415E"/>
    <w:rsid w:val="0008669C"/>
    <w:rsid w:val="00086CD9"/>
    <w:rsid w:val="00090A7D"/>
    <w:rsid w:val="00092F00"/>
    <w:rsid w:val="0009333A"/>
    <w:rsid w:val="000A1E13"/>
    <w:rsid w:val="000A3D92"/>
    <w:rsid w:val="000A3E85"/>
    <w:rsid w:val="000A44AC"/>
    <w:rsid w:val="000B05FF"/>
    <w:rsid w:val="000B21E6"/>
    <w:rsid w:val="000C0323"/>
    <w:rsid w:val="000C132C"/>
    <w:rsid w:val="000C17D5"/>
    <w:rsid w:val="000C2277"/>
    <w:rsid w:val="000C77E6"/>
    <w:rsid w:val="000D075C"/>
    <w:rsid w:val="000D1348"/>
    <w:rsid w:val="000D4693"/>
    <w:rsid w:val="000D5B85"/>
    <w:rsid w:val="000E04A9"/>
    <w:rsid w:val="000E299A"/>
    <w:rsid w:val="000E705E"/>
    <w:rsid w:val="000F048F"/>
    <w:rsid w:val="000F2C41"/>
    <w:rsid w:val="000F2D00"/>
    <w:rsid w:val="00100520"/>
    <w:rsid w:val="00112DB5"/>
    <w:rsid w:val="00123DF2"/>
    <w:rsid w:val="00124B21"/>
    <w:rsid w:val="0012794D"/>
    <w:rsid w:val="001402E9"/>
    <w:rsid w:val="001462A2"/>
    <w:rsid w:val="00146909"/>
    <w:rsid w:val="00147EBC"/>
    <w:rsid w:val="00152D3D"/>
    <w:rsid w:val="00152E13"/>
    <w:rsid w:val="001550A3"/>
    <w:rsid w:val="00157DCB"/>
    <w:rsid w:val="0016228D"/>
    <w:rsid w:val="001635B0"/>
    <w:rsid w:val="001731A8"/>
    <w:rsid w:val="0017596B"/>
    <w:rsid w:val="0017796F"/>
    <w:rsid w:val="001A5C94"/>
    <w:rsid w:val="001A5DC6"/>
    <w:rsid w:val="001A661D"/>
    <w:rsid w:val="001A6CC0"/>
    <w:rsid w:val="001B5DA5"/>
    <w:rsid w:val="001C2555"/>
    <w:rsid w:val="001C2A30"/>
    <w:rsid w:val="001D3D05"/>
    <w:rsid w:val="001D5386"/>
    <w:rsid w:val="001D6CB3"/>
    <w:rsid w:val="001E36BC"/>
    <w:rsid w:val="001E5BF3"/>
    <w:rsid w:val="001E6644"/>
    <w:rsid w:val="001E6A89"/>
    <w:rsid w:val="001E6FDD"/>
    <w:rsid w:val="001E765A"/>
    <w:rsid w:val="001F3DCC"/>
    <w:rsid w:val="001F6BB5"/>
    <w:rsid w:val="00201F60"/>
    <w:rsid w:val="00214EEB"/>
    <w:rsid w:val="00215F87"/>
    <w:rsid w:val="0021623B"/>
    <w:rsid w:val="00221C66"/>
    <w:rsid w:val="0022430A"/>
    <w:rsid w:val="00231157"/>
    <w:rsid w:val="00234838"/>
    <w:rsid w:val="0023658D"/>
    <w:rsid w:val="00257132"/>
    <w:rsid w:val="00257144"/>
    <w:rsid w:val="00257895"/>
    <w:rsid w:val="00267EE9"/>
    <w:rsid w:val="00273454"/>
    <w:rsid w:val="00276BEC"/>
    <w:rsid w:val="00277A34"/>
    <w:rsid w:val="00280142"/>
    <w:rsid w:val="00283F65"/>
    <w:rsid w:val="002A058C"/>
    <w:rsid w:val="002A1440"/>
    <w:rsid w:val="002A1EDB"/>
    <w:rsid w:val="002A27A3"/>
    <w:rsid w:val="002B1CCD"/>
    <w:rsid w:val="002B1D53"/>
    <w:rsid w:val="002B34DF"/>
    <w:rsid w:val="002B37A2"/>
    <w:rsid w:val="002B600D"/>
    <w:rsid w:val="002C6593"/>
    <w:rsid w:val="002C7F84"/>
    <w:rsid w:val="002D0561"/>
    <w:rsid w:val="002D0953"/>
    <w:rsid w:val="002D36C3"/>
    <w:rsid w:val="002D37B8"/>
    <w:rsid w:val="002D676A"/>
    <w:rsid w:val="002E1682"/>
    <w:rsid w:val="002E3D68"/>
    <w:rsid w:val="002F3772"/>
    <w:rsid w:val="00302485"/>
    <w:rsid w:val="0030579D"/>
    <w:rsid w:val="0030612B"/>
    <w:rsid w:val="00313939"/>
    <w:rsid w:val="00315335"/>
    <w:rsid w:val="0031701D"/>
    <w:rsid w:val="00324877"/>
    <w:rsid w:val="00324E6F"/>
    <w:rsid w:val="00325342"/>
    <w:rsid w:val="00333382"/>
    <w:rsid w:val="00342D57"/>
    <w:rsid w:val="00345D44"/>
    <w:rsid w:val="003517D6"/>
    <w:rsid w:val="00354116"/>
    <w:rsid w:val="00354DCE"/>
    <w:rsid w:val="00356AE6"/>
    <w:rsid w:val="003579BF"/>
    <w:rsid w:val="003602E8"/>
    <w:rsid w:val="003607A2"/>
    <w:rsid w:val="003631C5"/>
    <w:rsid w:val="00370608"/>
    <w:rsid w:val="00374162"/>
    <w:rsid w:val="00380B28"/>
    <w:rsid w:val="0038657C"/>
    <w:rsid w:val="00390FE1"/>
    <w:rsid w:val="0039630D"/>
    <w:rsid w:val="003A1BF6"/>
    <w:rsid w:val="003A7DBF"/>
    <w:rsid w:val="003B0C2A"/>
    <w:rsid w:val="003B60BF"/>
    <w:rsid w:val="003B6CD5"/>
    <w:rsid w:val="003C0F8E"/>
    <w:rsid w:val="003C4FD8"/>
    <w:rsid w:val="003C54C6"/>
    <w:rsid w:val="003D50D4"/>
    <w:rsid w:val="003E3B38"/>
    <w:rsid w:val="003E5140"/>
    <w:rsid w:val="003E5726"/>
    <w:rsid w:val="003F2061"/>
    <w:rsid w:val="003F460F"/>
    <w:rsid w:val="004054D1"/>
    <w:rsid w:val="00406945"/>
    <w:rsid w:val="00406A44"/>
    <w:rsid w:val="0041419E"/>
    <w:rsid w:val="004144B9"/>
    <w:rsid w:val="0041588A"/>
    <w:rsid w:val="004205CB"/>
    <w:rsid w:val="004224B4"/>
    <w:rsid w:val="00423A49"/>
    <w:rsid w:val="0043125F"/>
    <w:rsid w:val="0043291A"/>
    <w:rsid w:val="00432DD8"/>
    <w:rsid w:val="00436CE2"/>
    <w:rsid w:val="00437BDC"/>
    <w:rsid w:val="00437C5C"/>
    <w:rsid w:val="0044073E"/>
    <w:rsid w:val="00443D34"/>
    <w:rsid w:val="0044519F"/>
    <w:rsid w:val="00451155"/>
    <w:rsid w:val="00460278"/>
    <w:rsid w:val="004651C7"/>
    <w:rsid w:val="0046668E"/>
    <w:rsid w:val="004668F4"/>
    <w:rsid w:val="004705CC"/>
    <w:rsid w:val="00482761"/>
    <w:rsid w:val="0049602F"/>
    <w:rsid w:val="00496655"/>
    <w:rsid w:val="00496E50"/>
    <w:rsid w:val="004A6C0C"/>
    <w:rsid w:val="004B25FE"/>
    <w:rsid w:val="004B2FB9"/>
    <w:rsid w:val="004B431A"/>
    <w:rsid w:val="004B466A"/>
    <w:rsid w:val="004B4E7A"/>
    <w:rsid w:val="004C1B76"/>
    <w:rsid w:val="004C688E"/>
    <w:rsid w:val="004C7647"/>
    <w:rsid w:val="004D28D1"/>
    <w:rsid w:val="004E399C"/>
    <w:rsid w:val="004E5F47"/>
    <w:rsid w:val="004E63F0"/>
    <w:rsid w:val="004F31D1"/>
    <w:rsid w:val="004F6072"/>
    <w:rsid w:val="004F6B25"/>
    <w:rsid w:val="004F6D80"/>
    <w:rsid w:val="00501889"/>
    <w:rsid w:val="005020E4"/>
    <w:rsid w:val="00505678"/>
    <w:rsid w:val="005060F7"/>
    <w:rsid w:val="0051456E"/>
    <w:rsid w:val="005232DC"/>
    <w:rsid w:val="00525C52"/>
    <w:rsid w:val="00533442"/>
    <w:rsid w:val="00533AE8"/>
    <w:rsid w:val="0053676B"/>
    <w:rsid w:val="00547A7F"/>
    <w:rsid w:val="005512A2"/>
    <w:rsid w:val="00556A83"/>
    <w:rsid w:val="00557E1C"/>
    <w:rsid w:val="00560BBF"/>
    <w:rsid w:val="0056276C"/>
    <w:rsid w:val="00563357"/>
    <w:rsid w:val="005636C0"/>
    <w:rsid w:val="00572C4C"/>
    <w:rsid w:val="005753D1"/>
    <w:rsid w:val="0058460F"/>
    <w:rsid w:val="005915A9"/>
    <w:rsid w:val="00594BD5"/>
    <w:rsid w:val="005A1985"/>
    <w:rsid w:val="005A24FF"/>
    <w:rsid w:val="005A4D8D"/>
    <w:rsid w:val="005A6E83"/>
    <w:rsid w:val="005B0984"/>
    <w:rsid w:val="005B3D93"/>
    <w:rsid w:val="005B44BD"/>
    <w:rsid w:val="005C08E6"/>
    <w:rsid w:val="005C1C30"/>
    <w:rsid w:val="005C5725"/>
    <w:rsid w:val="005C7926"/>
    <w:rsid w:val="005D38A6"/>
    <w:rsid w:val="005D78F4"/>
    <w:rsid w:val="005E0C47"/>
    <w:rsid w:val="005E1E9A"/>
    <w:rsid w:val="005E272A"/>
    <w:rsid w:val="005E4DF6"/>
    <w:rsid w:val="005F5A5F"/>
    <w:rsid w:val="006009D9"/>
    <w:rsid w:val="006014E9"/>
    <w:rsid w:val="00601C3A"/>
    <w:rsid w:val="00606283"/>
    <w:rsid w:val="006113F4"/>
    <w:rsid w:val="006157E9"/>
    <w:rsid w:val="00626374"/>
    <w:rsid w:val="00627C22"/>
    <w:rsid w:val="00630200"/>
    <w:rsid w:val="0064276A"/>
    <w:rsid w:val="00642E19"/>
    <w:rsid w:val="00647917"/>
    <w:rsid w:val="006540A6"/>
    <w:rsid w:val="006562B2"/>
    <w:rsid w:val="00656C7E"/>
    <w:rsid w:val="0066080F"/>
    <w:rsid w:val="006653AA"/>
    <w:rsid w:val="006658E6"/>
    <w:rsid w:val="0066596E"/>
    <w:rsid w:val="00670220"/>
    <w:rsid w:val="006707AE"/>
    <w:rsid w:val="006709DF"/>
    <w:rsid w:val="006826FF"/>
    <w:rsid w:val="00683845"/>
    <w:rsid w:val="00690E89"/>
    <w:rsid w:val="00691935"/>
    <w:rsid w:val="00694A26"/>
    <w:rsid w:val="00694B4B"/>
    <w:rsid w:val="006958FC"/>
    <w:rsid w:val="00697681"/>
    <w:rsid w:val="006B38E5"/>
    <w:rsid w:val="006B6884"/>
    <w:rsid w:val="006B6B36"/>
    <w:rsid w:val="006C586B"/>
    <w:rsid w:val="006C669E"/>
    <w:rsid w:val="006C7CAC"/>
    <w:rsid w:val="006D0622"/>
    <w:rsid w:val="006D09D3"/>
    <w:rsid w:val="006D50A7"/>
    <w:rsid w:val="006D653E"/>
    <w:rsid w:val="006E469B"/>
    <w:rsid w:val="006F2B86"/>
    <w:rsid w:val="00705EB1"/>
    <w:rsid w:val="007106AB"/>
    <w:rsid w:val="00710782"/>
    <w:rsid w:val="00713F4D"/>
    <w:rsid w:val="0071411B"/>
    <w:rsid w:val="0071752D"/>
    <w:rsid w:val="00730DE1"/>
    <w:rsid w:val="007401DD"/>
    <w:rsid w:val="007415B9"/>
    <w:rsid w:val="0074285C"/>
    <w:rsid w:val="00742A1A"/>
    <w:rsid w:val="00743398"/>
    <w:rsid w:val="00744CAE"/>
    <w:rsid w:val="00756F5F"/>
    <w:rsid w:val="00757612"/>
    <w:rsid w:val="00764849"/>
    <w:rsid w:val="00767EE2"/>
    <w:rsid w:val="00775061"/>
    <w:rsid w:val="00775CFE"/>
    <w:rsid w:val="007779E7"/>
    <w:rsid w:val="007859C6"/>
    <w:rsid w:val="00786337"/>
    <w:rsid w:val="007A2033"/>
    <w:rsid w:val="007A3308"/>
    <w:rsid w:val="007A4507"/>
    <w:rsid w:val="007A52DA"/>
    <w:rsid w:val="007B7EAA"/>
    <w:rsid w:val="007C3BF2"/>
    <w:rsid w:val="007C7695"/>
    <w:rsid w:val="007D7BC8"/>
    <w:rsid w:val="007E4791"/>
    <w:rsid w:val="007E5B64"/>
    <w:rsid w:val="007F759D"/>
    <w:rsid w:val="00804846"/>
    <w:rsid w:val="00813813"/>
    <w:rsid w:val="008208C2"/>
    <w:rsid w:val="0082265F"/>
    <w:rsid w:val="00825582"/>
    <w:rsid w:val="00830E4C"/>
    <w:rsid w:val="00840508"/>
    <w:rsid w:val="008407CD"/>
    <w:rsid w:val="00840E98"/>
    <w:rsid w:val="0084160F"/>
    <w:rsid w:val="008468E6"/>
    <w:rsid w:val="00850F83"/>
    <w:rsid w:val="00852413"/>
    <w:rsid w:val="0085331B"/>
    <w:rsid w:val="008561E8"/>
    <w:rsid w:val="00857FD7"/>
    <w:rsid w:val="00862FF9"/>
    <w:rsid w:val="0087010B"/>
    <w:rsid w:val="008712F3"/>
    <w:rsid w:val="00880D61"/>
    <w:rsid w:val="00880DEC"/>
    <w:rsid w:val="00893087"/>
    <w:rsid w:val="00896314"/>
    <w:rsid w:val="00897630"/>
    <w:rsid w:val="008A2A47"/>
    <w:rsid w:val="008A3ABB"/>
    <w:rsid w:val="008A5A89"/>
    <w:rsid w:val="008A61CC"/>
    <w:rsid w:val="008B0EA4"/>
    <w:rsid w:val="008B3015"/>
    <w:rsid w:val="008B776E"/>
    <w:rsid w:val="008C2A04"/>
    <w:rsid w:val="008C338D"/>
    <w:rsid w:val="008C4645"/>
    <w:rsid w:val="008C5A52"/>
    <w:rsid w:val="008D0954"/>
    <w:rsid w:val="008F1F11"/>
    <w:rsid w:val="008F55CD"/>
    <w:rsid w:val="009004F8"/>
    <w:rsid w:val="00901B56"/>
    <w:rsid w:val="009060FD"/>
    <w:rsid w:val="00907092"/>
    <w:rsid w:val="0090745B"/>
    <w:rsid w:val="00907FD7"/>
    <w:rsid w:val="00912A41"/>
    <w:rsid w:val="00913830"/>
    <w:rsid w:val="00921A2F"/>
    <w:rsid w:val="009220CE"/>
    <w:rsid w:val="0092350C"/>
    <w:rsid w:val="009240BF"/>
    <w:rsid w:val="00934D28"/>
    <w:rsid w:val="00937487"/>
    <w:rsid w:val="00943EBF"/>
    <w:rsid w:val="0094485F"/>
    <w:rsid w:val="00950103"/>
    <w:rsid w:val="00950AA2"/>
    <w:rsid w:val="00951BFD"/>
    <w:rsid w:val="009534B4"/>
    <w:rsid w:val="0096721F"/>
    <w:rsid w:val="00967C71"/>
    <w:rsid w:val="00972E52"/>
    <w:rsid w:val="00982F34"/>
    <w:rsid w:val="009841E6"/>
    <w:rsid w:val="009879D5"/>
    <w:rsid w:val="00987AD9"/>
    <w:rsid w:val="00992061"/>
    <w:rsid w:val="00996E28"/>
    <w:rsid w:val="009979E4"/>
    <w:rsid w:val="009A1F45"/>
    <w:rsid w:val="009A24BB"/>
    <w:rsid w:val="009A25D1"/>
    <w:rsid w:val="009A5978"/>
    <w:rsid w:val="009A7941"/>
    <w:rsid w:val="009A7DFE"/>
    <w:rsid w:val="009B4F94"/>
    <w:rsid w:val="009B5129"/>
    <w:rsid w:val="009C4A24"/>
    <w:rsid w:val="009C5456"/>
    <w:rsid w:val="009C72C7"/>
    <w:rsid w:val="009D2BD0"/>
    <w:rsid w:val="009D6138"/>
    <w:rsid w:val="009E57F5"/>
    <w:rsid w:val="009F43A0"/>
    <w:rsid w:val="009F598E"/>
    <w:rsid w:val="009F7BAD"/>
    <w:rsid w:val="00A02524"/>
    <w:rsid w:val="00A121B5"/>
    <w:rsid w:val="00A15E26"/>
    <w:rsid w:val="00A20595"/>
    <w:rsid w:val="00A20B68"/>
    <w:rsid w:val="00A23D2F"/>
    <w:rsid w:val="00A2560B"/>
    <w:rsid w:val="00A25A08"/>
    <w:rsid w:val="00A31E14"/>
    <w:rsid w:val="00A33FC2"/>
    <w:rsid w:val="00A35518"/>
    <w:rsid w:val="00A460D2"/>
    <w:rsid w:val="00A47446"/>
    <w:rsid w:val="00A50EB7"/>
    <w:rsid w:val="00A52F4B"/>
    <w:rsid w:val="00A531B5"/>
    <w:rsid w:val="00A609DB"/>
    <w:rsid w:val="00A64872"/>
    <w:rsid w:val="00A6523F"/>
    <w:rsid w:val="00A7142C"/>
    <w:rsid w:val="00A76188"/>
    <w:rsid w:val="00A80A9C"/>
    <w:rsid w:val="00A81572"/>
    <w:rsid w:val="00A824B7"/>
    <w:rsid w:val="00A83C4F"/>
    <w:rsid w:val="00A840C6"/>
    <w:rsid w:val="00A858B5"/>
    <w:rsid w:val="00A94986"/>
    <w:rsid w:val="00A95403"/>
    <w:rsid w:val="00A96C0D"/>
    <w:rsid w:val="00AA0563"/>
    <w:rsid w:val="00AA0D75"/>
    <w:rsid w:val="00AA3D46"/>
    <w:rsid w:val="00AA6633"/>
    <w:rsid w:val="00AB14C2"/>
    <w:rsid w:val="00AB6E20"/>
    <w:rsid w:val="00AC2227"/>
    <w:rsid w:val="00AD1768"/>
    <w:rsid w:val="00AD4882"/>
    <w:rsid w:val="00AD725E"/>
    <w:rsid w:val="00AE2DF8"/>
    <w:rsid w:val="00AE70ED"/>
    <w:rsid w:val="00AE7795"/>
    <w:rsid w:val="00AF0C9D"/>
    <w:rsid w:val="00AF1F2E"/>
    <w:rsid w:val="00AF2260"/>
    <w:rsid w:val="00AF4390"/>
    <w:rsid w:val="00AF678E"/>
    <w:rsid w:val="00AF7FB5"/>
    <w:rsid w:val="00B05158"/>
    <w:rsid w:val="00B078FF"/>
    <w:rsid w:val="00B10ACA"/>
    <w:rsid w:val="00B131F7"/>
    <w:rsid w:val="00B15E95"/>
    <w:rsid w:val="00B21541"/>
    <w:rsid w:val="00B36306"/>
    <w:rsid w:val="00B40AA9"/>
    <w:rsid w:val="00B41B07"/>
    <w:rsid w:val="00B46011"/>
    <w:rsid w:val="00B460F0"/>
    <w:rsid w:val="00B605B5"/>
    <w:rsid w:val="00B628FB"/>
    <w:rsid w:val="00B63021"/>
    <w:rsid w:val="00B6396B"/>
    <w:rsid w:val="00B64D4F"/>
    <w:rsid w:val="00B661D9"/>
    <w:rsid w:val="00B729FD"/>
    <w:rsid w:val="00B73876"/>
    <w:rsid w:val="00B81E23"/>
    <w:rsid w:val="00B90001"/>
    <w:rsid w:val="00B934B3"/>
    <w:rsid w:val="00BA54C5"/>
    <w:rsid w:val="00BA55EE"/>
    <w:rsid w:val="00BA5D43"/>
    <w:rsid w:val="00BA7C66"/>
    <w:rsid w:val="00BB0581"/>
    <w:rsid w:val="00BB11FC"/>
    <w:rsid w:val="00BB472B"/>
    <w:rsid w:val="00BB52BD"/>
    <w:rsid w:val="00BB63DF"/>
    <w:rsid w:val="00BB6868"/>
    <w:rsid w:val="00BB6D92"/>
    <w:rsid w:val="00BC4878"/>
    <w:rsid w:val="00BC4F69"/>
    <w:rsid w:val="00BC5D14"/>
    <w:rsid w:val="00BD5B52"/>
    <w:rsid w:val="00BE17D7"/>
    <w:rsid w:val="00BE4DD2"/>
    <w:rsid w:val="00BE71C6"/>
    <w:rsid w:val="00BE7A50"/>
    <w:rsid w:val="00BF0361"/>
    <w:rsid w:val="00BF0F0F"/>
    <w:rsid w:val="00BF2168"/>
    <w:rsid w:val="00BF64C8"/>
    <w:rsid w:val="00C065C7"/>
    <w:rsid w:val="00C10AE6"/>
    <w:rsid w:val="00C11B6E"/>
    <w:rsid w:val="00C13A59"/>
    <w:rsid w:val="00C1686B"/>
    <w:rsid w:val="00C16D19"/>
    <w:rsid w:val="00C23A00"/>
    <w:rsid w:val="00C24004"/>
    <w:rsid w:val="00C25DEF"/>
    <w:rsid w:val="00C2745D"/>
    <w:rsid w:val="00C37235"/>
    <w:rsid w:val="00C4046F"/>
    <w:rsid w:val="00C502F7"/>
    <w:rsid w:val="00C54762"/>
    <w:rsid w:val="00C60C9F"/>
    <w:rsid w:val="00C631D3"/>
    <w:rsid w:val="00C6433F"/>
    <w:rsid w:val="00C75A58"/>
    <w:rsid w:val="00C83A25"/>
    <w:rsid w:val="00C8457B"/>
    <w:rsid w:val="00C848E7"/>
    <w:rsid w:val="00C8770A"/>
    <w:rsid w:val="00CA550A"/>
    <w:rsid w:val="00CA5B28"/>
    <w:rsid w:val="00CA63AF"/>
    <w:rsid w:val="00CA6442"/>
    <w:rsid w:val="00CA71EC"/>
    <w:rsid w:val="00CB2254"/>
    <w:rsid w:val="00CB2784"/>
    <w:rsid w:val="00CB28DF"/>
    <w:rsid w:val="00CC5317"/>
    <w:rsid w:val="00CC5442"/>
    <w:rsid w:val="00CC63CE"/>
    <w:rsid w:val="00CD11CA"/>
    <w:rsid w:val="00CD1A06"/>
    <w:rsid w:val="00CD44C6"/>
    <w:rsid w:val="00CD4DC5"/>
    <w:rsid w:val="00CD65E5"/>
    <w:rsid w:val="00CE4FD2"/>
    <w:rsid w:val="00CE69C4"/>
    <w:rsid w:val="00CE72D6"/>
    <w:rsid w:val="00CF6C3A"/>
    <w:rsid w:val="00CF735D"/>
    <w:rsid w:val="00D063BE"/>
    <w:rsid w:val="00D11F50"/>
    <w:rsid w:val="00D1442C"/>
    <w:rsid w:val="00D2139D"/>
    <w:rsid w:val="00D2501A"/>
    <w:rsid w:val="00D305C1"/>
    <w:rsid w:val="00D33323"/>
    <w:rsid w:val="00D3663F"/>
    <w:rsid w:val="00D43D7F"/>
    <w:rsid w:val="00D43D93"/>
    <w:rsid w:val="00D65F0D"/>
    <w:rsid w:val="00D67413"/>
    <w:rsid w:val="00D80ED6"/>
    <w:rsid w:val="00D83E49"/>
    <w:rsid w:val="00D877E9"/>
    <w:rsid w:val="00D92554"/>
    <w:rsid w:val="00D94610"/>
    <w:rsid w:val="00DA1B01"/>
    <w:rsid w:val="00DA4507"/>
    <w:rsid w:val="00DB1F72"/>
    <w:rsid w:val="00DC08D0"/>
    <w:rsid w:val="00DC0DBA"/>
    <w:rsid w:val="00DC2E77"/>
    <w:rsid w:val="00DC64A6"/>
    <w:rsid w:val="00DD5E9E"/>
    <w:rsid w:val="00DE1A8B"/>
    <w:rsid w:val="00DF2AF4"/>
    <w:rsid w:val="00DF5475"/>
    <w:rsid w:val="00DF7905"/>
    <w:rsid w:val="00E05EC7"/>
    <w:rsid w:val="00E11C0D"/>
    <w:rsid w:val="00E12019"/>
    <w:rsid w:val="00E1362A"/>
    <w:rsid w:val="00E13FC1"/>
    <w:rsid w:val="00E15710"/>
    <w:rsid w:val="00E270B9"/>
    <w:rsid w:val="00E30030"/>
    <w:rsid w:val="00E34E3E"/>
    <w:rsid w:val="00E36131"/>
    <w:rsid w:val="00E36810"/>
    <w:rsid w:val="00E4476A"/>
    <w:rsid w:val="00E46244"/>
    <w:rsid w:val="00E51B37"/>
    <w:rsid w:val="00E53D78"/>
    <w:rsid w:val="00E7458F"/>
    <w:rsid w:val="00E7791E"/>
    <w:rsid w:val="00E80CC4"/>
    <w:rsid w:val="00E8104F"/>
    <w:rsid w:val="00E819B1"/>
    <w:rsid w:val="00E824C7"/>
    <w:rsid w:val="00E83617"/>
    <w:rsid w:val="00E85C40"/>
    <w:rsid w:val="00E870A8"/>
    <w:rsid w:val="00E90066"/>
    <w:rsid w:val="00E903FF"/>
    <w:rsid w:val="00E908F5"/>
    <w:rsid w:val="00E94FEC"/>
    <w:rsid w:val="00E95127"/>
    <w:rsid w:val="00E97BB0"/>
    <w:rsid w:val="00EA1E9D"/>
    <w:rsid w:val="00EA694B"/>
    <w:rsid w:val="00EA713D"/>
    <w:rsid w:val="00EB59D5"/>
    <w:rsid w:val="00EB7FC1"/>
    <w:rsid w:val="00EC4308"/>
    <w:rsid w:val="00EC6282"/>
    <w:rsid w:val="00ED0EEB"/>
    <w:rsid w:val="00ED4BB0"/>
    <w:rsid w:val="00EE2086"/>
    <w:rsid w:val="00EE3151"/>
    <w:rsid w:val="00EE3513"/>
    <w:rsid w:val="00EE40B7"/>
    <w:rsid w:val="00EF216C"/>
    <w:rsid w:val="00F010DF"/>
    <w:rsid w:val="00F03A98"/>
    <w:rsid w:val="00F04BDC"/>
    <w:rsid w:val="00F1472C"/>
    <w:rsid w:val="00F20C10"/>
    <w:rsid w:val="00F21EAD"/>
    <w:rsid w:val="00F26927"/>
    <w:rsid w:val="00F31909"/>
    <w:rsid w:val="00F36140"/>
    <w:rsid w:val="00F365EC"/>
    <w:rsid w:val="00F368DC"/>
    <w:rsid w:val="00F373B4"/>
    <w:rsid w:val="00F40C92"/>
    <w:rsid w:val="00F40F2A"/>
    <w:rsid w:val="00F410D7"/>
    <w:rsid w:val="00F446C5"/>
    <w:rsid w:val="00F45B1F"/>
    <w:rsid w:val="00F45C7D"/>
    <w:rsid w:val="00F46133"/>
    <w:rsid w:val="00F46578"/>
    <w:rsid w:val="00F47FAA"/>
    <w:rsid w:val="00F52DE9"/>
    <w:rsid w:val="00F53AB5"/>
    <w:rsid w:val="00F7166D"/>
    <w:rsid w:val="00F841E8"/>
    <w:rsid w:val="00F85B26"/>
    <w:rsid w:val="00F93971"/>
    <w:rsid w:val="00F95B65"/>
    <w:rsid w:val="00F9756A"/>
    <w:rsid w:val="00FA3C29"/>
    <w:rsid w:val="00FA5185"/>
    <w:rsid w:val="00FB1A35"/>
    <w:rsid w:val="00FB2B84"/>
    <w:rsid w:val="00FB579A"/>
    <w:rsid w:val="00FB7331"/>
    <w:rsid w:val="00FC1FCF"/>
    <w:rsid w:val="00FC46D2"/>
    <w:rsid w:val="00FD3063"/>
    <w:rsid w:val="00FD724C"/>
    <w:rsid w:val="00FE0D6A"/>
    <w:rsid w:val="00FE1B57"/>
    <w:rsid w:val="00FE2BFD"/>
    <w:rsid w:val="00FE387C"/>
    <w:rsid w:val="00FE42A3"/>
    <w:rsid w:val="00FE7AFD"/>
    <w:rsid w:val="00FF4F9E"/>
    <w:rsid w:val="18E800C8"/>
    <w:rsid w:val="4CAF6715"/>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7">
    <w:name w:val="Default Paragraph Font"/>
    <w:semiHidden/>
    <w:uiPriority w:val="99"/>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iPriority w:val="99"/>
    <w:pPr>
      <w:tabs>
        <w:tab w:val="center" w:pos="4153"/>
        <w:tab w:val="right" w:pos="8306"/>
      </w:tabs>
      <w:snapToGrid w:val="0"/>
      <w:jc w:val="left"/>
    </w:pPr>
    <w:rPr>
      <w:kern w:val="0"/>
      <w:sz w:val="18"/>
      <w:szCs w:val="18"/>
    </w:rPr>
  </w:style>
  <w:style w:type="paragraph" w:styleId="3">
    <w:name w:val="header"/>
    <w:basedOn w:val="1"/>
    <w:link w:val="8"/>
    <w:qFormat/>
    <w:uiPriority w:val="99"/>
    <w:pPr>
      <w:pBdr>
        <w:bottom w:val="single" w:color="auto" w:sz="6" w:space="1"/>
      </w:pBdr>
      <w:tabs>
        <w:tab w:val="center" w:pos="4153"/>
        <w:tab w:val="right" w:pos="8306"/>
      </w:tabs>
      <w:snapToGrid w:val="0"/>
      <w:jc w:val="center"/>
    </w:pPr>
    <w:rPr>
      <w:kern w:val="0"/>
      <w:sz w:val="18"/>
      <w:szCs w:val="18"/>
    </w:rPr>
  </w:style>
  <w:style w:type="paragraph" w:styleId="4">
    <w:name w:val="Normal (Web)"/>
    <w:basedOn w:val="1"/>
    <w:semiHidden/>
    <w:qFormat/>
    <w:uiPriority w:val="99"/>
    <w:rPr>
      <w:rFonts w:ascii="Times New Roman" w:hAnsi="Times New Roman" w:cs="Times New Roman"/>
      <w:sz w:val="24"/>
      <w:szCs w:val="24"/>
    </w:rPr>
  </w:style>
  <w:style w:type="table" w:styleId="6">
    <w:name w:val="Table Grid"/>
    <w:basedOn w:val="5"/>
    <w:uiPriority w:val="99"/>
    <w:rPr>
      <w:rFonts w:cs="Calibri"/>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8">
    <w:name w:val="Header Char"/>
    <w:basedOn w:val="7"/>
    <w:link w:val="3"/>
    <w:locked/>
    <w:uiPriority w:val="99"/>
    <w:rPr>
      <w:sz w:val="18"/>
      <w:szCs w:val="18"/>
    </w:rPr>
  </w:style>
  <w:style w:type="character" w:customStyle="1" w:styleId="9">
    <w:name w:val="Footer Char"/>
    <w:basedOn w:val="7"/>
    <w:link w:val="2"/>
    <w:qFormat/>
    <w:locked/>
    <w:uiPriority w:val="99"/>
    <w:rPr>
      <w:sz w:val="18"/>
      <w:szCs w:val="18"/>
    </w:rPr>
  </w:style>
  <w:style w:type="paragraph" w:customStyle="1" w:styleId="10">
    <w:name w:val="普通(网站)1"/>
    <w:basedOn w:val="1"/>
    <w:qFormat/>
    <w:uiPriority w:val="99"/>
    <w:pPr>
      <w:widowControl/>
      <w:spacing w:before="100" w:beforeAutospacing="1" w:after="100" w:afterAutospacing="1"/>
      <w:jc w:val="left"/>
    </w:pPr>
    <w:rPr>
      <w:rFonts w:ascii="宋体" w:hAnsi="宋体" w:cs="宋体"/>
      <w:kern w:val="0"/>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10</Pages>
  <Words>2915</Words>
  <Characters>16618</Characters>
  <Lines>0</Lines>
  <Paragraphs>0</Paragraphs>
  <TotalTime>4</TotalTime>
  <ScaleCrop>false</ScaleCrop>
  <LinksUpToDate>false</LinksUpToDate>
  <CharactersWithSpaces>0</CharactersWithSpaces>
  <Application>WPS Office_11.1.0.9828_F1E327BC-269C-435d-A152-05C5408002CA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2020-07-06T00:50:00Z</dcterms:created>
  <dc:creator>wjw</dc:creator>
  <cp:lastModifiedBy>Administrator</cp:lastModifiedBy>
  <dcterms:modified xsi:type="dcterms:W3CDTF">2020-07-31T05:15:59Z</dcterms:modified>
  <cp:revision>240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ies>
</file>