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64D567">
      <w:pPr>
        <w:jc w:val="center"/>
        <w:rPr>
          <w:rFonts w:ascii="宋体" w:hAnsi="宋体" w:eastAsia="宋体" w:cs="宋体"/>
          <w:b/>
          <w:bCs/>
          <w:color w:val="333333"/>
          <w:kern w:val="0"/>
          <w:sz w:val="34"/>
          <w:szCs w:val="34"/>
        </w:rPr>
      </w:pPr>
      <w:bookmarkStart w:id="0" w:name="_GoBack"/>
      <w:r>
        <w:rPr>
          <w:rFonts w:hint="eastAsia" w:ascii="宋体" w:hAnsi="宋体" w:eastAsia="宋体" w:cs="宋体"/>
          <w:b/>
          <w:bCs/>
          <w:color w:val="333333"/>
          <w:kern w:val="0"/>
          <w:sz w:val="34"/>
          <w:szCs w:val="34"/>
          <w:lang w:eastAsia="zh-CN"/>
        </w:rPr>
        <w:t>2025年</w:t>
      </w:r>
      <w:r>
        <w:rPr>
          <w:rFonts w:hint="eastAsia" w:ascii="宋体" w:hAnsi="宋体" w:eastAsia="宋体" w:cs="宋体"/>
          <w:b/>
          <w:bCs/>
          <w:color w:val="333333"/>
          <w:kern w:val="0"/>
          <w:sz w:val="34"/>
          <w:szCs w:val="34"/>
          <w:lang w:val="en-US" w:eastAsia="zh-CN"/>
        </w:rPr>
        <w:t>12</w:t>
      </w:r>
      <w:r>
        <w:rPr>
          <w:rFonts w:hint="eastAsia" w:ascii="宋体" w:hAnsi="宋体" w:eastAsia="宋体" w:cs="宋体"/>
          <w:b/>
          <w:bCs/>
          <w:color w:val="333333"/>
          <w:kern w:val="0"/>
          <w:sz w:val="34"/>
          <w:szCs w:val="34"/>
          <w:lang w:eastAsia="zh-CN"/>
        </w:rPr>
        <w:t>月</w:t>
      </w:r>
      <w:r>
        <w:rPr>
          <w:rFonts w:hint="eastAsia" w:ascii="宋体" w:hAnsi="宋体" w:eastAsia="宋体" w:cs="宋体"/>
          <w:b/>
          <w:bCs/>
          <w:color w:val="333333"/>
          <w:kern w:val="0"/>
          <w:sz w:val="34"/>
          <w:szCs w:val="34"/>
          <w:lang w:val="en-US" w:eastAsia="zh-CN"/>
        </w:rPr>
        <w:t>29</w:t>
      </w:r>
      <w:r>
        <w:rPr>
          <w:rFonts w:hint="eastAsia" w:ascii="宋体" w:hAnsi="宋体" w:eastAsia="宋体" w:cs="宋体"/>
          <w:b/>
          <w:bCs/>
          <w:color w:val="333333"/>
          <w:kern w:val="0"/>
          <w:sz w:val="34"/>
          <w:szCs w:val="34"/>
          <w:lang w:eastAsia="zh-CN"/>
        </w:rPr>
        <w:t>日</w:t>
      </w:r>
      <w:r>
        <w:rPr>
          <w:rFonts w:hint="eastAsia" w:ascii="宋体" w:hAnsi="宋体" w:eastAsia="宋体" w:cs="宋体"/>
          <w:b/>
          <w:bCs/>
          <w:color w:val="333333"/>
          <w:kern w:val="0"/>
          <w:sz w:val="34"/>
          <w:szCs w:val="34"/>
        </w:rPr>
        <w:t>建设项目（辐射类）环境影响评价文件审查公示</w:t>
      </w:r>
      <w:bookmarkEnd w:id="0"/>
    </w:p>
    <w:p w14:paraId="58F2B904">
      <w:pPr>
        <w:ind w:firstLine="380" w:firstLineChars="200"/>
      </w:pPr>
      <w:r>
        <w:rPr>
          <w:rFonts w:hint="eastAsia"/>
          <w:color w:val="333333"/>
          <w:sz w:val="19"/>
          <w:szCs w:val="19"/>
          <w:shd w:val="clear" w:color="auto" w:fill="FAFAFA"/>
        </w:rPr>
        <w:t>按照《建设项目环境影响评价政府信息公开指南（试行）》的要求，经审查，我局拟对</w:t>
      </w:r>
      <w:r>
        <w:rPr>
          <w:rFonts w:hint="eastAsia"/>
          <w:color w:val="333333"/>
          <w:sz w:val="19"/>
          <w:szCs w:val="19"/>
          <w:shd w:val="clear" w:color="auto" w:fill="FAFAFA"/>
          <w:lang w:val="en-US" w:eastAsia="zh-CN"/>
        </w:rPr>
        <w:t>国核示范电站有限责任公司国和一号示范工程冷源改造EPC项目配套预警雷达项目</w:t>
      </w:r>
      <w:r>
        <w:rPr>
          <w:rFonts w:hint="eastAsia"/>
          <w:color w:val="333333"/>
          <w:sz w:val="19"/>
          <w:szCs w:val="19"/>
          <w:shd w:val="clear" w:color="auto" w:fill="FAFAFA"/>
        </w:rPr>
        <w:t>环境影响评价文件作出审查意见。</w:t>
      </w:r>
    </w:p>
    <w:p w14:paraId="68902460">
      <w:pPr>
        <w:widowControl/>
        <w:shd w:val="clear" w:color="auto" w:fill="FAFAFA"/>
        <w:ind w:firstLine="380"/>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为保证此次审查工作的严肃性和公正性，现将拟作出审批意见的环境影响评价文件基本情况予以公示，公示期为</w:t>
      </w:r>
      <w:r>
        <w:rPr>
          <w:rFonts w:hint="eastAsia" w:ascii="宋体" w:hAnsi="宋体" w:eastAsia="宋体" w:cs="宋体"/>
          <w:color w:val="333333"/>
          <w:kern w:val="0"/>
          <w:sz w:val="19"/>
          <w:szCs w:val="19"/>
          <w:lang w:eastAsia="zh-CN"/>
        </w:rPr>
        <w:t>2025年</w:t>
      </w:r>
      <w:r>
        <w:rPr>
          <w:rFonts w:hint="eastAsia" w:ascii="宋体" w:hAnsi="宋体" w:eastAsia="宋体" w:cs="宋体"/>
          <w:color w:val="333333"/>
          <w:kern w:val="0"/>
          <w:sz w:val="19"/>
          <w:szCs w:val="19"/>
          <w:lang w:val="en-US" w:eastAsia="zh-CN"/>
        </w:rPr>
        <w:t>12</w:t>
      </w:r>
      <w:r>
        <w:rPr>
          <w:rFonts w:hint="eastAsia" w:ascii="宋体" w:hAnsi="宋体" w:eastAsia="宋体" w:cs="宋体"/>
          <w:color w:val="333333"/>
          <w:kern w:val="0"/>
          <w:sz w:val="19"/>
          <w:szCs w:val="19"/>
          <w:lang w:eastAsia="zh-CN"/>
        </w:rPr>
        <w:t>月</w:t>
      </w:r>
      <w:r>
        <w:rPr>
          <w:rFonts w:hint="eastAsia" w:ascii="宋体" w:hAnsi="宋体" w:eastAsia="宋体" w:cs="宋体"/>
          <w:color w:val="333333"/>
          <w:kern w:val="0"/>
          <w:sz w:val="19"/>
          <w:szCs w:val="19"/>
          <w:lang w:val="en-US" w:eastAsia="zh-CN"/>
        </w:rPr>
        <w:t>29</w:t>
      </w:r>
      <w:r>
        <w:rPr>
          <w:rFonts w:hint="eastAsia" w:ascii="宋体" w:hAnsi="宋体" w:eastAsia="宋体" w:cs="宋体"/>
          <w:color w:val="333333"/>
          <w:kern w:val="0"/>
          <w:sz w:val="19"/>
          <w:szCs w:val="19"/>
          <w:lang w:eastAsia="zh-CN"/>
        </w:rPr>
        <w:t>日</w:t>
      </w:r>
      <w:r>
        <w:rPr>
          <w:rFonts w:hint="eastAsia" w:ascii="宋体" w:hAnsi="宋体" w:eastAsia="宋体" w:cs="宋体"/>
          <w:color w:val="333333"/>
          <w:kern w:val="0"/>
          <w:sz w:val="19"/>
          <w:szCs w:val="19"/>
        </w:rPr>
        <w:t>－202</w:t>
      </w:r>
      <w:r>
        <w:rPr>
          <w:rFonts w:hint="eastAsia" w:ascii="宋体" w:hAnsi="宋体" w:eastAsia="宋体" w:cs="宋体"/>
          <w:color w:val="333333"/>
          <w:kern w:val="0"/>
          <w:sz w:val="19"/>
          <w:szCs w:val="19"/>
          <w:lang w:val="en-US" w:eastAsia="zh-CN"/>
        </w:rPr>
        <w:t>6</w:t>
      </w:r>
      <w:r>
        <w:rPr>
          <w:rFonts w:hint="eastAsia" w:ascii="宋体" w:hAnsi="宋体" w:eastAsia="宋体" w:cs="宋体"/>
          <w:color w:val="333333"/>
          <w:kern w:val="0"/>
          <w:sz w:val="19"/>
          <w:szCs w:val="19"/>
        </w:rPr>
        <w:t>年</w:t>
      </w:r>
      <w:r>
        <w:rPr>
          <w:rFonts w:hint="eastAsia" w:ascii="宋体" w:hAnsi="宋体" w:eastAsia="宋体" w:cs="宋体"/>
          <w:color w:val="333333"/>
          <w:kern w:val="0"/>
          <w:sz w:val="19"/>
          <w:szCs w:val="19"/>
          <w:lang w:val="en-US" w:eastAsia="zh-CN"/>
        </w:rPr>
        <w:t>1</w:t>
      </w:r>
      <w:r>
        <w:rPr>
          <w:rFonts w:hint="eastAsia" w:ascii="宋体" w:hAnsi="宋体" w:eastAsia="宋体" w:cs="宋体"/>
          <w:color w:val="333333"/>
          <w:kern w:val="0"/>
          <w:sz w:val="19"/>
          <w:szCs w:val="19"/>
        </w:rPr>
        <w:t>月</w:t>
      </w:r>
      <w:r>
        <w:rPr>
          <w:rFonts w:hint="eastAsia" w:ascii="宋体" w:hAnsi="宋体" w:eastAsia="宋体" w:cs="宋体"/>
          <w:color w:val="333333"/>
          <w:kern w:val="0"/>
          <w:sz w:val="19"/>
          <w:szCs w:val="19"/>
          <w:lang w:val="en-US" w:eastAsia="zh-CN"/>
        </w:rPr>
        <w:t>5</w:t>
      </w:r>
      <w:r>
        <w:rPr>
          <w:rFonts w:hint="eastAsia" w:ascii="宋体" w:hAnsi="宋体" w:eastAsia="宋体" w:cs="宋体"/>
          <w:color w:val="333333"/>
          <w:kern w:val="0"/>
          <w:sz w:val="19"/>
          <w:szCs w:val="19"/>
        </w:rPr>
        <w:t>日(5个工作日)。</w:t>
      </w:r>
    </w:p>
    <w:p w14:paraId="2412A219">
      <w:pPr>
        <w:widowControl/>
        <w:shd w:val="clear" w:color="auto" w:fill="FAFAFA"/>
        <w:ind w:firstLine="380"/>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听证权利告知：依据《中华人民共和国行政许可法》，自公示起五日内申请人、利害关系人可对以下拟作出的建设项目环境影响评价文件审批意见要求听证。</w:t>
      </w:r>
    </w:p>
    <w:p w14:paraId="4C5640D5">
      <w:pPr>
        <w:widowControl/>
        <w:shd w:val="clear" w:color="auto" w:fill="FAFAFA"/>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联系方式</w:t>
      </w:r>
    </w:p>
    <w:p w14:paraId="53CDC799">
      <w:pPr>
        <w:widowControl/>
        <w:shd w:val="clear" w:color="auto" w:fill="FAFAFA"/>
        <w:jc w:val="left"/>
        <w:rPr>
          <w:rFonts w:hint="default" w:ascii="宋体" w:hAnsi="宋体" w:eastAsia="宋体" w:cs="宋体"/>
          <w:color w:val="333333"/>
          <w:kern w:val="0"/>
          <w:sz w:val="19"/>
          <w:szCs w:val="19"/>
          <w:lang w:val="en-US" w:eastAsia="zh-CN"/>
        </w:rPr>
      </w:pPr>
      <w:r>
        <w:rPr>
          <w:rFonts w:hint="eastAsia" w:ascii="宋体" w:hAnsi="宋体" w:eastAsia="宋体" w:cs="宋体"/>
          <w:color w:val="333333"/>
          <w:kern w:val="0"/>
          <w:sz w:val="19"/>
          <w:szCs w:val="19"/>
        </w:rPr>
        <w:t>威海市生态环境局荣成分局：</w:t>
      </w:r>
      <w:r>
        <w:rPr>
          <w:rFonts w:hint="eastAsia" w:ascii="宋体" w:hAnsi="宋体" w:eastAsia="宋体" w:cs="宋体"/>
          <w:color w:val="333333"/>
          <w:kern w:val="0"/>
          <w:sz w:val="19"/>
          <w:szCs w:val="19"/>
          <w:lang w:val="en-US" w:eastAsia="zh-CN"/>
        </w:rPr>
        <w:t>0631-7591987</w:t>
      </w:r>
    </w:p>
    <w:p w14:paraId="0FCD525E">
      <w:pPr>
        <w:widowControl/>
        <w:shd w:val="clear" w:color="auto" w:fill="FAFAFA"/>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电子信箱：rcshbjstk@wh.shandong.com</w:t>
      </w:r>
    </w:p>
    <w:p w14:paraId="6F774BB5">
      <w:pPr>
        <w:widowControl/>
        <w:shd w:val="clear" w:color="auto" w:fill="FAFAFA"/>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通讯地址：荣成市观海东路28号威海市生态环境局荣成分局</w:t>
      </w:r>
    </w:p>
    <w:p w14:paraId="09BC533E">
      <w:pPr>
        <w:widowControl/>
        <w:shd w:val="clear" w:color="auto" w:fill="FAFAFA"/>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邮编：264300</w:t>
      </w:r>
    </w:p>
    <w:p w14:paraId="00D62506">
      <w:pPr>
        <w:widowControl/>
        <w:shd w:val="clear" w:color="auto" w:fill="FAFAFA"/>
        <w:jc w:val="center"/>
        <w:rPr>
          <w:rFonts w:ascii="宋体" w:hAnsi="宋体" w:eastAsia="宋体" w:cs="宋体"/>
          <w:color w:val="333333"/>
          <w:kern w:val="0"/>
          <w:sz w:val="19"/>
          <w:szCs w:val="19"/>
        </w:rPr>
      </w:pPr>
      <w:r>
        <w:rPr>
          <w:rFonts w:hint="eastAsia" w:ascii="宋体" w:hAnsi="宋体" w:eastAsia="宋体" w:cs="宋体"/>
          <w:b/>
          <w:bCs/>
          <w:color w:val="333333"/>
          <w:kern w:val="0"/>
          <w:sz w:val="19"/>
          <w:lang w:eastAsia="zh-CN"/>
        </w:rPr>
        <w:t>2025年</w:t>
      </w:r>
      <w:r>
        <w:rPr>
          <w:rFonts w:hint="eastAsia" w:ascii="宋体" w:hAnsi="宋体" w:eastAsia="宋体" w:cs="宋体"/>
          <w:b/>
          <w:bCs/>
          <w:color w:val="333333"/>
          <w:kern w:val="0"/>
          <w:sz w:val="19"/>
          <w:lang w:val="en-US" w:eastAsia="zh-CN"/>
        </w:rPr>
        <w:t>12</w:t>
      </w:r>
      <w:r>
        <w:rPr>
          <w:rFonts w:hint="eastAsia" w:ascii="宋体" w:hAnsi="宋体" w:eastAsia="宋体" w:cs="宋体"/>
          <w:b/>
          <w:bCs/>
          <w:color w:val="333333"/>
          <w:kern w:val="0"/>
          <w:sz w:val="19"/>
          <w:lang w:eastAsia="zh-CN"/>
        </w:rPr>
        <w:t>月</w:t>
      </w:r>
      <w:r>
        <w:rPr>
          <w:rFonts w:hint="eastAsia" w:ascii="宋体" w:hAnsi="宋体" w:eastAsia="宋体" w:cs="宋体"/>
          <w:b/>
          <w:bCs/>
          <w:color w:val="333333"/>
          <w:kern w:val="0"/>
          <w:sz w:val="19"/>
          <w:lang w:val="en-US" w:eastAsia="zh-CN"/>
        </w:rPr>
        <w:t>29</w:t>
      </w:r>
      <w:r>
        <w:rPr>
          <w:rFonts w:hint="eastAsia" w:ascii="宋体" w:hAnsi="宋体" w:eastAsia="宋体" w:cs="宋体"/>
          <w:b/>
          <w:bCs/>
          <w:color w:val="333333"/>
          <w:kern w:val="0"/>
          <w:sz w:val="19"/>
          <w:lang w:eastAsia="zh-CN"/>
        </w:rPr>
        <w:t>日</w:t>
      </w:r>
      <w:r>
        <w:rPr>
          <w:rFonts w:hint="eastAsia" w:ascii="宋体" w:hAnsi="宋体" w:eastAsia="宋体" w:cs="宋体"/>
          <w:b/>
          <w:bCs/>
          <w:color w:val="333333"/>
          <w:kern w:val="0"/>
          <w:sz w:val="19"/>
        </w:rPr>
        <w:t>拟批准的建设项目环境影响报告表</w:t>
      </w:r>
    </w:p>
    <w:tbl>
      <w:tblPr>
        <w:tblStyle w:val="12"/>
        <w:tblW w:w="10881" w:type="dxa"/>
        <w:jc w:val="center"/>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0" w:type="dxa"/>
          <w:bottom w:w="0" w:type="dxa"/>
          <w:right w:w="0" w:type="dxa"/>
        </w:tblCellMar>
      </w:tblPr>
      <w:tblGrid>
        <w:gridCol w:w="394"/>
        <w:gridCol w:w="734"/>
        <w:gridCol w:w="1083"/>
        <w:gridCol w:w="578"/>
        <w:gridCol w:w="551"/>
        <w:gridCol w:w="2635"/>
        <w:gridCol w:w="3747"/>
        <w:gridCol w:w="455"/>
        <w:gridCol w:w="704"/>
      </w:tblGrid>
      <w:tr w14:paraId="3C6C13C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0" w:hRule="atLeast"/>
          <w:tblHeader/>
          <w:jc w:val="center"/>
        </w:trPr>
        <w:tc>
          <w:tcPr>
            <w:tcW w:w="394" w:type="dxa"/>
            <w:tcBorders>
              <w:top w:val="single" w:color="auto" w:sz="6" w:space="0"/>
              <w:left w:val="single" w:color="auto" w:sz="6" w:space="0"/>
              <w:bottom w:val="single" w:color="auto" w:sz="6" w:space="0"/>
              <w:right w:val="single" w:color="auto" w:sz="6" w:space="0"/>
            </w:tcBorders>
            <w:shd w:val="clear" w:color="auto" w:fill="auto"/>
            <w:tcMar>
              <w:top w:w="0" w:type="dxa"/>
              <w:left w:w="95" w:type="dxa"/>
              <w:bottom w:w="0" w:type="dxa"/>
              <w:right w:w="95" w:type="dxa"/>
            </w:tcMar>
            <w:vAlign w:val="center"/>
          </w:tcPr>
          <w:p w14:paraId="5423BA50">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序号</w:t>
            </w:r>
          </w:p>
        </w:tc>
        <w:tc>
          <w:tcPr>
            <w:tcW w:w="734"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0C6ACBAE">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项目名称</w:t>
            </w:r>
          </w:p>
        </w:tc>
        <w:tc>
          <w:tcPr>
            <w:tcW w:w="1083"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63B78917">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建设地点</w:t>
            </w:r>
          </w:p>
        </w:tc>
        <w:tc>
          <w:tcPr>
            <w:tcW w:w="578"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3DBBE036">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建设单位</w:t>
            </w:r>
          </w:p>
        </w:tc>
        <w:tc>
          <w:tcPr>
            <w:tcW w:w="551"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10E4C016">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环境影响评价机构</w:t>
            </w:r>
          </w:p>
        </w:tc>
        <w:tc>
          <w:tcPr>
            <w:tcW w:w="2635"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7EBFE747">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项目概况</w:t>
            </w:r>
          </w:p>
        </w:tc>
        <w:tc>
          <w:tcPr>
            <w:tcW w:w="3747"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36F5A774">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主要环境影响及预防或者减轻不良环境影响的对策和措施</w:t>
            </w:r>
          </w:p>
        </w:tc>
        <w:tc>
          <w:tcPr>
            <w:tcW w:w="455"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4BE163B3">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公众参与情况</w:t>
            </w:r>
          </w:p>
        </w:tc>
        <w:tc>
          <w:tcPr>
            <w:tcW w:w="704"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4DD378E7">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建设单位或地方政府所作出的相关环境保护措施承诺文件</w:t>
            </w:r>
          </w:p>
        </w:tc>
      </w:tr>
      <w:tr w14:paraId="2339510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0" w:hRule="atLeast"/>
          <w:jc w:val="center"/>
        </w:trPr>
        <w:tc>
          <w:tcPr>
            <w:tcW w:w="394" w:type="dxa"/>
            <w:tcBorders>
              <w:top w:val="single" w:color="auto" w:sz="6" w:space="0"/>
              <w:left w:val="single" w:color="auto" w:sz="6" w:space="0"/>
              <w:bottom w:val="single" w:color="auto" w:sz="6" w:space="0"/>
              <w:right w:val="single" w:color="auto" w:sz="6" w:space="0"/>
            </w:tcBorders>
            <w:shd w:val="clear" w:color="auto" w:fill="auto"/>
            <w:tcMar>
              <w:top w:w="0" w:type="dxa"/>
              <w:left w:w="95" w:type="dxa"/>
              <w:bottom w:w="0" w:type="dxa"/>
              <w:right w:w="95" w:type="dxa"/>
            </w:tcMar>
            <w:vAlign w:val="center"/>
          </w:tcPr>
          <w:p w14:paraId="31E8F37D">
            <w:pPr>
              <w:widowControl/>
              <w:snapToGrid w:val="0"/>
              <w:ind w:left="0" w:leftChars="0" w:right="0" w:rightChars="0" w:firstLine="0" w:firstLineChars="0"/>
              <w:jc w:val="center"/>
              <w:rPr>
                <w:rFonts w:ascii="宋体" w:hAnsi="宋体" w:eastAsia="宋体" w:cs="宋体"/>
                <w:color w:val="333333"/>
                <w:kern w:val="0"/>
                <w:sz w:val="19"/>
                <w:szCs w:val="19"/>
              </w:rPr>
            </w:pPr>
            <w:r>
              <w:rPr>
                <w:rFonts w:hint="eastAsia" w:ascii="宋体" w:hAnsi="宋体" w:eastAsia="宋体" w:cs="宋体"/>
                <w:color w:val="333333"/>
                <w:kern w:val="0"/>
                <w:sz w:val="19"/>
                <w:szCs w:val="19"/>
              </w:rPr>
              <w:t>1</w:t>
            </w:r>
          </w:p>
        </w:tc>
        <w:tc>
          <w:tcPr>
            <w:tcW w:w="734"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6E47E3DC">
            <w:pPr>
              <w:widowControl/>
              <w:snapToGrid w:val="0"/>
              <w:ind w:left="0" w:leftChars="0" w:right="0" w:rightChars="0" w:firstLine="0" w:firstLineChars="0"/>
              <w:jc w:val="left"/>
              <w:rPr>
                <w:rFonts w:hint="default" w:ascii="宋体" w:hAnsi="宋体" w:eastAsia="宋体" w:cs="宋体"/>
                <w:color w:val="333333"/>
                <w:kern w:val="0"/>
                <w:sz w:val="19"/>
                <w:szCs w:val="19"/>
                <w:lang w:val="en-US" w:eastAsia="zh-CN"/>
              </w:rPr>
            </w:pPr>
            <w:r>
              <w:rPr>
                <w:rFonts w:hint="default" w:ascii="宋体" w:hAnsi="宋体" w:eastAsia="宋体" w:cs="宋体"/>
                <w:color w:val="333333"/>
                <w:kern w:val="0"/>
                <w:sz w:val="19"/>
                <w:szCs w:val="19"/>
                <w:lang w:val="en-US" w:eastAsia="zh-CN"/>
              </w:rPr>
              <w:t>国核示范电站有限责任公司国和一号示范工程冷源改造EPC项目配套预警雷达项目</w:t>
            </w:r>
          </w:p>
        </w:tc>
        <w:tc>
          <w:tcPr>
            <w:tcW w:w="1083"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68E04768">
            <w:pPr>
              <w:widowControl/>
              <w:snapToGrid w:val="0"/>
              <w:ind w:left="0" w:leftChars="0" w:right="0" w:rightChars="0" w:firstLine="0" w:firstLineChars="0"/>
              <w:jc w:val="left"/>
              <w:rPr>
                <w:rFonts w:hint="default" w:ascii="宋体" w:hAnsi="宋体" w:eastAsia="宋体" w:cs="宋体"/>
                <w:color w:val="333333"/>
                <w:kern w:val="0"/>
                <w:sz w:val="19"/>
                <w:szCs w:val="19"/>
                <w:lang w:val="en-US" w:eastAsia="zh-CN"/>
              </w:rPr>
            </w:pPr>
            <w:r>
              <w:rPr>
                <w:rFonts w:hint="default" w:ascii="宋体" w:hAnsi="宋体" w:eastAsia="宋体" w:cs="宋体"/>
                <w:color w:val="333333"/>
                <w:kern w:val="0"/>
                <w:sz w:val="19"/>
                <w:szCs w:val="19"/>
                <w:lang w:val="en-US" w:eastAsia="zh-CN"/>
              </w:rPr>
              <w:t>山东省荣成市宁津街道所前王家社区国核示范电站有限责任公司</w:t>
            </w:r>
          </w:p>
          <w:p w14:paraId="54162778">
            <w:pPr>
              <w:widowControl/>
              <w:snapToGrid w:val="0"/>
              <w:ind w:left="0" w:leftChars="0" w:right="0" w:rightChars="0" w:firstLine="0" w:firstLineChars="0"/>
              <w:jc w:val="left"/>
              <w:rPr>
                <w:rFonts w:hint="default" w:ascii="宋体" w:hAnsi="宋体" w:eastAsia="宋体" w:cs="宋体"/>
                <w:color w:val="333333"/>
                <w:kern w:val="0"/>
                <w:sz w:val="19"/>
                <w:szCs w:val="19"/>
                <w:lang w:val="en-US" w:eastAsia="zh-CN"/>
              </w:rPr>
            </w:pPr>
            <w:r>
              <w:rPr>
                <w:rFonts w:hint="default" w:ascii="宋体" w:hAnsi="宋体" w:eastAsia="宋体" w:cs="宋体"/>
                <w:color w:val="333333"/>
                <w:kern w:val="0"/>
                <w:sz w:val="19"/>
                <w:szCs w:val="19"/>
                <w:lang w:val="en-US" w:eastAsia="zh-CN"/>
              </w:rPr>
              <w:t>取水口门东堤堤头处</w:t>
            </w:r>
          </w:p>
        </w:tc>
        <w:tc>
          <w:tcPr>
            <w:tcW w:w="578"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1B2509A6">
            <w:pPr>
              <w:widowControl/>
              <w:snapToGrid w:val="0"/>
              <w:ind w:left="0" w:leftChars="0" w:right="0" w:rightChars="0" w:firstLine="0" w:firstLineChars="0"/>
              <w:jc w:val="center"/>
              <w:rPr>
                <w:rFonts w:hint="eastAsia" w:ascii="宋体" w:hAnsi="宋体" w:eastAsia="宋体" w:cs="宋体"/>
                <w:color w:val="333333"/>
                <w:kern w:val="0"/>
                <w:sz w:val="19"/>
                <w:szCs w:val="19"/>
                <w:lang w:eastAsia="zh-CN"/>
              </w:rPr>
            </w:pPr>
            <w:r>
              <w:rPr>
                <w:rFonts w:hint="eastAsia" w:asciiTheme="majorEastAsia" w:hAnsiTheme="majorEastAsia" w:eastAsiaTheme="majorEastAsia" w:cstheme="majorEastAsia"/>
                <w:kern w:val="0"/>
                <w:sz w:val="21"/>
                <w:szCs w:val="21"/>
                <w:lang w:val="en-US" w:eastAsia="zh-CN"/>
              </w:rPr>
              <w:t>国核示范电站有限责任公司</w:t>
            </w:r>
          </w:p>
        </w:tc>
        <w:tc>
          <w:tcPr>
            <w:tcW w:w="551"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45713FA6">
            <w:pPr>
              <w:widowControl/>
              <w:snapToGrid w:val="0"/>
              <w:ind w:left="0" w:leftChars="0" w:right="0" w:rightChars="0" w:firstLine="0" w:firstLineChars="0"/>
              <w:jc w:val="center"/>
              <w:rPr>
                <w:rFonts w:hint="eastAsia" w:ascii="宋体" w:hAnsi="宋体" w:eastAsia="宋体" w:cs="宋体"/>
                <w:color w:val="333333"/>
                <w:kern w:val="0"/>
                <w:sz w:val="19"/>
                <w:szCs w:val="19"/>
                <w:lang w:eastAsia="zh-CN"/>
              </w:rPr>
            </w:pPr>
            <w:r>
              <w:rPr>
                <w:rFonts w:hint="eastAsia" w:asciiTheme="majorEastAsia" w:hAnsiTheme="majorEastAsia" w:eastAsiaTheme="majorEastAsia" w:cstheme="majorEastAsia"/>
                <w:kern w:val="0"/>
                <w:sz w:val="21"/>
                <w:szCs w:val="21"/>
                <w:lang w:val="en-US" w:eastAsia="zh-CN"/>
              </w:rPr>
              <w:t>山东环嘉项目咨询有限公司</w:t>
            </w:r>
          </w:p>
        </w:tc>
        <w:tc>
          <w:tcPr>
            <w:tcW w:w="2635"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38F00195">
            <w:pPr>
              <w:widowControl/>
              <w:snapToGrid w:val="0"/>
              <w:ind w:left="0" w:leftChars="0" w:right="0" w:rightChars="0" w:firstLine="0" w:firstLineChars="0"/>
              <w:jc w:val="left"/>
              <w:rPr>
                <w:rFonts w:hint="default" w:ascii="宋体" w:hAnsi="宋体" w:eastAsia="宋体" w:cs="宋体"/>
                <w:color w:val="333333"/>
                <w:kern w:val="0"/>
                <w:sz w:val="19"/>
                <w:szCs w:val="19"/>
                <w:lang w:val="en-US" w:eastAsia="zh-CN"/>
              </w:rPr>
            </w:pPr>
            <w:r>
              <w:rPr>
                <w:rFonts w:hint="default" w:ascii="宋体" w:hAnsi="宋体" w:eastAsia="宋体" w:cs="宋体"/>
                <w:color w:val="333333"/>
                <w:kern w:val="0"/>
                <w:sz w:val="19"/>
                <w:szCs w:val="19"/>
                <w:lang w:val="en-US" w:eastAsia="zh-CN"/>
              </w:rPr>
              <w:t>项目雷达位于山东省荣成市宁津街道所前王家社区国核示范电站有限责任公司取水口门东堤堤头处，本项目主要建设内容为1台（套）HX-SOX6型雷达，工作频率9.3GHz～9.5GHz；雷达塔架设计高度为2m，雷达塔所在地海拔高度6m；塔顶架设雷达天线和天线罩，天线尺寸为0.72m×0.72m，天线下沿距塔架平台3m。</w:t>
            </w:r>
          </w:p>
          <w:p w14:paraId="0ABABCAE">
            <w:pPr>
              <w:widowControl/>
              <w:snapToGrid w:val="0"/>
              <w:ind w:left="0" w:leftChars="0" w:right="0" w:rightChars="0" w:firstLine="0" w:firstLineChars="0"/>
              <w:jc w:val="left"/>
              <w:rPr>
                <w:rFonts w:hint="default" w:ascii="宋体" w:hAnsi="宋体" w:eastAsia="宋体" w:cs="宋体"/>
                <w:color w:val="333333"/>
                <w:kern w:val="0"/>
                <w:sz w:val="19"/>
                <w:szCs w:val="19"/>
                <w:lang w:val="en-US" w:eastAsia="zh-CN"/>
              </w:rPr>
            </w:pPr>
          </w:p>
        </w:tc>
        <w:tc>
          <w:tcPr>
            <w:tcW w:w="3747"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7C2B17B5">
            <w:pPr>
              <w:widowControl/>
              <w:snapToGrid w:val="0"/>
              <w:ind w:left="0" w:leftChars="0" w:right="0" w:rightChars="0" w:firstLine="0" w:firstLineChars="0"/>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lang w:val="en-US" w:eastAsia="zh-CN"/>
              </w:rPr>
              <w:t>一、</w:t>
            </w:r>
            <w:r>
              <w:rPr>
                <w:rFonts w:hint="eastAsia" w:ascii="宋体" w:hAnsi="宋体" w:eastAsia="宋体" w:cs="宋体"/>
                <w:color w:val="333333"/>
                <w:kern w:val="0"/>
                <w:sz w:val="19"/>
                <w:szCs w:val="19"/>
              </w:rPr>
              <w:t>主要环境影响</w:t>
            </w:r>
          </w:p>
          <w:p w14:paraId="57FF1BA2">
            <w:pPr>
              <w:widowControl/>
              <w:snapToGrid w:val="0"/>
              <w:ind w:left="0" w:leftChars="0" w:right="0" w:rightChars="0" w:firstLine="0" w:firstLineChars="0"/>
              <w:jc w:val="left"/>
              <w:rPr>
                <w:rFonts w:hint="eastAsia" w:ascii="宋体" w:hAnsi="宋体" w:eastAsia="宋体" w:cs="宋体"/>
                <w:color w:val="333333"/>
                <w:kern w:val="0"/>
                <w:sz w:val="19"/>
                <w:szCs w:val="19"/>
                <w:lang w:val="en-US" w:eastAsia="zh-CN"/>
              </w:rPr>
            </w:pPr>
            <w:r>
              <w:rPr>
                <w:rFonts w:hint="eastAsia" w:ascii="宋体" w:hAnsi="宋体" w:eastAsia="宋体" w:cs="宋体"/>
                <w:color w:val="333333"/>
                <w:kern w:val="0"/>
                <w:sz w:val="19"/>
                <w:szCs w:val="19"/>
                <w:lang w:val="en-US" w:eastAsia="zh-CN"/>
              </w:rPr>
              <w:t>（一）</w:t>
            </w:r>
            <w:r>
              <w:rPr>
                <w:rFonts w:hint="eastAsia" w:ascii="宋体" w:hAnsi="宋体" w:eastAsia="宋体" w:cs="宋体"/>
                <w:color w:val="333333"/>
                <w:kern w:val="0"/>
                <w:sz w:val="19"/>
                <w:szCs w:val="19"/>
              </w:rPr>
              <w:t>施工期</w:t>
            </w:r>
            <w:r>
              <w:rPr>
                <w:rFonts w:hint="eastAsia" w:ascii="宋体" w:hAnsi="宋体" w:eastAsia="宋体" w:cs="宋体"/>
                <w:color w:val="333333"/>
                <w:kern w:val="0"/>
                <w:sz w:val="19"/>
                <w:szCs w:val="19"/>
                <w:lang w:val="en-US" w:eastAsia="zh-CN"/>
              </w:rPr>
              <w:t>环境影响</w:t>
            </w:r>
          </w:p>
          <w:p w14:paraId="1F122640">
            <w:pPr>
              <w:widowControl/>
              <w:snapToGrid w:val="0"/>
              <w:ind w:left="0" w:leftChars="0" w:right="0" w:rightChars="0" w:firstLine="0" w:firstLineChars="0"/>
              <w:jc w:val="left"/>
              <w:rPr>
                <w:rFonts w:hint="eastAsia" w:ascii="宋体" w:hAnsi="宋体" w:eastAsia="宋体" w:cs="宋体"/>
                <w:color w:val="333333"/>
                <w:kern w:val="0"/>
                <w:sz w:val="19"/>
                <w:szCs w:val="19"/>
                <w:lang w:eastAsia="zh-CN"/>
              </w:rPr>
            </w:pPr>
            <w:r>
              <w:rPr>
                <w:rFonts w:hint="eastAsia" w:ascii="宋体" w:hAnsi="宋体" w:eastAsia="宋体" w:cs="宋体"/>
                <w:color w:val="333333"/>
                <w:kern w:val="0"/>
                <w:sz w:val="19"/>
                <w:szCs w:val="19"/>
                <w:lang w:eastAsia="zh-CN"/>
              </w:rPr>
              <w:t>（1）施工扬。本项目施工扬尘主要为现有平台进行打孔过程产生的少量扬尘，施工过程中采取“湿法”施工，降低扬尘的产生，此外，施工过程工作量小，施工周期短，对项目周为环境影响较小。</w:t>
            </w:r>
          </w:p>
          <w:p w14:paraId="2CD72D5C">
            <w:pPr>
              <w:widowControl/>
              <w:snapToGrid w:val="0"/>
              <w:ind w:left="0" w:leftChars="0" w:right="0" w:rightChars="0" w:firstLine="0" w:firstLineChars="0"/>
              <w:jc w:val="left"/>
              <w:rPr>
                <w:rFonts w:hint="eastAsia" w:ascii="宋体" w:hAnsi="宋体" w:eastAsia="宋体" w:cs="宋体"/>
                <w:color w:val="333333"/>
                <w:kern w:val="0"/>
                <w:sz w:val="19"/>
                <w:szCs w:val="19"/>
                <w:lang w:eastAsia="zh-CN"/>
              </w:rPr>
            </w:pPr>
            <w:r>
              <w:rPr>
                <w:rFonts w:hint="eastAsia" w:ascii="宋体" w:hAnsi="宋体" w:eastAsia="宋体" w:cs="宋体"/>
                <w:color w:val="333333"/>
                <w:kern w:val="0"/>
                <w:sz w:val="19"/>
                <w:szCs w:val="19"/>
                <w:lang w:eastAsia="zh-CN"/>
              </w:rPr>
              <w:t>（2）噪声影响</w:t>
            </w:r>
            <w:r>
              <w:rPr>
                <w:rFonts w:hint="eastAsia" w:ascii="宋体" w:hAnsi="宋体" w:eastAsia="宋体" w:cs="宋体"/>
                <w:color w:val="333333"/>
                <w:kern w:val="0"/>
                <w:sz w:val="19"/>
                <w:szCs w:val="19"/>
                <w:lang w:eastAsia="zh-CN"/>
              </w:rPr>
              <w:t>。</w:t>
            </w:r>
            <w:r>
              <w:rPr>
                <w:rFonts w:hint="eastAsia" w:ascii="宋体" w:hAnsi="宋体" w:eastAsia="宋体" w:cs="宋体"/>
                <w:color w:val="333333"/>
                <w:kern w:val="0"/>
                <w:sz w:val="19"/>
                <w:szCs w:val="19"/>
                <w:lang w:eastAsia="zh-CN"/>
              </w:rPr>
              <w:t>本项目施工期噪声主要为施工过程中产生的突发性、冲击性、不连续性的敲打撞击噪声，不使用高噪声设备，施工期间加强检查、维护和保养机械设备，保持润滑、紧固各部件，减少运动震动噪声，此外，施工过程中工作量小，施工周期短，对项目周围的声环境影响小。</w:t>
            </w:r>
          </w:p>
          <w:p w14:paraId="2E4EF777">
            <w:pPr>
              <w:widowControl/>
              <w:snapToGrid w:val="0"/>
              <w:ind w:left="0" w:leftChars="0" w:right="0" w:rightChars="0" w:firstLine="0" w:firstLineChars="0"/>
              <w:jc w:val="left"/>
              <w:rPr>
                <w:rFonts w:hint="eastAsia" w:ascii="宋体" w:hAnsi="宋体" w:eastAsia="宋体" w:cs="宋体"/>
                <w:color w:val="333333"/>
                <w:kern w:val="0"/>
                <w:sz w:val="19"/>
                <w:szCs w:val="19"/>
                <w:lang w:eastAsia="zh-CN"/>
              </w:rPr>
            </w:pPr>
            <w:r>
              <w:rPr>
                <w:rFonts w:hint="eastAsia" w:ascii="宋体" w:hAnsi="宋体" w:eastAsia="宋体" w:cs="宋体"/>
                <w:color w:val="333333"/>
                <w:kern w:val="0"/>
                <w:sz w:val="19"/>
                <w:szCs w:val="19"/>
                <w:lang w:eastAsia="zh-CN"/>
              </w:rPr>
              <w:t>（3）废水影响</w:t>
            </w:r>
            <w:r>
              <w:rPr>
                <w:rFonts w:hint="eastAsia" w:ascii="宋体" w:hAnsi="宋体" w:eastAsia="宋体" w:cs="宋体"/>
                <w:color w:val="333333"/>
                <w:kern w:val="0"/>
                <w:sz w:val="19"/>
                <w:szCs w:val="19"/>
                <w:lang w:eastAsia="zh-CN"/>
              </w:rPr>
              <w:t>。</w:t>
            </w:r>
            <w:r>
              <w:rPr>
                <w:rFonts w:hint="eastAsia" w:ascii="宋体" w:hAnsi="宋体" w:eastAsia="宋体" w:cs="宋体"/>
                <w:color w:val="333333"/>
                <w:kern w:val="0"/>
                <w:sz w:val="19"/>
                <w:szCs w:val="19"/>
                <w:lang w:eastAsia="zh-CN"/>
              </w:rPr>
              <w:t>本项目施工期较短且施工量小，不设施工营地，施工人员生活污水依托周围居民污水处理系统进行收集处理，对周围水环境影响较小。</w:t>
            </w:r>
          </w:p>
          <w:p w14:paraId="0ADB1039">
            <w:pPr>
              <w:widowControl/>
              <w:snapToGrid w:val="0"/>
              <w:ind w:left="0" w:leftChars="0" w:right="0" w:rightChars="0" w:firstLine="0" w:firstLineChars="0"/>
              <w:jc w:val="left"/>
              <w:rPr>
                <w:rFonts w:hint="eastAsia" w:ascii="宋体" w:hAnsi="宋体" w:eastAsia="宋体" w:cs="宋体"/>
                <w:color w:val="333333"/>
                <w:kern w:val="0"/>
                <w:sz w:val="19"/>
                <w:szCs w:val="19"/>
                <w:lang w:eastAsia="zh-CN"/>
              </w:rPr>
            </w:pPr>
            <w:r>
              <w:rPr>
                <w:rFonts w:hint="eastAsia" w:ascii="宋体" w:hAnsi="宋体" w:eastAsia="宋体" w:cs="宋体"/>
                <w:color w:val="333333"/>
                <w:kern w:val="0"/>
                <w:sz w:val="19"/>
                <w:szCs w:val="19"/>
                <w:lang w:eastAsia="zh-CN"/>
              </w:rPr>
              <w:t>（4）固废影响</w:t>
            </w:r>
            <w:r>
              <w:rPr>
                <w:rFonts w:hint="eastAsia" w:ascii="宋体" w:hAnsi="宋体" w:eastAsia="宋体" w:cs="宋体"/>
                <w:color w:val="333333"/>
                <w:kern w:val="0"/>
                <w:sz w:val="19"/>
                <w:szCs w:val="19"/>
                <w:lang w:eastAsia="zh-CN"/>
              </w:rPr>
              <w:t>。</w:t>
            </w:r>
            <w:r>
              <w:rPr>
                <w:rFonts w:hint="eastAsia" w:ascii="宋体" w:hAnsi="宋体" w:eastAsia="宋体" w:cs="宋体"/>
                <w:color w:val="333333"/>
                <w:kern w:val="0"/>
                <w:sz w:val="19"/>
                <w:szCs w:val="19"/>
                <w:lang w:eastAsia="zh-CN"/>
              </w:rPr>
              <w:t>施工期固体废物主要为施工产生的施工垃圾以及施工人员产生的生活垃圾。施工期间施工人员日常生活产生的生活垃圾应集中放至核电站内生活垃圾存放点，由环卫部门定期清运，避免其随意堆存和丢弃对环境产生污染。施工期产生的施工垃圾，经收集后进行分类，回收可再生利用的，外卖至废品回收站；不可利用的固体废物运至指定地点倾倒。经采取以上措施，固体废物对周围环境影响较小。</w:t>
            </w:r>
          </w:p>
          <w:p w14:paraId="7349314A">
            <w:pPr>
              <w:widowControl/>
              <w:snapToGrid w:val="0"/>
              <w:ind w:left="0" w:leftChars="0" w:right="0" w:rightChars="0" w:firstLine="0" w:firstLineChars="0"/>
              <w:jc w:val="left"/>
              <w:rPr>
                <w:rFonts w:hint="default" w:ascii="宋体" w:hAnsi="宋体" w:eastAsia="宋体" w:cs="宋体"/>
                <w:color w:val="333333"/>
                <w:kern w:val="0"/>
                <w:sz w:val="19"/>
                <w:szCs w:val="19"/>
              </w:rPr>
            </w:pPr>
            <w:r>
              <w:rPr>
                <w:rFonts w:hint="eastAsia" w:ascii="宋体" w:hAnsi="宋体" w:eastAsia="宋体" w:cs="宋体"/>
                <w:color w:val="333333"/>
                <w:kern w:val="0"/>
                <w:sz w:val="19"/>
                <w:szCs w:val="19"/>
                <w:lang w:eastAsia="zh-CN"/>
              </w:rPr>
              <w:t>（</w:t>
            </w:r>
            <w:r>
              <w:rPr>
                <w:rFonts w:hint="eastAsia" w:ascii="宋体" w:hAnsi="宋体" w:eastAsia="宋体" w:cs="宋体"/>
                <w:color w:val="333333"/>
                <w:kern w:val="0"/>
                <w:sz w:val="19"/>
                <w:szCs w:val="19"/>
                <w:lang w:val="en-US" w:eastAsia="zh-CN"/>
              </w:rPr>
              <w:t>二）</w:t>
            </w:r>
            <w:r>
              <w:rPr>
                <w:rFonts w:hint="default" w:ascii="宋体" w:hAnsi="宋体" w:eastAsia="宋体" w:cs="宋体"/>
                <w:color w:val="333333"/>
                <w:kern w:val="0"/>
                <w:sz w:val="19"/>
                <w:szCs w:val="19"/>
              </w:rPr>
              <w:t xml:space="preserve">运营期间环境影响 </w:t>
            </w:r>
          </w:p>
          <w:p w14:paraId="504023EF">
            <w:pPr>
              <w:widowControl/>
              <w:snapToGrid w:val="0"/>
              <w:ind w:left="0" w:leftChars="0" w:right="0" w:rightChars="0" w:firstLine="0" w:firstLineChars="0"/>
              <w:jc w:val="left"/>
              <w:rPr>
                <w:rFonts w:hint="eastAsia" w:ascii="宋体" w:hAnsi="宋体" w:eastAsia="宋体" w:cs="宋体"/>
                <w:color w:val="333333"/>
                <w:kern w:val="0"/>
                <w:sz w:val="19"/>
                <w:szCs w:val="19"/>
                <w:lang w:val="en-US" w:eastAsia="zh-CN"/>
              </w:rPr>
            </w:pPr>
            <w:r>
              <w:rPr>
                <w:rFonts w:hint="eastAsia" w:ascii="宋体" w:hAnsi="宋体" w:eastAsia="宋体" w:cs="宋体"/>
                <w:color w:val="333333"/>
                <w:kern w:val="0"/>
                <w:sz w:val="19"/>
                <w:szCs w:val="19"/>
                <w:lang w:val="en-US" w:eastAsia="zh-CN"/>
              </w:rPr>
              <w:t>（1）电磁环境影响评价</w:t>
            </w:r>
            <w:r>
              <w:rPr>
                <w:rFonts w:hint="eastAsia" w:ascii="宋体" w:hAnsi="宋体" w:eastAsia="宋体" w:cs="宋体"/>
                <w:color w:val="333333"/>
                <w:kern w:val="0"/>
                <w:sz w:val="19"/>
                <w:szCs w:val="19"/>
                <w:lang w:val="en-US" w:eastAsia="zh-CN"/>
              </w:rPr>
              <w:t>。</w:t>
            </w:r>
            <w:r>
              <w:rPr>
                <w:rFonts w:hint="eastAsia" w:ascii="宋体" w:hAnsi="宋体" w:eastAsia="宋体" w:cs="宋体"/>
                <w:color w:val="333333"/>
                <w:kern w:val="0"/>
                <w:sz w:val="19"/>
                <w:szCs w:val="19"/>
                <w:lang w:val="en-US" w:eastAsia="zh-CN"/>
              </w:rPr>
              <w:t>本项目电磁辐射评价范围以雷达发射天线为中心，半径500m范围内。根据计算可得，近远场得分界线为62.5m，该区域以内为电磁辐射影响近场区，以外为远场区。根据预测结果，拟建雷达在目前及规划的环境条件下，雷达发射天线近场区内的平均功率密度最大值为1019.59W/m2，瞬时峰值功率密度最大值为10195.89W/m2，近场区副瓣方向平均功率密度、瞬时峰值功率密度均满足《电磁环境控制限值》（GB8702-2014）和《辐射环境保护管理导则电磁辐射环境影响评价方法与标准》（HJ/T10.3-1996）中单个项目控制限值要求（平均功率密度0.248W/m2，瞬时峰值功率密度248W/m2）。根据类比监测结果可以推测，本项目雷达投运后近场区电场强度可满足评价标准要求。根据理论预测分析，在远场区的功率密度、电场强度均可满足《电磁环境控制限值》（GB8702-2014）和《辐射环境保护管理导则电磁辐射环境影响评价方法与标准》（HJ/T10.3-1996）中单个项目控制限值要求。</w:t>
            </w:r>
          </w:p>
          <w:p w14:paraId="3535B134">
            <w:pPr>
              <w:widowControl/>
              <w:snapToGrid w:val="0"/>
              <w:ind w:left="0" w:leftChars="0" w:right="0" w:rightChars="0" w:firstLine="0" w:firstLineChars="0"/>
              <w:jc w:val="left"/>
              <w:rPr>
                <w:rFonts w:hint="eastAsia" w:ascii="宋体" w:hAnsi="宋体" w:eastAsia="宋体" w:cs="宋体"/>
                <w:color w:val="333333"/>
                <w:kern w:val="0"/>
                <w:sz w:val="19"/>
                <w:szCs w:val="19"/>
                <w:lang w:val="en-US" w:eastAsia="zh-CN"/>
              </w:rPr>
            </w:pPr>
            <w:r>
              <w:rPr>
                <w:rFonts w:hint="eastAsia" w:ascii="宋体" w:hAnsi="宋体" w:eastAsia="宋体" w:cs="宋体"/>
                <w:color w:val="333333"/>
                <w:kern w:val="0"/>
                <w:sz w:val="19"/>
                <w:szCs w:val="19"/>
                <w:lang w:val="en-US" w:eastAsia="zh-CN"/>
              </w:rPr>
              <w:t>（2）声环境影响评价</w:t>
            </w:r>
          </w:p>
          <w:p w14:paraId="750D6515">
            <w:pPr>
              <w:widowControl/>
              <w:snapToGrid w:val="0"/>
              <w:ind w:left="0" w:leftChars="0" w:right="0" w:rightChars="0" w:firstLine="0" w:firstLineChars="0"/>
              <w:jc w:val="left"/>
              <w:rPr>
                <w:rFonts w:hint="eastAsia" w:ascii="宋体" w:hAnsi="宋体" w:eastAsia="宋体" w:cs="宋体"/>
                <w:color w:val="333333"/>
                <w:kern w:val="0"/>
                <w:sz w:val="19"/>
                <w:szCs w:val="19"/>
                <w:lang w:val="en-US" w:eastAsia="zh-CN"/>
              </w:rPr>
            </w:pPr>
            <w:r>
              <w:rPr>
                <w:rFonts w:hint="eastAsia" w:ascii="宋体" w:hAnsi="宋体" w:eastAsia="宋体" w:cs="宋体"/>
                <w:color w:val="333333"/>
                <w:kern w:val="0"/>
                <w:sz w:val="19"/>
                <w:szCs w:val="19"/>
                <w:lang w:val="en-US" w:eastAsia="zh-CN"/>
              </w:rPr>
              <w:t>根据理论预测，雷达投运后四周厂界噪声贡献值为30.5dB(A)～46.5dB(A），满足《工业企业厂界环境噪声排放标准》（GB12348-2008）2类排放标准限值要求（昼间60dB(A)、夜间50dB(A)）。</w:t>
            </w:r>
          </w:p>
          <w:p w14:paraId="7C5E82D2">
            <w:pPr>
              <w:widowControl/>
              <w:snapToGrid w:val="0"/>
              <w:ind w:left="0" w:leftChars="0" w:right="0" w:rightChars="0" w:firstLine="0" w:firstLineChars="0"/>
              <w:jc w:val="left"/>
              <w:rPr>
                <w:rFonts w:hint="eastAsia" w:ascii="宋体" w:hAnsi="宋体" w:eastAsia="宋体" w:cs="宋体"/>
                <w:color w:val="333333"/>
                <w:kern w:val="0"/>
                <w:sz w:val="19"/>
                <w:szCs w:val="19"/>
                <w:lang w:val="en-US" w:eastAsia="zh-CN"/>
              </w:rPr>
            </w:pPr>
            <w:r>
              <w:rPr>
                <w:rFonts w:hint="eastAsia" w:ascii="宋体" w:hAnsi="宋体" w:eastAsia="宋体" w:cs="宋体"/>
                <w:color w:val="333333"/>
                <w:kern w:val="0"/>
                <w:sz w:val="19"/>
                <w:szCs w:val="19"/>
                <w:lang w:val="en-US" w:eastAsia="zh-CN"/>
              </w:rPr>
              <w:t>（3）水环境及固体废物影响评价</w:t>
            </w:r>
          </w:p>
          <w:p w14:paraId="1588A60C">
            <w:pPr>
              <w:widowControl/>
              <w:snapToGrid w:val="0"/>
              <w:ind w:left="0" w:leftChars="0" w:right="0" w:rightChars="0" w:firstLine="0" w:firstLineChars="0"/>
              <w:jc w:val="left"/>
              <w:rPr>
                <w:rFonts w:hint="eastAsia" w:ascii="宋体" w:hAnsi="宋体" w:eastAsia="宋体" w:cs="宋体"/>
                <w:color w:val="333333"/>
                <w:kern w:val="0"/>
                <w:sz w:val="19"/>
                <w:szCs w:val="19"/>
                <w:lang w:val="en-US" w:eastAsia="zh-CN"/>
              </w:rPr>
            </w:pPr>
            <w:r>
              <w:rPr>
                <w:rFonts w:hint="eastAsia" w:ascii="宋体" w:hAnsi="宋体" w:eastAsia="宋体" w:cs="宋体"/>
                <w:color w:val="333333"/>
                <w:kern w:val="0"/>
                <w:sz w:val="19"/>
                <w:szCs w:val="19"/>
                <w:lang w:val="en-US" w:eastAsia="zh-CN"/>
              </w:rPr>
              <w:t>雷达运行期间无生产废水产生和固体废物；运行期间无人值守，远程操作监控运行，拟依托核电站内现有工作人员为本项目配备2名巡检人员，每月巡检一次，不新增生活污水和生活垃圾。</w:t>
            </w:r>
          </w:p>
          <w:p w14:paraId="0E17E6F6">
            <w:pPr>
              <w:widowControl/>
              <w:snapToGrid w:val="0"/>
              <w:ind w:left="0" w:leftChars="0" w:right="0" w:rightChars="0" w:firstLine="0" w:firstLineChars="0"/>
              <w:jc w:val="left"/>
              <w:rPr>
                <w:rFonts w:hint="eastAsia" w:ascii="宋体" w:hAnsi="宋体" w:eastAsia="宋体" w:cs="宋体"/>
                <w:color w:val="333333"/>
                <w:kern w:val="0"/>
                <w:sz w:val="19"/>
                <w:szCs w:val="19"/>
                <w:lang w:val="en-US" w:eastAsia="zh-CN"/>
              </w:rPr>
            </w:pPr>
            <w:r>
              <w:rPr>
                <w:rFonts w:hint="eastAsia" w:ascii="宋体" w:hAnsi="宋体" w:eastAsia="宋体" w:cs="宋体"/>
                <w:color w:val="333333"/>
                <w:kern w:val="0"/>
                <w:sz w:val="19"/>
                <w:szCs w:val="19"/>
                <w:lang w:val="en-US" w:eastAsia="zh-CN"/>
              </w:rPr>
              <w:t>（4）环境风险分析</w:t>
            </w:r>
          </w:p>
          <w:p w14:paraId="68477110">
            <w:pPr>
              <w:widowControl/>
              <w:snapToGrid w:val="0"/>
              <w:ind w:left="0" w:leftChars="0" w:right="0" w:rightChars="0" w:firstLine="0" w:firstLineChars="0"/>
              <w:jc w:val="left"/>
              <w:rPr>
                <w:rFonts w:hint="eastAsia" w:ascii="宋体" w:hAnsi="宋体" w:eastAsia="宋体" w:cs="宋体"/>
                <w:color w:val="333333"/>
                <w:kern w:val="0"/>
                <w:sz w:val="19"/>
                <w:szCs w:val="19"/>
                <w:lang w:val="en-US" w:eastAsia="zh-CN"/>
              </w:rPr>
            </w:pPr>
            <w:r>
              <w:rPr>
                <w:rFonts w:hint="eastAsia" w:ascii="宋体" w:hAnsi="宋体" w:eastAsia="宋体" w:cs="宋体"/>
                <w:color w:val="333333"/>
                <w:kern w:val="0"/>
                <w:sz w:val="19"/>
                <w:szCs w:val="19"/>
                <w:lang w:val="en-US" w:eastAsia="zh-CN"/>
              </w:rPr>
              <w:t>本项目将采取有效的事故防范措施，制定相应的应急预案，本项目运行后潜在的环境风险是可以接受的。</w:t>
            </w:r>
          </w:p>
          <w:p w14:paraId="4987D0D4">
            <w:pPr>
              <w:widowControl/>
              <w:snapToGrid w:val="0"/>
              <w:ind w:left="0" w:leftChars="0" w:right="0" w:rightChars="0" w:firstLine="0" w:firstLineChars="0"/>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lang w:val="en-US" w:eastAsia="zh-CN"/>
              </w:rPr>
              <w:t>二</w:t>
            </w:r>
            <w:r>
              <w:rPr>
                <w:rFonts w:hint="eastAsia" w:ascii="宋体" w:hAnsi="宋体" w:eastAsia="宋体" w:cs="宋体"/>
                <w:color w:val="333333"/>
                <w:kern w:val="0"/>
                <w:sz w:val="19"/>
                <w:szCs w:val="19"/>
              </w:rPr>
              <w:t>、其他安全设施及措施</w:t>
            </w:r>
          </w:p>
          <w:p w14:paraId="406A5D35">
            <w:pPr>
              <w:widowControl/>
              <w:snapToGrid w:val="0"/>
              <w:ind w:left="0" w:leftChars="0" w:right="0" w:rightChars="0" w:firstLine="0" w:firstLineChars="0"/>
              <w:jc w:val="left"/>
              <w:rPr>
                <w:rFonts w:ascii="宋体" w:hAnsi="宋体" w:eastAsia="宋体" w:cs="宋体"/>
                <w:color w:val="333333"/>
                <w:kern w:val="0"/>
                <w:sz w:val="19"/>
                <w:szCs w:val="19"/>
              </w:rPr>
            </w:pPr>
            <w:r>
              <w:rPr>
                <w:rFonts w:ascii="宋体" w:hAnsi="宋体" w:eastAsia="宋体" w:cs="宋体"/>
                <w:color w:val="333333"/>
                <w:kern w:val="0"/>
                <w:sz w:val="19"/>
                <w:szCs w:val="19"/>
              </w:rPr>
              <w:t>1</w:t>
            </w:r>
            <w:r>
              <w:rPr>
                <w:rFonts w:hint="eastAsia" w:ascii="宋体" w:hAnsi="宋体" w:eastAsia="宋体" w:cs="宋体"/>
                <w:color w:val="333333"/>
                <w:kern w:val="0"/>
                <w:sz w:val="19"/>
                <w:szCs w:val="19"/>
              </w:rPr>
              <w:t>、在施工安装过程中，应注意保证施工质量，防止波导、馈线、接头等处的电磁泄漏，以保护工作场所的电磁环境。</w:t>
            </w:r>
          </w:p>
          <w:p w14:paraId="7E94E86D">
            <w:pPr>
              <w:widowControl/>
              <w:snapToGrid w:val="0"/>
              <w:ind w:left="0" w:leftChars="0" w:right="0" w:rightChars="0" w:firstLine="0" w:firstLineChars="0"/>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2、项目竣工后要进行项目竣工验收监测，以验证项目运行后对周围环境的影响程度，发现问题及时整改。</w:t>
            </w:r>
          </w:p>
          <w:p w14:paraId="63A6E5BB">
            <w:pPr>
              <w:widowControl/>
              <w:snapToGrid w:val="0"/>
              <w:ind w:left="0" w:leftChars="0" w:right="0" w:rightChars="0" w:firstLine="0" w:firstLineChars="0"/>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3、运行期需对工作人员进行有关电磁辐射知识的培训，加强宣传教育，减少工作人员在高电磁场区的停留时间，以减小电磁场对工作人员的影响。加强对发射设备的检修和维护。</w:t>
            </w:r>
          </w:p>
          <w:p w14:paraId="01AAF181">
            <w:pPr>
              <w:widowControl/>
              <w:snapToGrid w:val="0"/>
              <w:ind w:left="0" w:leftChars="0" w:right="0" w:rightChars="0" w:firstLine="0" w:firstLineChars="0"/>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4、利用雷达操控界面，设置扫描参数，并可根据实际防护需求，可设置静默区（天线不对外发射）和非静默区；同时建设单位制定相关规程及管理办法，操作人员严格按照相关规章制度执行。</w:t>
            </w:r>
          </w:p>
          <w:p w14:paraId="3C540163">
            <w:pPr>
              <w:widowControl/>
              <w:snapToGrid w:val="0"/>
              <w:ind w:left="0" w:leftChars="0" w:right="0" w:rightChars="0" w:firstLine="0" w:firstLineChars="0"/>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5、在雷达站使用过程中，每年进行一次性能指标的测试和电磁辐射能的监测，随时掌握雷达运行情况和雷达附近的电磁环境状况，并详细记录和存档。</w:t>
            </w:r>
          </w:p>
          <w:p w14:paraId="2625A86B">
            <w:pPr>
              <w:widowControl/>
              <w:snapToGrid w:val="0"/>
              <w:ind w:left="0" w:leftChars="0" w:right="0" w:rightChars="0" w:firstLine="0" w:firstLineChars="0"/>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6、当雷达出现非正常工况时会发出警报，应立刻停止使用，联系工程师进行检修，记录雷达出现非正常工况的情况和处理结果，并及时向上级主管部门或相关机构报告，分析故障原因，改进预防措施并积累经验。</w:t>
            </w:r>
          </w:p>
          <w:p w14:paraId="19CB4780">
            <w:pPr>
              <w:widowControl/>
              <w:snapToGrid w:val="0"/>
              <w:ind w:left="0" w:leftChars="0" w:right="0" w:rightChars="0" w:firstLine="0" w:firstLineChars="0"/>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7、</w:t>
            </w:r>
            <w:r>
              <w:rPr>
                <w:rFonts w:ascii="宋体" w:hAnsi="宋体" w:eastAsia="宋体" w:cs="宋体"/>
                <w:color w:val="333333"/>
                <w:kern w:val="0"/>
                <w:sz w:val="19"/>
                <w:szCs w:val="19"/>
              </w:rPr>
              <w:t>雷达</w:t>
            </w:r>
            <w:r>
              <w:rPr>
                <w:rFonts w:hint="eastAsia" w:ascii="宋体" w:hAnsi="宋体" w:eastAsia="宋体" w:cs="宋体"/>
                <w:color w:val="333333"/>
                <w:kern w:val="0"/>
                <w:sz w:val="19"/>
                <w:szCs w:val="19"/>
              </w:rPr>
              <w:t>所在取水明渠东堤日常封闭管理，入口处现设置有铁门，上锁，由专人进行登记管理。所在堤头</w:t>
            </w:r>
            <w:r>
              <w:rPr>
                <w:rFonts w:ascii="宋体" w:hAnsi="宋体" w:eastAsia="宋体" w:cs="宋体"/>
                <w:color w:val="333333"/>
                <w:kern w:val="0"/>
                <w:sz w:val="19"/>
                <w:szCs w:val="19"/>
              </w:rPr>
              <w:t>周围设置</w:t>
            </w:r>
            <w:r>
              <w:rPr>
                <w:rFonts w:hint="eastAsia" w:ascii="宋体" w:hAnsi="宋体" w:eastAsia="宋体" w:cs="宋体"/>
                <w:color w:val="333333"/>
                <w:kern w:val="0"/>
                <w:sz w:val="19"/>
                <w:szCs w:val="19"/>
              </w:rPr>
              <w:t>有围栏，</w:t>
            </w:r>
            <w:r>
              <w:rPr>
                <w:rFonts w:ascii="宋体" w:hAnsi="宋体" w:eastAsia="宋体" w:cs="宋体"/>
                <w:color w:val="333333"/>
                <w:kern w:val="0"/>
                <w:sz w:val="19"/>
                <w:szCs w:val="19"/>
              </w:rPr>
              <w:t>围栏设立警示牌</w:t>
            </w:r>
            <w:r>
              <w:rPr>
                <w:rFonts w:hint="eastAsia" w:ascii="宋体" w:hAnsi="宋体" w:eastAsia="宋体" w:cs="宋体"/>
                <w:color w:val="333333"/>
                <w:kern w:val="0"/>
                <w:sz w:val="19"/>
                <w:szCs w:val="19"/>
              </w:rPr>
              <w:t>，禁止无关人员进入。</w:t>
            </w:r>
          </w:p>
          <w:p w14:paraId="48CF1873">
            <w:pPr>
              <w:widowControl/>
              <w:snapToGrid w:val="0"/>
              <w:ind w:left="0" w:leftChars="0" w:right="0" w:rightChars="0" w:firstLine="0" w:firstLineChars="0"/>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8、以雷达天线为中心，距</w:t>
            </w:r>
            <w:r>
              <w:rPr>
                <w:rFonts w:ascii="宋体" w:hAnsi="宋体" w:eastAsia="宋体" w:cs="宋体"/>
                <w:color w:val="333333"/>
                <w:kern w:val="0"/>
                <w:sz w:val="19"/>
                <w:szCs w:val="19"/>
              </w:rPr>
              <w:t>雷达天线水平直线距离</w:t>
            </w:r>
            <w:r>
              <w:rPr>
                <w:rFonts w:hint="eastAsia" w:ascii="宋体" w:hAnsi="宋体" w:eastAsia="宋体" w:cs="宋体"/>
                <w:color w:val="333333"/>
                <w:kern w:val="0"/>
                <w:sz w:val="19"/>
                <w:szCs w:val="19"/>
              </w:rPr>
              <w:t>62.5m的区域边界设置警戒浮标，张贴禁止进入标识，并设置人员定期巡逻，同时通过监控系统观测周围情况，如有人员及船舶靠近，通过西堤头处智能语音播报系统发出“核电管控区域，请远离”的语音播报。</w:t>
            </w:r>
          </w:p>
        </w:tc>
        <w:tc>
          <w:tcPr>
            <w:tcW w:w="455"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6D6F8DF3">
            <w:pPr>
              <w:widowControl/>
              <w:snapToGrid w:val="0"/>
              <w:ind w:left="0" w:leftChars="0" w:right="0" w:rightChars="0" w:firstLine="0" w:firstLineChars="0"/>
              <w:jc w:val="center"/>
              <w:rPr>
                <w:rFonts w:ascii="宋体" w:eastAsia="宋体"/>
                <w:color w:val="333333"/>
                <w:sz w:val="19"/>
                <w:szCs w:val="19"/>
                <w:shd w:val="clear" w:color="auto" w:fill="FAFAFA"/>
              </w:rPr>
            </w:pPr>
            <w:r>
              <w:rPr>
                <w:rFonts w:hint="eastAsia" w:ascii="宋体" w:eastAsia="宋体"/>
                <w:color w:val="333333"/>
                <w:sz w:val="19"/>
                <w:szCs w:val="19"/>
                <w:shd w:val="clear" w:color="auto" w:fill="FAFAFA"/>
              </w:rPr>
              <w:t>无</w:t>
            </w:r>
          </w:p>
        </w:tc>
        <w:tc>
          <w:tcPr>
            <w:tcW w:w="704"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4AB49E49">
            <w:pPr>
              <w:widowControl/>
              <w:snapToGrid w:val="0"/>
              <w:ind w:left="0" w:leftChars="0" w:right="0" w:rightChars="0" w:firstLine="0" w:firstLineChars="0"/>
              <w:jc w:val="center"/>
              <w:rPr>
                <w:rFonts w:ascii="宋体" w:eastAsia="宋体"/>
                <w:color w:val="333333"/>
                <w:sz w:val="19"/>
                <w:szCs w:val="19"/>
                <w:shd w:val="clear" w:color="auto" w:fill="FAFAFA"/>
              </w:rPr>
            </w:pPr>
            <w:r>
              <w:rPr>
                <w:rFonts w:hint="eastAsia" w:ascii="宋体" w:eastAsia="宋体"/>
                <w:color w:val="333333"/>
                <w:sz w:val="19"/>
                <w:szCs w:val="19"/>
                <w:shd w:val="clear" w:color="auto" w:fill="FAFAFA"/>
              </w:rPr>
              <w:t>无</w:t>
            </w:r>
          </w:p>
        </w:tc>
      </w:tr>
    </w:tbl>
    <w:p w14:paraId="0684419B">
      <w:pPr>
        <w:widowControl/>
        <w:shd w:val="clear" w:color="auto" w:fill="FAFAFA"/>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 </w:t>
      </w:r>
    </w:p>
    <w:sectPr>
      <w:pgSz w:w="11906" w:h="16838"/>
      <w:pgMar w:top="567" w:right="284" w:bottom="567" w:left="28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汉仪中宋简">
    <w:panose1 w:val="02010600000101010101"/>
    <w:charset w:val="80"/>
    <w:family w:val="auto"/>
    <w:pitch w:val="default"/>
    <w:sig w:usb0="800002BF" w:usb1="184F6CF8" w:usb2="00000012" w:usb3="00000000" w:csb0="0002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A49F52D"/>
    <w:multiLevelType w:val="singleLevel"/>
    <w:tmpl w:val="6A49F52D"/>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0EC9"/>
    <w:rsid w:val="00141194"/>
    <w:rsid w:val="001A3623"/>
    <w:rsid w:val="00290245"/>
    <w:rsid w:val="002B4A3E"/>
    <w:rsid w:val="002C536F"/>
    <w:rsid w:val="002C6440"/>
    <w:rsid w:val="0039710E"/>
    <w:rsid w:val="003E08FA"/>
    <w:rsid w:val="004378C6"/>
    <w:rsid w:val="004628E8"/>
    <w:rsid w:val="004634D4"/>
    <w:rsid w:val="004F5448"/>
    <w:rsid w:val="00536A0D"/>
    <w:rsid w:val="00693A23"/>
    <w:rsid w:val="0075375F"/>
    <w:rsid w:val="008F6A3E"/>
    <w:rsid w:val="00923A38"/>
    <w:rsid w:val="00A06678"/>
    <w:rsid w:val="00B411B8"/>
    <w:rsid w:val="00C90EC9"/>
    <w:rsid w:val="00E938DD"/>
    <w:rsid w:val="00EC3AE1"/>
    <w:rsid w:val="00ED7DF2"/>
    <w:rsid w:val="00FB3B23"/>
    <w:rsid w:val="08954CB2"/>
    <w:rsid w:val="0DE05E1E"/>
    <w:rsid w:val="3BFC6ACD"/>
    <w:rsid w:val="5CF70577"/>
    <w:rsid w:val="5E5238CE"/>
    <w:rsid w:val="5F7B4286"/>
    <w:rsid w:val="6AD5790C"/>
    <w:rsid w:val="FFBB76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iPriority="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15"/>
    <w:qFormat/>
    <w:uiPriority w:val="9"/>
    <w:pPr>
      <w:widowControl/>
      <w:spacing w:before="100" w:beforeAutospacing="1" w:after="100" w:afterAutospacing="1"/>
      <w:jc w:val="left"/>
      <w:outlineLvl w:val="1"/>
    </w:pPr>
    <w:rPr>
      <w:rFonts w:ascii="宋体" w:hAnsi="宋体" w:eastAsia="宋体" w:cs="宋体"/>
      <w:b/>
      <w:bCs/>
      <w:kern w:val="0"/>
      <w:sz w:val="36"/>
      <w:szCs w:val="36"/>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firstLineChars="200"/>
    </w:pPr>
    <w:rPr>
      <w:szCs w:val="20"/>
    </w:rPr>
  </w:style>
  <w:style w:type="paragraph" w:styleId="4">
    <w:name w:val="Body Text"/>
    <w:basedOn w:val="1"/>
    <w:next w:val="5"/>
    <w:qFormat/>
    <w:uiPriority w:val="1"/>
    <w:pPr>
      <w:ind w:left="103"/>
    </w:pPr>
    <w:rPr>
      <w:rFonts w:ascii="宋体" w:hAnsi="宋体" w:eastAsia="宋体" w:cs="宋体"/>
      <w:sz w:val="24"/>
      <w:szCs w:val="24"/>
      <w:lang w:val="zh-CN" w:eastAsia="zh-CN" w:bidi="zh-CN"/>
    </w:rPr>
  </w:style>
  <w:style w:type="paragraph" w:styleId="5">
    <w:name w:val="List Bullet 5"/>
    <w:basedOn w:val="1"/>
    <w:semiHidden/>
    <w:unhideWhenUsed/>
    <w:uiPriority w:val="99"/>
    <w:pPr>
      <w:numPr>
        <w:ilvl w:val="0"/>
        <w:numId w:val="1"/>
      </w:numPr>
    </w:pPr>
  </w:style>
  <w:style w:type="paragraph" w:styleId="6">
    <w:name w:val="Body Text Indent"/>
    <w:basedOn w:val="1"/>
    <w:next w:val="7"/>
    <w:qFormat/>
    <w:uiPriority w:val="99"/>
    <w:pPr>
      <w:spacing w:after="120"/>
      <w:ind w:left="420" w:leftChars="200"/>
    </w:pPr>
  </w:style>
  <w:style w:type="paragraph" w:styleId="7">
    <w:name w:val="toc 4"/>
    <w:basedOn w:val="1"/>
    <w:next w:val="1"/>
    <w:qFormat/>
    <w:uiPriority w:val="0"/>
    <w:pPr>
      <w:wordWrap w:val="0"/>
      <w:ind w:left="850"/>
      <w:jc w:val="both"/>
    </w:pPr>
    <w:rPr>
      <w:rFonts w:ascii="宋体" w:hAnsi="宋体" w:eastAsia="宋体" w:cs="宋体"/>
      <w:sz w:val="21"/>
      <w:lang w:val="en-US" w:eastAsia="zh-CN" w:bidi="ar-SA"/>
    </w:rPr>
  </w:style>
  <w:style w:type="paragraph" w:styleId="8">
    <w:name w:val="Plain Text"/>
    <w:basedOn w:val="1"/>
    <w:qFormat/>
    <w:uiPriority w:val="0"/>
    <w:rPr>
      <w:rFonts w:ascii="宋体" w:hAnsi="Courier New"/>
      <w:sz w:val="30"/>
    </w:rPr>
  </w:style>
  <w:style w:type="paragraph" w:styleId="9">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next w:val="1"/>
    <w:qFormat/>
    <w:uiPriority w:val="0"/>
    <w:pPr>
      <w:adjustRightInd w:val="0"/>
      <w:snapToGrid w:val="0"/>
      <w:spacing w:line="500" w:lineRule="exact"/>
      <w:ind w:firstLine="480" w:firstLineChars="200"/>
    </w:pPr>
    <w:rPr>
      <w:rFonts w:ascii="宋体" w:hAnsi="宋体"/>
      <w:kern w:val="2"/>
      <w:sz w:val="24"/>
      <w:szCs w:val="18"/>
      <w:lang w:val="en-US" w:eastAsia="zh-CN" w:bidi="ar-SA"/>
    </w:rPr>
  </w:style>
  <w:style w:type="paragraph" w:styleId="11">
    <w:name w:val="Body Text First Indent 2"/>
    <w:basedOn w:val="6"/>
    <w:semiHidden/>
    <w:unhideWhenUsed/>
    <w:qFormat/>
    <w:uiPriority w:val="0"/>
    <w:pPr>
      <w:ind w:firstLine="420" w:firstLineChars="200"/>
    </w:pPr>
  </w:style>
  <w:style w:type="character" w:styleId="14">
    <w:name w:val="Strong"/>
    <w:basedOn w:val="13"/>
    <w:qFormat/>
    <w:uiPriority w:val="22"/>
    <w:rPr>
      <w:b/>
      <w:bCs/>
    </w:rPr>
  </w:style>
  <w:style w:type="character" w:customStyle="1" w:styleId="15">
    <w:name w:val="标题 2 Char"/>
    <w:basedOn w:val="13"/>
    <w:link w:val="2"/>
    <w:qFormat/>
    <w:uiPriority w:val="9"/>
    <w:rPr>
      <w:rFonts w:ascii="宋体" w:hAnsi="宋体" w:eastAsia="宋体" w:cs="宋体"/>
      <w:b/>
      <w:bCs/>
      <w:kern w:val="0"/>
      <w:sz w:val="36"/>
      <w:szCs w:val="36"/>
    </w:rPr>
  </w:style>
  <w:style w:type="paragraph" w:styleId="16">
    <w:name w:val="List Paragraph"/>
    <w:basedOn w:val="1"/>
    <w:qFormat/>
    <w:uiPriority w:val="1"/>
    <w:pPr>
      <w:ind w:left="103" w:firstLine="480"/>
    </w:pPr>
    <w:rPr>
      <w:rFonts w:ascii="宋体" w:hAnsi="宋体" w:eastAsia="宋体" w:cs="宋体"/>
      <w:lang w:val="zh-CN" w:eastAsia="zh-CN" w:bidi="zh-CN"/>
    </w:rPr>
  </w:style>
  <w:style w:type="paragraph" w:customStyle="1" w:styleId="17">
    <w:name w:val="普通文字 Char Char Char Char Char"/>
    <w:basedOn w:val="1"/>
    <w:next w:val="8"/>
    <w:qFormat/>
    <w:uiPriority w:val="0"/>
    <w:rPr>
      <w:rFonts w:ascii="宋体" w:hAnsi="Courier New"/>
      <w:sz w:val="28"/>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2501</Words>
  <Characters>2854</Characters>
  <Lines>20</Lines>
  <Paragraphs>5</Paragraphs>
  <TotalTime>0</TotalTime>
  <ScaleCrop>false</ScaleCrop>
  <LinksUpToDate>false</LinksUpToDate>
  <CharactersWithSpaces>2864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2021-03-04T22:48:00Z</dcterms:created>
  <dc:creator>LENOVO</dc:creator>
  <cp:lastModifiedBy>月夜殇</cp:lastModifiedBy>
  <dcterms:modified xsi:type="dcterms:W3CDTF">2025-12-29T01:08:31Z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63EB915F6D1B405B81DF4B412122A21B_13</vt:lpwstr>
  </property>
  <property fmtid="{D5CDD505-2E9C-101B-9397-08002B2CF9AE}" pid="4" name="KSOTemplateDocerSaveRecord">
    <vt:lpwstr>eyJoZGlkIjoiZjBlMzBiOGNmZGQ0YjViZDc3NzM1YmU5ZDgxZDI5ZjAiLCJ1c2VySWQiOiIyNTg0ODIyNTAifQ==</vt:lpwstr>
  </property>
</Properties>
</file>