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2"/>
        <w:jc w:val="center"/>
        <w:rPr>
          <w:rFonts w:ascii="黑体" w:hAnsi="宋体" w:eastAsia="黑体" w:cs="黑体"/>
          <w:i w:val="0"/>
          <w:iCs w:val="0"/>
          <w:caps w:val="0"/>
          <w:color w:val="333333"/>
          <w:spacing w:val="0"/>
          <w:sz w:val="24"/>
          <w:szCs w:val="24"/>
          <w:shd w:val="clear" w:fill="FFFFFF"/>
        </w:rPr>
      </w:pPr>
    </w:p>
    <w:p>
      <w:pPr>
        <w:pStyle w:val="12"/>
        <w:ind w:firstLine="560" w:firstLineChars="200"/>
        <w:jc w:val="center"/>
        <w:rPr>
          <w:sz w:val="28"/>
          <w:szCs w:val="28"/>
        </w:rPr>
      </w:pPr>
      <w:r>
        <w:rPr>
          <w:rFonts w:ascii="黑体" w:hAnsi="宋体" w:eastAsia="黑体" w:cs="黑体"/>
          <w:i w:val="0"/>
          <w:iCs w:val="0"/>
          <w:caps w:val="0"/>
          <w:color w:val="333333"/>
          <w:spacing w:val="0"/>
          <w:sz w:val="28"/>
          <w:szCs w:val="28"/>
          <w:shd w:val="clear" w:fill="FFFFFF"/>
        </w:rPr>
        <w:t>一、符合下列情形的轻微违法行为，不予行政处罚</w:t>
      </w:r>
    </w:p>
    <w:p>
      <w:pPr>
        <w:pStyle w:val="12"/>
        <w:jc w:val="center"/>
        <w:rPr>
          <w:rFonts w:ascii="黑体" w:hAnsi="宋体" w:eastAsia="黑体" w:cs="黑体"/>
          <w:i w:val="0"/>
          <w:iCs w:val="0"/>
          <w:caps w:val="0"/>
          <w:color w:val="333333"/>
          <w:spacing w:val="0"/>
          <w:sz w:val="21"/>
          <w:szCs w:val="21"/>
          <w:shd w:val="clear" w:fill="FFFFFF"/>
        </w:rPr>
      </w:pPr>
    </w:p>
    <w:p>
      <w:pPr>
        <w:pStyle w:val="12"/>
        <w:jc w:val="center"/>
        <w:rPr>
          <w:rFonts w:ascii="黑体" w:hAnsi="宋体" w:eastAsia="黑体" w:cs="黑体"/>
          <w:i w:val="0"/>
          <w:iCs w:val="0"/>
          <w:caps w:val="0"/>
          <w:color w:val="333333"/>
          <w:spacing w:val="0"/>
          <w:sz w:val="21"/>
          <w:szCs w:val="21"/>
          <w:shd w:val="clear" w:fill="FFFFFF"/>
        </w:rPr>
      </w:pPr>
    </w:p>
    <w:p>
      <w:pPr>
        <w:pStyle w:val="12"/>
        <w:jc w:val="center"/>
        <w:rPr>
          <w:rFonts w:ascii="黑体" w:hAnsi="宋体" w:eastAsia="黑体" w:cs="黑体"/>
          <w:i w:val="0"/>
          <w:iCs w:val="0"/>
          <w:caps w:val="0"/>
          <w:color w:val="333333"/>
          <w:spacing w:val="0"/>
          <w:sz w:val="21"/>
          <w:szCs w:val="21"/>
          <w:shd w:val="clear" w:fill="FFFFFF"/>
        </w:rPr>
      </w:pPr>
    </w:p>
    <w:p>
      <w:pPr>
        <w:pStyle w:val="12"/>
        <w:jc w:val="center"/>
        <w:rPr>
          <w:rFonts w:ascii="黑体" w:hAnsi="宋体" w:eastAsia="黑体" w:cs="黑体"/>
          <w:i w:val="0"/>
          <w:iCs w:val="0"/>
          <w:caps w:val="0"/>
          <w:color w:val="333333"/>
          <w:spacing w:val="0"/>
          <w:sz w:val="21"/>
          <w:szCs w:val="21"/>
          <w:shd w:val="clear" w:fill="FFFFFF"/>
        </w:rPr>
      </w:pPr>
    </w:p>
    <w:p>
      <w:pPr>
        <w:pStyle w:val="12"/>
        <w:jc w:val="center"/>
        <w:rPr>
          <w:rFonts w:ascii="黑体" w:hAnsi="宋体" w:eastAsia="黑体" w:cs="黑体"/>
          <w:i w:val="0"/>
          <w:iCs w:val="0"/>
          <w:caps w:val="0"/>
          <w:color w:val="333333"/>
          <w:spacing w:val="0"/>
          <w:sz w:val="21"/>
          <w:szCs w:val="21"/>
          <w:shd w:val="clear" w:fill="FFFFFF"/>
        </w:rPr>
      </w:pPr>
    </w:p>
    <w:p>
      <w:pPr>
        <w:pStyle w:val="12"/>
        <w:jc w:val="center"/>
        <w:rPr>
          <w:rFonts w:ascii="黑体" w:hAnsi="宋体" w:eastAsia="黑体" w:cs="黑体"/>
          <w:i w:val="0"/>
          <w:iCs w:val="0"/>
          <w:caps w:val="0"/>
          <w:color w:val="333333"/>
          <w:spacing w:val="0"/>
          <w:sz w:val="24"/>
          <w:szCs w:val="24"/>
          <w:shd w:val="clear" w:fill="FFFFFF"/>
        </w:rPr>
      </w:pPr>
    </w:p>
    <w:p>
      <w:pPr>
        <w:pStyle w:val="12"/>
        <w:jc w:val="center"/>
        <w:rPr>
          <w:rFonts w:ascii="黑体" w:hAnsi="宋体" w:eastAsia="黑体" w:cs="黑体"/>
          <w:i w:val="0"/>
          <w:iCs w:val="0"/>
          <w:caps w:val="0"/>
          <w:color w:val="333333"/>
          <w:spacing w:val="0"/>
          <w:sz w:val="24"/>
          <w:szCs w:val="24"/>
          <w:shd w:val="clear" w:fill="FFFFFF"/>
        </w:rPr>
      </w:pPr>
    </w:p>
    <w:p>
      <w:pPr>
        <w:pStyle w:val="12"/>
        <w:jc w:val="center"/>
        <w:rPr>
          <w:rFonts w:ascii="黑体" w:hAnsi="宋体" w:eastAsia="黑体" w:cs="黑体"/>
          <w:i w:val="0"/>
          <w:iCs w:val="0"/>
          <w:caps w:val="0"/>
          <w:color w:val="333333"/>
          <w:spacing w:val="0"/>
          <w:sz w:val="24"/>
          <w:szCs w:val="24"/>
          <w:shd w:val="clear" w:fill="FFFFFF"/>
        </w:rPr>
      </w:pPr>
    </w:p>
    <w:p>
      <w:pPr>
        <w:pStyle w:val="12"/>
        <w:jc w:val="center"/>
        <w:rPr>
          <w:rFonts w:ascii="黑体" w:hAnsi="宋体" w:eastAsia="黑体" w:cs="黑体"/>
          <w:i w:val="0"/>
          <w:iCs w:val="0"/>
          <w:caps w:val="0"/>
          <w:color w:val="333333"/>
          <w:spacing w:val="0"/>
          <w:sz w:val="24"/>
          <w:szCs w:val="24"/>
          <w:shd w:val="clear" w:fill="FFFFFF"/>
        </w:rPr>
      </w:pPr>
    </w:p>
    <w:p>
      <w:pPr>
        <w:pStyle w:val="12"/>
        <w:jc w:val="center"/>
        <w:rPr>
          <w:rFonts w:ascii="黑体" w:hAnsi="宋体" w:eastAsia="黑体" w:cs="黑体"/>
          <w:i w:val="0"/>
          <w:iCs w:val="0"/>
          <w:caps w:val="0"/>
          <w:color w:val="333333"/>
          <w:spacing w:val="0"/>
          <w:sz w:val="24"/>
          <w:szCs w:val="24"/>
          <w:shd w:val="clear" w:fill="FFFFFF"/>
        </w:rPr>
      </w:pPr>
    </w:p>
    <w:p>
      <w:pPr>
        <w:pStyle w:val="12"/>
        <w:jc w:val="center"/>
        <w:rPr>
          <w:rFonts w:ascii="黑体" w:hAnsi="宋体" w:eastAsia="黑体" w:cs="黑体"/>
          <w:i w:val="0"/>
          <w:iCs w:val="0"/>
          <w:caps w:val="0"/>
          <w:color w:val="333333"/>
          <w:spacing w:val="0"/>
          <w:sz w:val="24"/>
          <w:szCs w:val="24"/>
          <w:shd w:val="clear" w:fill="FFFFFF"/>
        </w:rPr>
      </w:pPr>
    </w:p>
    <w:p>
      <w:pPr>
        <w:pStyle w:val="12"/>
        <w:jc w:val="both"/>
        <w:rPr>
          <w:rFonts w:ascii="黑体" w:hAnsi="宋体" w:eastAsia="黑体" w:cs="黑体"/>
          <w:i w:val="0"/>
          <w:iCs w:val="0"/>
          <w:caps w:val="0"/>
          <w:color w:val="333333"/>
          <w:spacing w:val="0"/>
          <w:sz w:val="24"/>
          <w:szCs w:val="24"/>
          <w:shd w:val="clear" w:fill="FFFFFF"/>
        </w:rPr>
      </w:pPr>
    </w:p>
    <w:tbl>
      <w:tblPr>
        <w:tblStyle w:val="8"/>
        <w:tblpPr w:leftFromText="180" w:rightFromText="180" w:vertAnchor="page" w:horzAnchor="page" w:tblpX="1792" w:tblpY="279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9"/>
        <w:gridCol w:w="3946"/>
        <w:gridCol w:w="2654"/>
        <w:gridCol w:w="50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9" w:type="dxa"/>
            <w:noWrap w:val="0"/>
            <w:vAlign w:val="top"/>
          </w:tcPr>
          <w:p>
            <w:pPr>
              <w:jc w:val="center"/>
              <w:rPr>
                <w:rFonts w:hint="default" w:ascii="黑体" w:hAnsi="黑体" w:eastAsia="黑体" w:cs="黑体"/>
                <w:sz w:val="24"/>
                <w:szCs w:val="24"/>
                <w:vertAlign w:val="baseline"/>
                <w:lang w:val="en-US" w:eastAsia="zh-CN"/>
              </w:rPr>
            </w:pPr>
            <w:r>
              <w:rPr>
                <w:rFonts w:hint="eastAsia" w:ascii="黑体" w:hAnsi="黑体" w:eastAsia="黑体" w:cs="黑体"/>
                <w:sz w:val="24"/>
                <w:szCs w:val="24"/>
                <w:vertAlign w:val="baseline"/>
                <w:lang w:val="en-US" w:eastAsia="zh-CN"/>
              </w:rPr>
              <w:t>序号</w:t>
            </w:r>
          </w:p>
        </w:tc>
        <w:tc>
          <w:tcPr>
            <w:tcW w:w="3946"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Times New Roman" w:hAnsi="Times New Roman" w:eastAsia="方正仿宋简体" w:cs="Times New Roman"/>
                <w:color w:val="333333"/>
                <w:kern w:val="2"/>
                <w:sz w:val="24"/>
                <w:szCs w:val="24"/>
                <w:lang w:val="en-US" w:eastAsia="zh-CN" w:bidi="ar-SA"/>
              </w:rPr>
            </w:pPr>
            <w:r>
              <w:rPr>
                <w:rFonts w:hint="eastAsia" w:ascii="黑体" w:hAnsi="宋体" w:eastAsia="黑体" w:cs="黑体"/>
                <w:i w:val="0"/>
                <w:iCs w:val="0"/>
                <w:caps w:val="0"/>
                <w:color w:val="333333"/>
                <w:spacing w:val="0"/>
                <w:kern w:val="0"/>
                <w:sz w:val="24"/>
                <w:szCs w:val="24"/>
                <w:lang w:val="en-US" w:eastAsia="zh-CN" w:bidi="ar"/>
              </w:rPr>
              <w:t>违法行为</w:t>
            </w:r>
          </w:p>
        </w:tc>
        <w:tc>
          <w:tcPr>
            <w:tcW w:w="2654"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Times New Roman" w:hAnsi="Times New Roman" w:eastAsia="方正仿宋简体" w:cs="Times New Roman"/>
                <w:color w:val="333333"/>
                <w:kern w:val="2"/>
                <w:sz w:val="24"/>
                <w:szCs w:val="24"/>
                <w:lang w:val="en-US" w:eastAsia="zh-CN" w:bidi="ar-SA"/>
              </w:rPr>
            </w:pPr>
            <w:r>
              <w:rPr>
                <w:rFonts w:hint="eastAsia" w:ascii="黑体" w:hAnsi="宋体" w:eastAsia="黑体" w:cs="黑体"/>
                <w:i w:val="0"/>
                <w:iCs w:val="0"/>
                <w:caps w:val="0"/>
                <w:color w:val="333333"/>
                <w:spacing w:val="0"/>
                <w:kern w:val="0"/>
                <w:sz w:val="24"/>
                <w:szCs w:val="24"/>
                <w:lang w:val="en-US" w:eastAsia="zh-CN" w:bidi="ar"/>
              </w:rPr>
              <w:t>适用条件</w:t>
            </w:r>
          </w:p>
        </w:tc>
        <w:tc>
          <w:tcPr>
            <w:tcW w:w="5085"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Times New Roman" w:hAnsi="Times New Roman" w:eastAsia="方正仿宋简体" w:cs="Times New Roman"/>
                <w:color w:val="333333"/>
                <w:kern w:val="2"/>
                <w:sz w:val="24"/>
                <w:szCs w:val="24"/>
                <w:lang w:val="en-US" w:eastAsia="zh-CN" w:bidi="ar-SA"/>
              </w:rPr>
            </w:pPr>
            <w:r>
              <w:rPr>
                <w:rFonts w:hint="eastAsia" w:ascii="黑体" w:hAnsi="宋体" w:eastAsia="黑体" w:cs="黑体"/>
                <w:i w:val="0"/>
                <w:iCs w:val="0"/>
                <w:caps w:val="0"/>
                <w:color w:val="333333"/>
                <w:spacing w:val="0"/>
                <w:kern w:val="0"/>
                <w:sz w:val="24"/>
                <w:szCs w:val="24"/>
                <w:lang w:val="en-US" w:eastAsia="zh-CN" w:bidi="ar"/>
              </w:rPr>
              <w:t>法定依据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9" w:type="dxa"/>
            <w:noWrap w:val="0"/>
            <w:vAlign w:val="top"/>
          </w:tcPr>
          <w:p>
            <w:pPr>
              <w:jc w:val="center"/>
              <w:rPr>
                <w:rFonts w:hint="eastAsia" w:ascii="仿宋_GB2312" w:hAnsi="仿宋_GB2312" w:eastAsia="仿宋_GB2312" w:cs="仿宋_GB2312"/>
                <w:sz w:val="24"/>
                <w:szCs w:val="24"/>
                <w:vertAlign w:val="baseline"/>
                <w:lang w:val="en-US" w:eastAsia="zh-CN"/>
              </w:rPr>
            </w:pPr>
          </w:p>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1</w:t>
            </w:r>
          </w:p>
        </w:tc>
        <w:tc>
          <w:tcPr>
            <w:tcW w:w="3946"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非经营性互联网文化单位逾期未办理备案手续</w:t>
            </w:r>
          </w:p>
        </w:tc>
        <w:tc>
          <w:tcPr>
            <w:tcW w:w="2654"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在限期内改正</w:t>
            </w:r>
          </w:p>
        </w:tc>
        <w:tc>
          <w:tcPr>
            <w:tcW w:w="5085"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《互联网文化管理暂行规定》（2011年2月通过，2017年12月文化部令第57号修订）第二十二条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0" w:hRule="atLeast"/>
        </w:trPr>
        <w:tc>
          <w:tcPr>
            <w:tcW w:w="1119" w:type="dxa"/>
            <w:noWrap w:val="0"/>
            <w:vAlign w:val="top"/>
          </w:tcPr>
          <w:p>
            <w:pPr>
              <w:jc w:val="center"/>
              <w:rPr>
                <w:rFonts w:hint="eastAsia" w:ascii="仿宋_GB2312" w:hAnsi="仿宋_GB2312" w:eastAsia="仿宋_GB2312" w:cs="仿宋_GB2312"/>
                <w:sz w:val="24"/>
                <w:szCs w:val="24"/>
                <w:vertAlign w:val="baseline"/>
                <w:lang w:val="en-US" w:eastAsia="zh-CN"/>
              </w:rPr>
            </w:pPr>
          </w:p>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2</w:t>
            </w:r>
          </w:p>
        </w:tc>
        <w:tc>
          <w:tcPr>
            <w:tcW w:w="3946"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旅行社未向其质量保证金账户存入、增存、补足质量保证金或者提交相应的银行担保</w:t>
            </w:r>
          </w:p>
        </w:tc>
        <w:tc>
          <w:tcPr>
            <w:tcW w:w="2654"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在限期内改正</w:t>
            </w:r>
          </w:p>
        </w:tc>
        <w:tc>
          <w:tcPr>
            <w:tcW w:w="5085"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《旅行社条例》(2009年2月通过，2017年3月国务院令第676号第二次修订)第四十八条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trPr>
        <w:tc>
          <w:tcPr>
            <w:tcW w:w="1119" w:type="dxa"/>
            <w:noWrap w:val="0"/>
            <w:vAlign w:val="top"/>
          </w:tcPr>
          <w:p>
            <w:pPr>
              <w:jc w:val="center"/>
              <w:rPr>
                <w:rFonts w:hint="eastAsia" w:ascii="仿宋_GB2312" w:hAnsi="仿宋_GB2312" w:eastAsia="仿宋_GB2312" w:cs="仿宋_GB2312"/>
                <w:sz w:val="24"/>
                <w:szCs w:val="24"/>
                <w:vertAlign w:val="baseline"/>
                <w:lang w:val="en-US" w:eastAsia="zh-CN"/>
              </w:rPr>
            </w:pPr>
          </w:p>
          <w:p>
            <w:pPr>
              <w:jc w:val="center"/>
              <w:rPr>
                <w:rFonts w:hint="eastAsia" w:ascii="仿宋_GB2312" w:hAnsi="仿宋_GB2312" w:eastAsia="仿宋_GB2312" w:cs="仿宋_GB2312"/>
                <w:sz w:val="24"/>
                <w:szCs w:val="24"/>
                <w:vertAlign w:val="baseline"/>
                <w:lang w:val="en-US" w:eastAsia="zh-CN"/>
              </w:rPr>
            </w:pPr>
          </w:p>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3</w:t>
            </w:r>
          </w:p>
        </w:tc>
        <w:tc>
          <w:tcPr>
            <w:tcW w:w="3946"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旅行社变更名称、经营场所、法定代表人等登记事项或者终止经营，未在规定期限内向原许可的旅游行政管理部门备案，换领或者交回旅行社业务经营许可证</w:t>
            </w:r>
          </w:p>
        </w:tc>
        <w:tc>
          <w:tcPr>
            <w:tcW w:w="2654"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在限期内改正</w:t>
            </w:r>
          </w:p>
        </w:tc>
        <w:tc>
          <w:tcPr>
            <w:tcW w:w="5085"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《旅行社条例》(2009年2月通过，2017年3月国务院令第676号第二次修订)第五十条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9" w:type="dxa"/>
            <w:noWrap w:val="0"/>
            <w:vAlign w:val="top"/>
          </w:tcPr>
          <w:p>
            <w:pPr>
              <w:jc w:val="center"/>
              <w:rPr>
                <w:rFonts w:hint="eastAsia" w:ascii="仿宋_GB2312" w:hAnsi="仿宋_GB2312" w:eastAsia="仿宋_GB2312" w:cs="仿宋_GB2312"/>
                <w:sz w:val="24"/>
                <w:szCs w:val="24"/>
                <w:vertAlign w:val="baseline"/>
                <w:lang w:val="en-US" w:eastAsia="zh-CN"/>
              </w:rPr>
            </w:pPr>
          </w:p>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4</w:t>
            </w:r>
          </w:p>
        </w:tc>
        <w:tc>
          <w:tcPr>
            <w:tcW w:w="3946"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旅行社设立分社未在规定期限内向分社所在地旅游行政管理部门备案</w:t>
            </w:r>
          </w:p>
        </w:tc>
        <w:tc>
          <w:tcPr>
            <w:tcW w:w="2654"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在限期内改正</w:t>
            </w:r>
          </w:p>
        </w:tc>
        <w:tc>
          <w:tcPr>
            <w:tcW w:w="5085"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《旅行社条例》(2009年2月通过，2017年3月国务院令第676号第二次修订)第五十条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9" w:type="dxa"/>
            <w:noWrap w:val="0"/>
            <w:vAlign w:val="top"/>
          </w:tcPr>
          <w:p>
            <w:pPr>
              <w:jc w:val="center"/>
              <w:rPr>
                <w:rFonts w:hint="eastAsia" w:ascii="仿宋_GB2312" w:hAnsi="仿宋_GB2312" w:eastAsia="仿宋_GB2312" w:cs="仿宋_GB2312"/>
                <w:sz w:val="24"/>
                <w:szCs w:val="24"/>
                <w:vertAlign w:val="baseline"/>
                <w:lang w:val="en-US" w:eastAsia="zh-CN"/>
              </w:rPr>
            </w:pPr>
          </w:p>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5</w:t>
            </w:r>
          </w:p>
        </w:tc>
        <w:tc>
          <w:tcPr>
            <w:tcW w:w="3946"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旅行社不按照国家有关规定向旅游行政管理部门报送经营和财务信息等统计资料</w:t>
            </w:r>
          </w:p>
        </w:tc>
        <w:tc>
          <w:tcPr>
            <w:tcW w:w="2654"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在限期内改正</w:t>
            </w:r>
          </w:p>
        </w:tc>
        <w:tc>
          <w:tcPr>
            <w:tcW w:w="5085"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《旅行社条例》(2009年2月通过，2017年3月国务院令第676号第二次修订)第五十条</w:t>
            </w:r>
          </w:p>
        </w:tc>
      </w:tr>
    </w:tbl>
    <w:p>
      <w:pPr>
        <w:ind w:firstLine="240" w:firstLineChars="100"/>
        <w:jc w:val="center"/>
        <w:rPr>
          <w:rFonts w:ascii="仿宋" w:hAnsi="仿宋" w:eastAsia="仿宋" w:cs="仿宋"/>
          <w:color w:val="000000"/>
          <w:kern w:val="0"/>
          <w:sz w:val="24"/>
        </w:rPr>
      </w:pPr>
    </w:p>
    <w:p>
      <w:pPr>
        <w:ind w:firstLine="240" w:firstLineChars="100"/>
        <w:jc w:val="center"/>
        <w:rPr>
          <w:rFonts w:ascii="仿宋" w:hAnsi="仿宋" w:eastAsia="仿宋" w:cs="仿宋"/>
          <w:color w:val="000000"/>
          <w:kern w:val="0"/>
          <w:sz w:val="24"/>
        </w:rPr>
      </w:pPr>
    </w:p>
    <w:p>
      <w:pPr>
        <w:ind w:firstLine="240" w:firstLineChars="100"/>
        <w:jc w:val="center"/>
        <w:rPr>
          <w:rFonts w:ascii="仿宋" w:hAnsi="仿宋" w:eastAsia="仿宋" w:cs="仿宋"/>
          <w:color w:val="000000"/>
          <w:kern w:val="0"/>
          <w:sz w:val="24"/>
        </w:rPr>
      </w:pPr>
    </w:p>
    <w:p>
      <w:pPr>
        <w:ind w:firstLine="240" w:firstLineChars="100"/>
        <w:jc w:val="center"/>
        <w:rPr>
          <w:rFonts w:ascii="仿宋" w:hAnsi="仿宋" w:eastAsia="仿宋" w:cs="仿宋"/>
          <w:color w:val="000000"/>
          <w:kern w:val="0"/>
          <w:sz w:val="24"/>
        </w:rPr>
      </w:pPr>
    </w:p>
    <w:p>
      <w:pPr>
        <w:ind w:firstLine="240" w:firstLineChars="100"/>
        <w:jc w:val="center"/>
        <w:rPr>
          <w:rFonts w:ascii="仿宋" w:hAnsi="仿宋" w:eastAsia="仿宋" w:cs="仿宋"/>
          <w:color w:val="000000"/>
          <w:kern w:val="0"/>
          <w:sz w:val="24"/>
        </w:rPr>
      </w:pPr>
    </w:p>
    <w:p>
      <w:pPr>
        <w:ind w:firstLine="240" w:firstLineChars="100"/>
        <w:jc w:val="center"/>
        <w:rPr>
          <w:rFonts w:ascii="仿宋" w:hAnsi="仿宋" w:eastAsia="仿宋" w:cs="仿宋"/>
          <w:color w:val="000000"/>
          <w:kern w:val="0"/>
          <w:sz w:val="24"/>
        </w:rPr>
      </w:pPr>
    </w:p>
    <w:p>
      <w:pPr>
        <w:ind w:firstLine="240" w:firstLineChars="100"/>
        <w:jc w:val="center"/>
        <w:rPr>
          <w:rFonts w:ascii="仿宋" w:hAnsi="仿宋" w:eastAsia="仿宋" w:cs="仿宋"/>
          <w:color w:val="000000"/>
          <w:kern w:val="0"/>
          <w:sz w:val="24"/>
        </w:rPr>
      </w:pPr>
    </w:p>
    <w:p>
      <w:pPr>
        <w:ind w:firstLine="240" w:firstLineChars="100"/>
        <w:jc w:val="center"/>
        <w:rPr>
          <w:rFonts w:ascii="仿宋" w:hAnsi="仿宋" w:eastAsia="仿宋" w:cs="仿宋"/>
          <w:color w:val="000000"/>
          <w:kern w:val="0"/>
          <w:sz w:val="24"/>
        </w:rPr>
      </w:pPr>
    </w:p>
    <w:p>
      <w:pPr>
        <w:ind w:firstLine="240" w:firstLineChars="100"/>
        <w:jc w:val="center"/>
        <w:rPr>
          <w:rFonts w:ascii="仿宋" w:hAnsi="仿宋" w:eastAsia="仿宋" w:cs="仿宋"/>
          <w:color w:val="000000"/>
          <w:kern w:val="0"/>
          <w:sz w:val="24"/>
        </w:rPr>
      </w:pPr>
    </w:p>
    <w:p>
      <w:pPr>
        <w:ind w:firstLine="240" w:firstLineChars="100"/>
        <w:jc w:val="center"/>
        <w:rPr>
          <w:rFonts w:ascii="仿宋" w:hAnsi="仿宋" w:eastAsia="仿宋" w:cs="仿宋"/>
          <w:color w:val="000000"/>
          <w:kern w:val="0"/>
          <w:sz w:val="24"/>
        </w:rPr>
      </w:pPr>
    </w:p>
    <w:p>
      <w:pPr>
        <w:ind w:firstLine="240" w:firstLineChars="100"/>
        <w:jc w:val="center"/>
        <w:rPr>
          <w:rFonts w:ascii="仿宋" w:hAnsi="仿宋" w:eastAsia="仿宋" w:cs="仿宋"/>
          <w:color w:val="000000"/>
          <w:kern w:val="0"/>
          <w:sz w:val="24"/>
        </w:rPr>
      </w:pPr>
    </w:p>
    <w:p>
      <w:pPr>
        <w:ind w:firstLine="240" w:firstLineChars="100"/>
        <w:jc w:val="center"/>
        <w:rPr>
          <w:rFonts w:ascii="仿宋" w:hAnsi="仿宋" w:eastAsia="仿宋" w:cs="仿宋"/>
          <w:color w:val="000000"/>
          <w:kern w:val="0"/>
          <w:sz w:val="24"/>
        </w:rPr>
      </w:pPr>
    </w:p>
    <w:p>
      <w:pPr>
        <w:ind w:firstLine="240" w:firstLineChars="100"/>
        <w:jc w:val="center"/>
        <w:rPr>
          <w:rFonts w:ascii="仿宋" w:hAnsi="仿宋" w:eastAsia="仿宋" w:cs="仿宋"/>
          <w:color w:val="000000"/>
          <w:kern w:val="0"/>
          <w:sz w:val="24"/>
        </w:rPr>
      </w:pPr>
    </w:p>
    <w:p>
      <w:pPr>
        <w:ind w:firstLine="240" w:firstLineChars="100"/>
        <w:jc w:val="center"/>
        <w:rPr>
          <w:rFonts w:ascii="仿宋" w:hAnsi="仿宋" w:eastAsia="仿宋" w:cs="仿宋"/>
          <w:color w:val="000000"/>
          <w:kern w:val="0"/>
          <w:sz w:val="24"/>
        </w:rPr>
      </w:pPr>
    </w:p>
    <w:p>
      <w:pPr>
        <w:jc w:val="both"/>
        <w:rPr>
          <w:rFonts w:ascii="仿宋" w:hAnsi="仿宋" w:eastAsia="仿宋" w:cs="仿宋"/>
          <w:color w:val="000000"/>
          <w:kern w:val="0"/>
          <w:sz w:val="24"/>
        </w:rPr>
      </w:pPr>
    </w:p>
    <w:p>
      <w:pPr>
        <w:jc w:val="both"/>
        <w:rPr>
          <w:rFonts w:ascii="仿宋" w:hAnsi="仿宋" w:eastAsia="仿宋" w:cs="仿宋"/>
          <w:color w:val="000000"/>
          <w:kern w:val="0"/>
          <w:sz w:val="24"/>
        </w:rPr>
      </w:pPr>
    </w:p>
    <w:p>
      <w:pPr>
        <w:jc w:val="center"/>
        <w:rPr>
          <w:rFonts w:ascii="仿宋" w:hAnsi="仿宋" w:eastAsia="仿宋" w:cs="仿宋"/>
          <w:color w:val="000000"/>
          <w:kern w:val="0"/>
          <w:sz w:val="24"/>
        </w:rPr>
      </w:pPr>
    </w:p>
    <w:p>
      <w:pPr>
        <w:jc w:val="center"/>
        <w:rPr>
          <w:rFonts w:ascii="仿宋" w:hAnsi="仿宋" w:eastAsia="仿宋" w:cs="仿宋"/>
          <w:color w:val="000000"/>
          <w:kern w:val="0"/>
          <w:sz w:val="24"/>
        </w:rPr>
      </w:pPr>
    </w:p>
    <w:p>
      <w:pPr>
        <w:jc w:val="center"/>
        <w:rPr>
          <w:rFonts w:ascii="仿宋" w:hAnsi="仿宋" w:eastAsia="仿宋" w:cs="仿宋"/>
          <w:color w:val="000000"/>
          <w:kern w:val="0"/>
          <w:sz w:val="24"/>
        </w:rPr>
      </w:pPr>
    </w:p>
    <w:p>
      <w:pPr>
        <w:jc w:val="center"/>
        <w:rPr>
          <w:rFonts w:ascii="仿宋" w:hAnsi="仿宋" w:eastAsia="仿宋" w:cs="仿宋"/>
          <w:color w:val="000000"/>
          <w:kern w:val="0"/>
          <w:sz w:val="24"/>
        </w:rPr>
      </w:pPr>
    </w:p>
    <w:p>
      <w:pPr>
        <w:jc w:val="center"/>
        <w:rPr>
          <w:rFonts w:ascii="仿宋" w:hAnsi="仿宋" w:eastAsia="仿宋" w:cs="仿宋"/>
          <w:color w:val="000000"/>
          <w:kern w:val="0"/>
          <w:sz w:val="24"/>
        </w:rPr>
      </w:pPr>
    </w:p>
    <w:p>
      <w:pPr>
        <w:jc w:val="center"/>
        <w:rPr>
          <w:rFonts w:ascii="仿宋" w:hAnsi="仿宋" w:eastAsia="仿宋" w:cs="仿宋"/>
          <w:color w:val="000000"/>
          <w:kern w:val="0"/>
          <w:sz w:val="24"/>
        </w:rPr>
      </w:pPr>
    </w:p>
    <w:p>
      <w:pPr>
        <w:jc w:val="center"/>
        <w:rPr>
          <w:rFonts w:ascii="仿宋" w:hAnsi="仿宋" w:eastAsia="仿宋" w:cs="仿宋"/>
          <w:color w:val="000000"/>
          <w:kern w:val="0"/>
          <w:sz w:val="24"/>
        </w:rPr>
      </w:pPr>
    </w:p>
    <w:p>
      <w:pPr>
        <w:jc w:val="center"/>
        <w:rPr>
          <w:rFonts w:ascii="仿宋" w:hAnsi="仿宋" w:eastAsia="仿宋" w:cs="仿宋"/>
          <w:color w:val="000000"/>
          <w:kern w:val="0"/>
          <w:sz w:val="24"/>
        </w:rPr>
      </w:pPr>
    </w:p>
    <w:p>
      <w:pPr>
        <w:jc w:val="center"/>
        <w:rPr>
          <w:rFonts w:ascii="仿宋" w:hAnsi="仿宋" w:eastAsia="仿宋" w:cs="仿宋"/>
          <w:color w:val="000000"/>
          <w:kern w:val="0"/>
          <w:sz w:val="24"/>
        </w:rPr>
      </w:pPr>
    </w:p>
    <w:p>
      <w:pPr>
        <w:jc w:val="center"/>
        <w:rPr>
          <w:rFonts w:ascii="仿宋" w:hAnsi="仿宋" w:eastAsia="仿宋" w:cs="仿宋"/>
          <w:color w:val="000000"/>
          <w:kern w:val="0"/>
          <w:sz w:val="24"/>
        </w:rPr>
      </w:pPr>
    </w:p>
    <w:p>
      <w:pPr>
        <w:numPr>
          <w:ilvl w:val="0"/>
          <w:numId w:val="1"/>
        </w:numPr>
        <w:jc w:val="center"/>
        <w:rPr>
          <w:rFonts w:hint="eastAsia" w:ascii="黑体" w:hAnsi="宋体" w:eastAsia="黑体" w:cs="黑体"/>
          <w:i w:val="0"/>
          <w:iCs w:val="0"/>
          <w:caps w:val="0"/>
          <w:color w:val="333333"/>
          <w:spacing w:val="0"/>
          <w:kern w:val="0"/>
          <w:sz w:val="28"/>
          <w:szCs w:val="28"/>
          <w:lang w:val="en-US" w:eastAsia="zh-CN" w:bidi="ar"/>
        </w:rPr>
      </w:pPr>
      <w:r>
        <w:rPr>
          <w:rFonts w:hint="eastAsia" w:ascii="黑体" w:hAnsi="宋体" w:eastAsia="黑体" w:cs="黑体"/>
          <w:i w:val="0"/>
          <w:iCs w:val="0"/>
          <w:caps w:val="0"/>
          <w:color w:val="333333"/>
          <w:spacing w:val="0"/>
          <w:kern w:val="0"/>
          <w:sz w:val="28"/>
          <w:szCs w:val="28"/>
          <w:lang w:val="en-US" w:eastAsia="zh-CN" w:bidi="ar"/>
        </w:rPr>
        <w:t>下列轻微违法行为，符合法定适用条件，依法不予行政处罚</w:t>
      </w:r>
    </w:p>
    <w:p>
      <w:pPr>
        <w:widowControl w:val="0"/>
        <w:numPr>
          <w:numId w:val="0"/>
        </w:numPr>
        <w:jc w:val="center"/>
        <w:rPr>
          <w:rFonts w:hint="eastAsia" w:ascii="黑体" w:hAnsi="宋体" w:eastAsia="黑体" w:cs="黑体"/>
          <w:i w:val="0"/>
          <w:iCs w:val="0"/>
          <w:caps w:val="0"/>
          <w:color w:val="333333"/>
          <w:spacing w:val="0"/>
          <w:kern w:val="0"/>
          <w:sz w:val="21"/>
          <w:szCs w:val="21"/>
          <w:lang w:val="en-US" w:eastAsia="zh-CN" w:bidi="ar"/>
        </w:rPr>
      </w:pPr>
    </w:p>
    <w:p>
      <w:pPr>
        <w:widowControl w:val="0"/>
        <w:numPr>
          <w:numId w:val="0"/>
        </w:numPr>
        <w:jc w:val="center"/>
        <w:rPr>
          <w:rFonts w:hint="eastAsia" w:ascii="黑体" w:hAnsi="宋体" w:eastAsia="黑体" w:cs="黑体"/>
          <w:i w:val="0"/>
          <w:iCs w:val="0"/>
          <w:caps w:val="0"/>
          <w:color w:val="333333"/>
          <w:spacing w:val="0"/>
          <w:kern w:val="0"/>
          <w:sz w:val="21"/>
          <w:szCs w:val="21"/>
          <w:lang w:val="en-US" w:eastAsia="zh-CN" w:bidi="ar"/>
        </w:rPr>
      </w:pPr>
    </w:p>
    <w:p>
      <w:pPr>
        <w:widowControl w:val="0"/>
        <w:numPr>
          <w:numId w:val="0"/>
        </w:numPr>
        <w:jc w:val="center"/>
        <w:rPr>
          <w:rFonts w:hint="eastAsia" w:ascii="黑体" w:hAnsi="宋体" w:eastAsia="黑体" w:cs="黑体"/>
          <w:i w:val="0"/>
          <w:iCs w:val="0"/>
          <w:caps w:val="0"/>
          <w:color w:val="333333"/>
          <w:spacing w:val="0"/>
          <w:kern w:val="0"/>
          <w:sz w:val="21"/>
          <w:szCs w:val="21"/>
          <w:lang w:val="en-US" w:eastAsia="zh-CN" w:bidi="ar"/>
        </w:rPr>
      </w:pPr>
    </w:p>
    <w:p>
      <w:pPr>
        <w:widowControl w:val="0"/>
        <w:numPr>
          <w:numId w:val="0"/>
        </w:numPr>
        <w:jc w:val="center"/>
        <w:rPr>
          <w:rFonts w:hint="eastAsia" w:ascii="黑体" w:hAnsi="宋体" w:eastAsia="黑体" w:cs="黑体"/>
          <w:i w:val="0"/>
          <w:iCs w:val="0"/>
          <w:caps w:val="0"/>
          <w:color w:val="333333"/>
          <w:spacing w:val="0"/>
          <w:kern w:val="0"/>
          <w:sz w:val="21"/>
          <w:szCs w:val="21"/>
          <w:lang w:val="en-US" w:eastAsia="zh-CN" w:bidi="ar"/>
        </w:rPr>
      </w:pPr>
    </w:p>
    <w:p>
      <w:pPr>
        <w:widowControl w:val="0"/>
        <w:numPr>
          <w:numId w:val="0"/>
        </w:numPr>
        <w:jc w:val="center"/>
        <w:rPr>
          <w:rFonts w:hint="eastAsia" w:ascii="黑体" w:hAnsi="宋体" w:eastAsia="黑体" w:cs="黑体"/>
          <w:i w:val="0"/>
          <w:iCs w:val="0"/>
          <w:caps w:val="0"/>
          <w:color w:val="333333"/>
          <w:spacing w:val="0"/>
          <w:kern w:val="0"/>
          <w:sz w:val="21"/>
          <w:szCs w:val="21"/>
          <w:lang w:val="en-US" w:eastAsia="zh-CN" w:bidi="ar"/>
        </w:rPr>
      </w:pPr>
    </w:p>
    <w:p>
      <w:pPr>
        <w:widowControl w:val="0"/>
        <w:numPr>
          <w:numId w:val="0"/>
        </w:numPr>
        <w:jc w:val="center"/>
        <w:rPr>
          <w:rFonts w:hint="eastAsia" w:ascii="黑体" w:hAnsi="宋体" w:eastAsia="黑体" w:cs="黑体"/>
          <w:i w:val="0"/>
          <w:iCs w:val="0"/>
          <w:caps w:val="0"/>
          <w:color w:val="333333"/>
          <w:spacing w:val="0"/>
          <w:kern w:val="0"/>
          <w:sz w:val="21"/>
          <w:szCs w:val="21"/>
          <w:lang w:val="en-US" w:eastAsia="zh-CN" w:bidi="ar"/>
        </w:rPr>
      </w:pPr>
    </w:p>
    <w:p>
      <w:pPr>
        <w:widowControl w:val="0"/>
        <w:numPr>
          <w:numId w:val="0"/>
        </w:numPr>
        <w:jc w:val="center"/>
        <w:rPr>
          <w:rFonts w:hint="eastAsia" w:ascii="黑体" w:hAnsi="宋体" w:eastAsia="黑体" w:cs="黑体"/>
          <w:i w:val="0"/>
          <w:iCs w:val="0"/>
          <w:caps w:val="0"/>
          <w:color w:val="333333"/>
          <w:spacing w:val="0"/>
          <w:kern w:val="0"/>
          <w:sz w:val="21"/>
          <w:szCs w:val="21"/>
          <w:lang w:val="en-US" w:eastAsia="zh-CN" w:bidi="ar"/>
        </w:rPr>
      </w:pPr>
    </w:p>
    <w:p>
      <w:pPr>
        <w:widowControl w:val="0"/>
        <w:numPr>
          <w:numId w:val="0"/>
        </w:numPr>
        <w:jc w:val="center"/>
        <w:rPr>
          <w:rFonts w:hint="eastAsia" w:ascii="黑体" w:hAnsi="宋体" w:eastAsia="黑体" w:cs="黑体"/>
          <w:i w:val="0"/>
          <w:iCs w:val="0"/>
          <w:caps w:val="0"/>
          <w:color w:val="333333"/>
          <w:spacing w:val="0"/>
          <w:kern w:val="0"/>
          <w:sz w:val="21"/>
          <w:szCs w:val="21"/>
          <w:lang w:val="en-US" w:eastAsia="zh-CN" w:bidi="ar"/>
        </w:rPr>
      </w:pPr>
    </w:p>
    <w:p>
      <w:pPr>
        <w:widowControl w:val="0"/>
        <w:numPr>
          <w:numId w:val="0"/>
        </w:numPr>
        <w:jc w:val="center"/>
        <w:rPr>
          <w:rFonts w:hint="eastAsia" w:ascii="黑体" w:hAnsi="宋体" w:eastAsia="黑体" w:cs="黑体"/>
          <w:i w:val="0"/>
          <w:iCs w:val="0"/>
          <w:caps w:val="0"/>
          <w:color w:val="333333"/>
          <w:spacing w:val="0"/>
          <w:kern w:val="0"/>
          <w:sz w:val="21"/>
          <w:szCs w:val="21"/>
          <w:lang w:val="en-US" w:eastAsia="zh-CN" w:bidi="ar"/>
        </w:rPr>
      </w:pPr>
    </w:p>
    <w:p>
      <w:pPr>
        <w:widowControl w:val="0"/>
        <w:numPr>
          <w:numId w:val="0"/>
        </w:numPr>
        <w:jc w:val="center"/>
        <w:rPr>
          <w:rFonts w:hint="eastAsia" w:ascii="黑体" w:hAnsi="宋体" w:eastAsia="黑体" w:cs="黑体"/>
          <w:i w:val="0"/>
          <w:iCs w:val="0"/>
          <w:caps w:val="0"/>
          <w:color w:val="333333"/>
          <w:spacing w:val="0"/>
          <w:kern w:val="0"/>
          <w:sz w:val="21"/>
          <w:szCs w:val="21"/>
          <w:lang w:val="en-US" w:eastAsia="zh-CN" w:bidi="ar"/>
        </w:rPr>
      </w:pPr>
    </w:p>
    <w:p>
      <w:pPr>
        <w:widowControl w:val="0"/>
        <w:numPr>
          <w:numId w:val="0"/>
        </w:numPr>
        <w:jc w:val="center"/>
        <w:rPr>
          <w:rFonts w:hint="eastAsia" w:ascii="黑体" w:hAnsi="宋体" w:eastAsia="黑体" w:cs="黑体"/>
          <w:i w:val="0"/>
          <w:iCs w:val="0"/>
          <w:caps w:val="0"/>
          <w:color w:val="333333"/>
          <w:spacing w:val="0"/>
          <w:kern w:val="0"/>
          <w:sz w:val="21"/>
          <w:szCs w:val="21"/>
          <w:lang w:val="en-US" w:eastAsia="zh-CN" w:bidi="ar"/>
        </w:rPr>
      </w:pPr>
    </w:p>
    <w:tbl>
      <w:tblPr>
        <w:tblStyle w:val="8"/>
        <w:tblpPr w:leftFromText="180" w:rightFromText="180" w:vertAnchor="page" w:horzAnchor="page" w:tblpX="1792" w:tblpY="279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2"/>
        <w:gridCol w:w="3567"/>
        <w:gridCol w:w="2910"/>
        <w:gridCol w:w="69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62" w:type="dxa"/>
            <w:noWrap w:val="0"/>
            <w:vAlign w:val="top"/>
          </w:tcPr>
          <w:p>
            <w:pPr>
              <w:jc w:val="center"/>
              <w:rPr>
                <w:rFonts w:hint="eastAsia" w:eastAsia="方正仿宋简体"/>
                <w:sz w:val="24"/>
                <w:szCs w:val="24"/>
                <w:vertAlign w:val="baseline"/>
                <w:lang w:val="en-US" w:eastAsia="zh-CN"/>
              </w:rPr>
            </w:pPr>
            <w:r>
              <w:rPr>
                <w:rFonts w:hint="eastAsia" w:ascii="黑体" w:hAnsi="黑体" w:eastAsia="黑体" w:cs="黑体"/>
                <w:sz w:val="24"/>
                <w:szCs w:val="24"/>
                <w:vertAlign w:val="baseline"/>
                <w:lang w:val="en-US" w:eastAsia="zh-CN"/>
              </w:rPr>
              <w:t>序号</w:t>
            </w:r>
          </w:p>
        </w:tc>
        <w:tc>
          <w:tcPr>
            <w:tcW w:w="3567"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ascii="Times New Roman" w:hAnsi="Times New Roman" w:eastAsia="方正仿宋简体" w:cs="Times New Roman"/>
                <w:color w:val="333333"/>
                <w:kern w:val="2"/>
                <w:sz w:val="24"/>
                <w:szCs w:val="24"/>
                <w:lang w:val="en-US" w:eastAsia="zh-CN" w:bidi="ar-SA"/>
              </w:rPr>
            </w:pPr>
            <w:r>
              <w:rPr>
                <w:rFonts w:hint="eastAsia" w:ascii="黑体" w:hAnsi="宋体" w:eastAsia="黑体" w:cs="黑体"/>
                <w:i w:val="0"/>
                <w:iCs w:val="0"/>
                <w:caps w:val="0"/>
                <w:color w:val="333333"/>
                <w:spacing w:val="0"/>
                <w:kern w:val="0"/>
                <w:sz w:val="24"/>
                <w:szCs w:val="24"/>
                <w:lang w:val="en-US" w:eastAsia="zh-CN" w:bidi="ar"/>
              </w:rPr>
              <w:t>违法行为</w:t>
            </w:r>
          </w:p>
        </w:tc>
        <w:tc>
          <w:tcPr>
            <w:tcW w:w="2910"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ascii="Times New Roman" w:hAnsi="Times New Roman" w:eastAsia="方正仿宋简体" w:cs="Times New Roman"/>
                <w:color w:val="333333"/>
                <w:kern w:val="2"/>
                <w:sz w:val="24"/>
                <w:szCs w:val="24"/>
                <w:lang w:val="en-US" w:eastAsia="zh-CN" w:bidi="ar-SA"/>
              </w:rPr>
            </w:pPr>
            <w:r>
              <w:rPr>
                <w:rFonts w:hint="eastAsia" w:ascii="黑体" w:hAnsi="宋体" w:eastAsia="黑体" w:cs="黑体"/>
                <w:i w:val="0"/>
                <w:iCs w:val="0"/>
                <w:caps w:val="0"/>
                <w:color w:val="333333"/>
                <w:spacing w:val="0"/>
                <w:kern w:val="0"/>
                <w:sz w:val="24"/>
                <w:szCs w:val="24"/>
                <w:lang w:val="en-US" w:eastAsia="zh-CN" w:bidi="ar"/>
              </w:rPr>
              <w:t>适用条件</w:t>
            </w:r>
          </w:p>
        </w:tc>
        <w:tc>
          <w:tcPr>
            <w:tcW w:w="6935" w:type="dxa"/>
            <w:noWrap w:val="0"/>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ascii="Times New Roman" w:hAnsi="Times New Roman" w:eastAsia="方正仿宋简体" w:cs="Times New Roman"/>
                <w:color w:val="333333"/>
                <w:kern w:val="2"/>
                <w:sz w:val="24"/>
                <w:szCs w:val="24"/>
                <w:lang w:val="en-US" w:eastAsia="zh-CN" w:bidi="ar-SA"/>
              </w:rPr>
            </w:pPr>
            <w:r>
              <w:rPr>
                <w:rFonts w:hint="eastAsia" w:ascii="黑体" w:hAnsi="宋体" w:eastAsia="黑体" w:cs="黑体"/>
                <w:i w:val="0"/>
                <w:iCs w:val="0"/>
                <w:caps w:val="0"/>
                <w:color w:val="333333"/>
                <w:spacing w:val="0"/>
                <w:kern w:val="0"/>
                <w:sz w:val="24"/>
                <w:szCs w:val="24"/>
                <w:lang w:val="en-US" w:eastAsia="zh-CN" w:bidi="ar"/>
              </w:rPr>
              <w:t>法定依据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6</w:t>
            </w:r>
          </w:p>
        </w:tc>
        <w:tc>
          <w:tcPr>
            <w:tcW w:w="3567"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设立从事艺术品经营活动的经营单位未到其住所地县级以上人民政府文化行政部门备案</w:t>
            </w:r>
          </w:p>
        </w:tc>
        <w:tc>
          <w:tcPr>
            <w:tcW w:w="291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1.在限期内办理备案手续；</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2.违法情节轻微，未造成危害后果</w:t>
            </w:r>
          </w:p>
        </w:tc>
        <w:tc>
          <w:tcPr>
            <w:tcW w:w="693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1.《艺术品经营管理办法》（2016年1月通过，文化部令第56号）第五条、第十九条；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2.《中华人民共和国行政处罚法》（1996年3月通过，2021年1月修订）第三十三条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7</w:t>
            </w:r>
          </w:p>
        </w:tc>
        <w:tc>
          <w:tcPr>
            <w:tcW w:w="3567"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艺术品经营单位未对所经营的艺术品应当标明作者、年代、尺寸、材料、保存状况和销售价格等信息的；或未按规定保留交易有关的原始凭证、销售合同、台账、账簿等销售记录</w:t>
            </w:r>
          </w:p>
        </w:tc>
        <w:tc>
          <w:tcPr>
            <w:tcW w:w="291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1.首次被发现且违法情节轻微；</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2.在限期内改正；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3.未造成危害后果</w:t>
            </w:r>
          </w:p>
        </w:tc>
        <w:tc>
          <w:tcPr>
            <w:tcW w:w="693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1.《艺术品经营管理办法》（2016年1月通过，文化部令第56号）第九条、第二十二条；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2.《中华人民共和国行政处罚法》（1996年3月通过，2021年1月修订）第三十三条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8</w:t>
            </w:r>
          </w:p>
        </w:tc>
        <w:tc>
          <w:tcPr>
            <w:tcW w:w="3567"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艺术品经营单位从事艺术品鉴定、评估等服务，未与委托人签订书面协议约定相应事项的；或未明示艺术品鉴定、评估程序等告知事项的；或未书面出具鉴定、评估结论的；或未按规定保留书面鉴定、评估结论副本及鉴定、评估人签字等档案</w:t>
            </w:r>
          </w:p>
        </w:tc>
        <w:tc>
          <w:tcPr>
            <w:tcW w:w="291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1.首次被发现且违法情节轻微；</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2.在限期内改正；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3.未造成危害后果</w:t>
            </w:r>
          </w:p>
        </w:tc>
        <w:tc>
          <w:tcPr>
            <w:tcW w:w="693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1.《艺术品经营管理办法》（2016年1月通过，文化部令第56号）第十一条、第二十二条；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2.《中华人民共和国行政处罚法》（1996年3月通过，2021年1月修订）第三十三条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9</w:t>
            </w:r>
          </w:p>
        </w:tc>
        <w:tc>
          <w:tcPr>
            <w:tcW w:w="3567"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互联网文化单位未在其网站主页的显著位置标明文化行政部门颁发的《网络文化经营许可证》编号或者批准文件编号，未标明国务院信息产业主管部门或者省、自治区、直辖市电信管理机构颁发的经营许可证编号或者备案编号</w:t>
            </w:r>
          </w:p>
        </w:tc>
        <w:tc>
          <w:tcPr>
            <w:tcW w:w="291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1.非经营性互联网文化单位在限期内改正；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2.经营性互联网文化单位在限期内改正；违法情节轻微，未造成危害后果</w:t>
            </w:r>
          </w:p>
        </w:tc>
        <w:tc>
          <w:tcPr>
            <w:tcW w:w="693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1.《互联网文化管理暂行规定》（2011年2月通过， 2017年12月文化部令第57号修订）第十二条、第二十三条；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2.《中华人民共和国行政处罚法》（1996年3月通过，2021年1月修订）第三十三条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10</w:t>
            </w:r>
          </w:p>
        </w:tc>
        <w:tc>
          <w:tcPr>
            <w:tcW w:w="3567"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经营性互联网文化单位变更名称等事项，未自变更之日起20日内到所在地省级文化行政部门办理变更手续的；非经营性互联网文化单位变更名称等事项，未自变更之日起60日内到所在地省级文化行政部门办理备案手续</w:t>
            </w:r>
          </w:p>
        </w:tc>
        <w:tc>
          <w:tcPr>
            <w:tcW w:w="291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1.非经营性互联网文化单位在限期内改正；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2.经营性互联网文化单位首次被发现且违法情节轻微；在限期内办理变更手续或备案；未造成危害后果；没有违法所得</w:t>
            </w:r>
          </w:p>
        </w:tc>
        <w:tc>
          <w:tcPr>
            <w:tcW w:w="693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1.《互联网文化管理暂行规定》（2011年2月通过，2017年12月文化部令第57号修订）第十三条、第二十四条；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2.《中华人民共和国行政处罚法》（1996年3月通过，2021年1月修订）第三十三条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11</w:t>
            </w:r>
          </w:p>
        </w:tc>
        <w:tc>
          <w:tcPr>
            <w:tcW w:w="3567"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经营性互联网文化单位经营进口互联网文化产品未在其显著位置标明文化部批准文号、经营国产互联网文化产品未在其显著位置标明文化部备案编号</w:t>
            </w:r>
          </w:p>
        </w:tc>
        <w:tc>
          <w:tcPr>
            <w:tcW w:w="291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1.首次被发现且违法情节轻微；</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2.在限期内改正；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3.未造成危害后果</w:t>
            </w:r>
          </w:p>
        </w:tc>
        <w:tc>
          <w:tcPr>
            <w:tcW w:w="693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1.《互联网文化管理暂行规定》（2011年2月通过，2017年12月文化部令第57号修订）第二十五条；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2.《中华人民共和国行政处罚法》（1996年3月通过，2021年1月修订）第三十三条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12</w:t>
            </w:r>
          </w:p>
        </w:tc>
        <w:tc>
          <w:tcPr>
            <w:tcW w:w="3567"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经营性互联网文化单位经营国产互联网文化产品逾期未报文化行政部门备案</w:t>
            </w:r>
          </w:p>
        </w:tc>
        <w:tc>
          <w:tcPr>
            <w:tcW w:w="291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1.首次被发现且违法情节轻微；</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2.在限期内改正；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3.未造成危害后果</w:t>
            </w:r>
          </w:p>
        </w:tc>
        <w:tc>
          <w:tcPr>
            <w:tcW w:w="693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1.《互联网文化管理暂行规定》（2011年2月通过，2017年12月文化部令第57号修订）第二十七条；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2.《中华人民共和国行政处罚法》（1996年3月通过，2021年1月修订）第三十三条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13</w:t>
            </w:r>
          </w:p>
        </w:tc>
        <w:tc>
          <w:tcPr>
            <w:tcW w:w="3567"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旅行社和导游人员、领队人员非因不可抗力改变旅游合同安排的行程</w:t>
            </w:r>
          </w:p>
        </w:tc>
        <w:tc>
          <w:tcPr>
            <w:tcW w:w="291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1.旅行社和导游人员、领队人员均为首次被发现且违法情节轻微；</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2.仅调整行程顺序，且未造成危害后果</w:t>
            </w:r>
          </w:p>
        </w:tc>
        <w:tc>
          <w:tcPr>
            <w:tcW w:w="693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1.《旅行社条例》(2009年2月通过，2017年3月国务院令第676号第二次修订)第五十九条；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2.《中华人民共和国行政处罚法》（1996年3月通过，2021年1月修订）第三十三条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14</w:t>
            </w:r>
          </w:p>
        </w:tc>
        <w:tc>
          <w:tcPr>
            <w:tcW w:w="3567"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擅自引进外商投资、设立服务网点未在规定期限内备案，或者旅行社及其分社、服务网点未悬挂旅行社业务经营许可证、备案登记证明</w:t>
            </w:r>
          </w:p>
        </w:tc>
        <w:tc>
          <w:tcPr>
            <w:tcW w:w="291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2.在限期内改正；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3.未造成危害后果</w:t>
            </w:r>
          </w:p>
        </w:tc>
        <w:tc>
          <w:tcPr>
            <w:tcW w:w="693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1.《旅行社条例实施细则》（2009年4月通过，2016年12月国家旅游局令第42号修改）第五十七条；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2.《中华人民共和国行政处罚法》（1996年3月通过，2021年1月修订）第三十三条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15</w:t>
            </w:r>
          </w:p>
        </w:tc>
        <w:tc>
          <w:tcPr>
            <w:tcW w:w="3567"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导游人员进行导游活动时未佩戴导游证的（应当携带电子导游证、佩戴导游身份标识，并开启导游执业相关应用软件）</w:t>
            </w:r>
          </w:p>
        </w:tc>
        <w:tc>
          <w:tcPr>
            <w:tcW w:w="291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2.立即改正；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3.未造成危害后果</w:t>
            </w:r>
          </w:p>
        </w:tc>
        <w:tc>
          <w:tcPr>
            <w:tcW w:w="693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1.《中华人民共和国导游人员管理条例》（1999年5月通过，国务院令第263号）第二十条、第二十一条；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2.《中华人民共和国行政处罚法》（1996年3月通过，2021年1月修订）第三十三条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16</w:t>
            </w:r>
          </w:p>
        </w:tc>
        <w:tc>
          <w:tcPr>
            <w:tcW w:w="3567"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导游未按期报告信息变更情况、未申请变更导游证信息的、更换导游身份标识的、未按规定参加培训</w:t>
            </w:r>
          </w:p>
        </w:tc>
        <w:tc>
          <w:tcPr>
            <w:tcW w:w="291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1.首次被发现且违法情节轻微；</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2.在限期内改正；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3.未造成危害后果</w:t>
            </w:r>
          </w:p>
        </w:tc>
        <w:tc>
          <w:tcPr>
            <w:tcW w:w="693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1.《导游管理办法》（2017年11月通过，国家旅游局令第44号）第三十三条；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2.《中华人民共和国行政处罚法》（1996年3月通过，2021年1月修订）第三十三条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17</w:t>
            </w:r>
          </w:p>
        </w:tc>
        <w:tc>
          <w:tcPr>
            <w:tcW w:w="3567"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旅游经营者未标明其真实名称、经营范围、服务项目、价格或者收费标准</w:t>
            </w:r>
          </w:p>
        </w:tc>
        <w:tc>
          <w:tcPr>
            <w:tcW w:w="291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1.首次被发现且违法情节轻微；</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2.在限期内改正；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3.未造成危害后果；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4.没有违法所得</w:t>
            </w:r>
          </w:p>
        </w:tc>
        <w:tc>
          <w:tcPr>
            <w:tcW w:w="693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1.《山东省旅游条例》（2005年5月通过，2016年11月第二次修订）第六十五条；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2.《中华人民共和国行政处罚法》（1996年3月通过，2021年1月修订）第三十三条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18</w:t>
            </w:r>
          </w:p>
        </w:tc>
        <w:tc>
          <w:tcPr>
            <w:tcW w:w="3567"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旅游经营者向旅游者提供不符合国家规定的旅游产品和服务项目</w:t>
            </w:r>
          </w:p>
        </w:tc>
        <w:tc>
          <w:tcPr>
            <w:tcW w:w="291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1.首次被发现且违法情节轻微；</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2.在限期内改正；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3.未造成危害后果；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4.没有违法所得</w:t>
            </w:r>
          </w:p>
        </w:tc>
        <w:tc>
          <w:tcPr>
            <w:tcW w:w="693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1.《山东省旅游条例》（2005年5月通过，2016年11月第二次修订）第六十五条；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2.《中华人民共和国行政处罚法》（1996年3月通过，2021年1月修订）第三十三条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19</w:t>
            </w:r>
          </w:p>
        </w:tc>
        <w:tc>
          <w:tcPr>
            <w:tcW w:w="3567"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未被评定等级的旅游饭店、旅游景区等旅游经营单位使用或者变相使用等级称谓从事经营活动</w:t>
            </w:r>
          </w:p>
        </w:tc>
        <w:tc>
          <w:tcPr>
            <w:tcW w:w="291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2.在限期内改正；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3.未造成危害后果</w:t>
            </w:r>
          </w:p>
        </w:tc>
        <w:tc>
          <w:tcPr>
            <w:tcW w:w="693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1.《山东省旅游条例》（2005年5月通过，2016年11月第二次修订）第六十六条；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2.《中华人民共和国行政处罚法》（1996年3月通过，2021年1月修订）第三十三条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20</w:t>
            </w:r>
          </w:p>
        </w:tc>
        <w:tc>
          <w:tcPr>
            <w:tcW w:w="3567"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旅行社及其从业人员发现履行辅助人提供的服务不符合法律、法规规定或者存在安全隐患的，未予以制止或者更换履行辅助人</w:t>
            </w:r>
          </w:p>
        </w:tc>
        <w:tc>
          <w:tcPr>
            <w:tcW w:w="291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1.首次被发现且违法情节轻微；</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2.在限期内改正；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3.未造成危害后果</w:t>
            </w:r>
          </w:p>
        </w:tc>
        <w:tc>
          <w:tcPr>
            <w:tcW w:w="693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1.《旅游安全管理办法》（2016年9月通过，国家旅游局令第41号）第十一条、第三十四条；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2.《中华人民共和国行政处罚法》（1996年3月通过，2021年1月修订）第三十三条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21</w:t>
            </w:r>
          </w:p>
        </w:tc>
        <w:tc>
          <w:tcPr>
            <w:tcW w:w="3567"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旅行社组织出境旅游，不按要求制作安全信息卡，未将安全信息卡交由旅游者，或者未告知旅游者相关信息</w:t>
            </w:r>
          </w:p>
        </w:tc>
        <w:tc>
          <w:tcPr>
            <w:tcW w:w="291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1.首次被发现且违法情节轻微；</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2.在限期内改正；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3.未造成危害后果</w:t>
            </w:r>
          </w:p>
        </w:tc>
        <w:tc>
          <w:tcPr>
            <w:tcW w:w="693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1.《旅游安全管理办法》（2016年9月通过，国家旅游局令第41号）第十二条、第三十五条；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2.《中华人民共和国行政处罚法》（1996年3月通过，2021年1月修订）第三十三条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22</w:t>
            </w:r>
          </w:p>
        </w:tc>
        <w:tc>
          <w:tcPr>
            <w:tcW w:w="3567"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文物收藏单位未按照国家有关规定配备防火、防盗、防自然损坏的设施</w:t>
            </w:r>
          </w:p>
        </w:tc>
        <w:tc>
          <w:tcPr>
            <w:tcW w:w="291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2.及时改正；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3.未造成文物损失和其他危害后果；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4.没有违法所得</w:t>
            </w:r>
          </w:p>
        </w:tc>
        <w:tc>
          <w:tcPr>
            <w:tcW w:w="693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1.《中华人民共和国文物保护法》（1982年11月通过，2017年11月修正）第七十条；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2.《中华人民共和国行政处罚法》（1996年3月通过，2021年1月修订）第三十三条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23</w:t>
            </w:r>
          </w:p>
        </w:tc>
        <w:tc>
          <w:tcPr>
            <w:tcW w:w="3567"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国有文物收藏单位法定代表人离任时未按照馆藏文物档案移交馆藏文物，或者所移交的馆藏文物与馆藏文物档案不符</w:t>
            </w:r>
          </w:p>
        </w:tc>
        <w:tc>
          <w:tcPr>
            <w:tcW w:w="291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2.立即移交并与档案相符；</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3.未造成危害后果；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4.没有违法所得</w:t>
            </w:r>
          </w:p>
        </w:tc>
        <w:tc>
          <w:tcPr>
            <w:tcW w:w="693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1.《中华人民共和国文物保护法》（1982年11月通过，2017年11月修正）第七十条；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2.《中华人民共和国行政处罚法》（1996年3月通过，2021年1月修订）第三十三条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2" w:type="dxa"/>
          </w:tcPr>
          <w:p>
            <w:pPr>
              <w:jc w:val="center"/>
              <w:rPr>
                <w:rFonts w:hint="eastAsia" w:ascii="仿宋_GB2312" w:hAnsi="仿宋_GB2312" w:eastAsia="仿宋_GB2312" w:cs="仿宋_GB2312"/>
                <w:sz w:val="24"/>
                <w:szCs w:val="24"/>
                <w:vertAlign w:val="baseline"/>
              </w:rPr>
            </w:pPr>
          </w:p>
        </w:tc>
        <w:tc>
          <w:tcPr>
            <w:tcW w:w="3567"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在长城参观游览区接待游客超过旅游容量指标</w:t>
            </w:r>
          </w:p>
        </w:tc>
        <w:tc>
          <w:tcPr>
            <w:tcW w:w="291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1.首次被发现且违法情节轻微；</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2.及时改正；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3.未造成文物破坏和其他危害后果</w:t>
            </w:r>
          </w:p>
        </w:tc>
        <w:tc>
          <w:tcPr>
            <w:tcW w:w="693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1.《长城保护条例》（2006年10月通过，国务院令第476号）第二十七条；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2.《中华人民共和国行政处罚法》（1996年3月通过，2021年1月修订）第三十三条</w:t>
            </w:r>
          </w:p>
        </w:tc>
      </w:tr>
    </w:tbl>
    <w:p>
      <w:pPr>
        <w:widowControl w:val="0"/>
        <w:numPr>
          <w:numId w:val="0"/>
        </w:numPr>
        <w:jc w:val="center"/>
        <w:rPr>
          <w:rFonts w:hint="eastAsia" w:ascii="黑体" w:hAnsi="宋体" w:eastAsia="黑体" w:cs="黑体"/>
          <w:i w:val="0"/>
          <w:iCs w:val="0"/>
          <w:caps w:val="0"/>
          <w:color w:val="333333"/>
          <w:spacing w:val="0"/>
          <w:kern w:val="0"/>
          <w:sz w:val="24"/>
          <w:szCs w:val="24"/>
          <w:lang w:val="en-US" w:eastAsia="zh-CN" w:bidi="ar"/>
        </w:rPr>
      </w:pPr>
    </w:p>
    <w:p>
      <w:pPr>
        <w:widowControl w:val="0"/>
        <w:numPr>
          <w:numId w:val="0"/>
        </w:numPr>
        <w:jc w:val="both"/>
        <w:rPr>
          <w:rFonts w:hint="eastAsia" w:ascii="黑体" w:hAnsi="宋体" w:eastAsia="黑体" w:cs="黑体"/>
          <w:i w:val="0"/>
          <w:iCs w:val="0"/>
          <w:caps w:val="0"/>
          <w:color w:val="333333"/>
          <w:spacing w:val="0"/>
          <w:kern w:val="0"/>
          <w:sz w:val="21"/>
          <w:szCs w:val="21"/>
          <w:lang w:val="en-US" w:eastAsia="zh-CN" w:bidi="ar"/>
        </w:rPr>
      </w:pPr>
    </w:p>
    <w:p>
      <w:pPr>
        <w:widowControl w:val="0"/>
        <w:numPr>
          <w:ilvl w:val="0"/>
          <w:numId w:val="1"/>
        </w:numPr>
        <w:ind w:left="0" w:leftChars="0" w:firstLine="0" w:firstLineChars="0"/>
        <w:jc w:val="center"/>
        <w:rPr>
          <w:rFonts w:hint="eastAsia" w:ascii="黑体" w:hAnsi="宋体" w:eastAsia="黑体" w:cs="黑体"/>
          <w:i w:val="0"/>
          <w:iCs w:val="0"/>
          <w:caps w:val="0"/>
          <w:color w:val="333333"/>
          <w:spacing w:val="0"/>
          <w:kern w:val="0"/>
          <w:sz w:val="28"/>
          <w:szCs w:val="28"/>
          <w:lang w:val="en-US" w:eastAsia="zh-CN" w:bidi="ar"/>
        </w:rPr>
      </w:pPr>
      <w:r>
        <w:rPr>
          <w:rFonts w:hint="eastAsia" w:ascii="黑体" w:hAnsi="宋体" w:eastAsia="黑体" w:cs="黑体"/>
          <w:i w:val="0"/>
          <w:iCs w:val="0"/>
          <w:caps w:val="0"/>
          <w:color w:val="333333"/>
          <w:spacing w:val="0"/>
          <w:kern w:val="0"/>
          <w:sz w:val="28"/>
          <w:szCs w:val="28"/>
          <w:lang w:val="en-US" w:eastAsia="zh-CN" w:bidi="ar"/>
        </w:rPr>
        <w:t>下列违法行为，符合法定适用条件，依法减轻行政处罚</w:t>
      </w:r>
    </w:p>
    <w:p>
      <w:pPr>
        <w:widowControl w:val="0"/>
        <w:numPr>
          <w:numId w:val="0"/>
        </w:numPr>
        <w:jc w:val="center"/>
        <w:rPr>
          <w:rFonts w:hint="eastAsia" w:ascii="黑体" w:hAnsi="宋体" w:eastAsia="黑体" w:cs="黑体"/>
          <w:i w:val="0"/>
          <w:iCs w:val="0"/>
          <w:caps w:val="0"/>
          <w:color w:val="333333"/>
          <w:spacing w:val="0"/>
          <w:kern w:val="0"/>
          <w:sz w:val="21"/>
          <w:szCs w:val="21"/>
          <w:lang w:val="en-US" w:eastAsia="zh-CN" w:bidi="ar"/>
        </w:rPr>
      </w:pPr>
    </w:p>
    <w:p>
      <w:pPr>
        <w:widowControl w:val="0"/>
        <w:numPr>
          <w:numId w:val="0"/>
        </w:numPr>
        <w:jc w:val="center"/>
        <w:rPr>
          <w:rFonts w:hint="eastAsia" w:ascii="黑体" w:hAnsi="宋体" w:eastAsia="黑体" w:cs="黑体"/>
          <w:i w:val="0"/>
          <w:iCs w:val="0"/>
          <w:caps w:val="0"/>
          <w:color w:val="333333"/>
          <w:spacing w:val="0"/>
          <w:kern w:val="0"/>
          <w:sz w:val="21"/>
          <w:szCs w:val="21"/>
          <w:lang w:val="en-US" w:eastAsia="zh-CN" w:bidi="ar"/>
        </w:rPr>
      </w:pPr>
    </w:p>
    <w:p>
      <w:pPr>
        <w:widowControl w:val="0"/>
        <w:numPr>
          <w:numId w:val="0"/>
        </w:numPr>
        <w:jc w:val="center"/>
        <w:rPr>
          <w:rFonts w:hint="eastAsia" w:ascii="黑体" w:hAnsi="宋体" w:eastAsia="黑体" w:cs="黑体"/>
          <w:i w:val="0"/>
          <w:iCs w:val="0"/>
          <w:caps w:val="0"/>
          <w:color w:val="333333"/>
          <w:spacing w:val="0"/>
          <w:kern w:val="0"/>
          <w:sz w:val="21"/>
          <w:szCs w:val="21"/>
          <w:lang w:val="en-US" w:eastAsia="zh-CN" w:bidi="ar"/>
        </w:rPr>
      </w:pPr>
    </w:p>
    <w:tbl>
      <w:tblPr>
        <w:tblStyle w:val="8"/>
        <w:tblpPr w:leftFromText="180" w:rightFromText="180" w:vertAnchor="page" w:horzAnchor="page" w:tblpX="1352" w:tblpY="279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2"/>
        <w:gridCol w:w="3868"/>
        <w:gridCol w:w="2730"/>
        <w:gridCol w:w="64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2"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黑体" w:hAnsi="黑体" w:eastAsia="黑体" w:cs="黑体"/>
                <w:color w:val="333333"/>
                <w:kern w:val="2"/>
                <w:sz w:val="24"/>
                <w:szCs w:val="24"/>
                <w:lang w:val="en-US" w:eastAsia="zh-CN" w:bidi="ar-SA"/>
              </w:rPr>
            </w:pPr>
            <w:r>
              <w:rPr>
                <w:rFonts w:hint="eastAsia" w:ascii="黑体" w:hAnsi="黑体" w:eastAsia="黑体" w:cs="黑体"/>
                <w:i w:val="0"/>
                <w:iCs w:val="0"/>
                <w:caps w:val="0"/>
                <w:color w:val="333333"/>
                <w:spacing w:val="0"/>
                <w:kern w:val="0"/>
                <w:sz w:val="24"/>
                <w:szCs w:val="24"/>
                <w:lang w:val="en-US" w:eastAsia="zh-CN" w:bidi="ar"/>
              </w:rPr>
              <w:t>序号</w:t>
            </w:r>
          </w:p>
        </w:tc>
        <w:tc>
          <w:tcPr>
            <w:tcW w:w="3868"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黑体" w:hAnsi="黑体" w:eastAsia="黑体" w:cs="黑体"/>
                <w:color w:val="333333"/>
                <w:kern w:val="2"/>
                <w:sz w:val="24"/>
                <w:szCs w:val="24"/>
                <w:lang w:val="en-US" w:eastAsia="zh-CN" w:bidi="ar-SA"/>
              </w:rPr>
            </w:pPr>
            <w:r>
              <w:rPr>
                <w:rFonts w:hint="eastAsia" w:ascii="黑体" w:hAnsi="黑体" w:eastAsia="黑体" w:cs="黑体"/>
                <w:i w:val="0"/>
                <w:iCs w:val="0"/>
                <w:caps w:val="0"/>
                <w:color w:val="333333"/>
                <w:spacing w:val="0"/>
                <w:kern w:val="0"/>
                <w:sz w:val="24"/>
                <w:szCs w:val="24"/>
                <w:lang w:val="en-US" w:eastAsia="zh-CN" w:bidi="ar"/>
              </w:rPr>
              <w:t>违法行为</w:t>
            </w:r>
          </w:p>
        </w:tc>
        <w:tc>
          <w:tcPr>
            <w:tcW w:w="273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黑体" w:hAnsi="黑体" w:eastAsia="黑体" w:cs="黑体"/>
                <w:color w:val="333333"/>
                <w:kern w:val="2"/>
                <w:sz w:val="24"/>
                <w:szCs w:val="24"/>
                <w:lang w:val="en-US" w:eastAsia="zh-CN" w:bidi="ar-SA"/>
              </w:rPr>
            </w:pPr>
            <w:r>
              <w:rPr>
                <w:rFonts w:hint="eastAsia" w:ascii="黑体" w:hAnsi="黑体" w:eastAsia="黑体" w:cs="黑体"/>
                <w:i w:val="0"/>
                <w:iCs w:val="0"/>
                <w:caps w:val="0"/>
                <w:color w:val="333333"/>
                <w:spacing w:val="0"/>
                <w:kern w:val="0"/>
                <w:sz w:val="24"/>
                <w:szCs w:val="24"/>
                <w:lang w:val="en-US" w:eastAsia="zh-CN" w:bidi="ar"/>
              </w:rPr>
              <w:t>适用条件</w:t>
            </w:r>
          </w:p>
        </w:tc>
        <w:tc>
          <w:tcPr>
            <w:tcW w:w="6494"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黑体" w:hAnsi="黑体" w:eastAsia="黑体" w:cs="黑体"/>
                <w:color w:val="333333"/>
                <w:kern w:val="2"/>
                <w:sz w:val="24"/>
                <w:szCs w:val="24"/>
                <w:lang w:val="en-US" w:eastAsia="zh-CN" w:bidi="ar-SA"/>
              </w:rPr>
            </w:pPr>
            <w:r>
              <w:rPr>
                <w:rFonts w:hint="eastAsia" w:ascii="黑体" w:hAnsi="黑体" w:eastAsia="黑体" w:cs="黑体"/>
                <w:i w:val="0"/>
                <w:iCs w:val="0"/>
                <w:caps w:val="0"/>
                <w:color w:val="333333"/>
                <w:spacing w:val="0"/>
                <w:kern w:val="0"/>
                <w:sz w:val="24"/>
                <w:szCs w:val="24"/>
                <w:lang w:val="en-US" w:eastAsia="zh-CN" w:bidi="ar"/>
              </w:rPr>
              <w:t>法定依据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2"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24</w:t>
            </w:r>
          </w:p>
        </w:tc>
        <w:tc>
          <w:tcPr>
            <w:tcW w:w="3868"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艺术考级机构组织艺术考级活动前未向社会发布考级简章或考级简章内容不符合规定</w:t>
            </w:r>
          </w:p>
        </w:tc>
        <w:tc>
          <w:tcPr>
            <w:tcW w:w="273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2.已发布考级简章但考级简章内容不符合规定；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3.积极主动整改，消除或者减轻危害后果</w:t>
            </w:r>
          </w:p>
        </w:tc>
        <w:tc>
          <w:tcPr>
            <w:tcW w:w="6494"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1.《社会艺术水平考级管理办法》（2004年7月通过，2017年12月文化部令第57号修订）第二十五条；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2.《中华人民共和国行政处罚法》（1996年3月通过，2021年1月修订）第三十二条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2"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25</w:t>
            </w:r>
          </w:p>
        </w:tc>
        <w:tc>
          <w:tcPr>
            <w:tcW w:w="3868"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艺术考级机构未按规定将承办单位的基本情况和合作协议备案</w:t>
            </w:r>
          </w:p>
        </w:tc>
        <w:tc>
          <w:tcPr>
            <w:tcW w:w="273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2.积极主动整改，消除或者减轻危害后果</w:t>
            </w:r>
          </w:p>
        </w:tc>
        <w:tc>
          <w:tcPr>
            <w:tcW w:w="6494"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1.《社会艺术水平考级管理办法》（2004年7月通过，2017年12月文化部令第57号修订）第二十五条；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2.《中华人民共和国行政处罚法》（1996年3月通过，2021年1月修订）第三十二条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2"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color w:val="333333"/>
                <w:kern w:val="2"/>
                <w:sz w:val="24"/>
                <w:szCs w:val="24"/>
                <w:lang w:val="en-US" w:eastAsia="zh-CN" w:bidi="ar-SA"/>
              </w:rPr>
              <w:t>26</w:t>
            </w:r>
          </w:p>
        </w:tc>
        <w:tc>
          <w:tcPr>
            <w:tcW w:w="3868"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艺术考级机构组织艺术考级活动未按规定将考级简章、考级时间、考级地点、考生数量、考场安排、考官名单等情况备案</w:t>
            </w:r>
          </w:p>
        </w:tc>
        <w:tc>
          <w:tcPr>
            <w:tcW w:w="273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2.积极主动整改，消除或者减轻危害后果</w:t>
            </w:r>
          </w:p>
        </w:tc>
        <w:tc>
          <w:tcPr>
            <w:tcW w:w="6494"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1.《社会艺术水平考级管理办法》（2004年7月通过，2017年12月文化部令第57号修订）第二十五条；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2.《中华人民共和国行政处罚法》（1996年3月通过，2021年1月修订）第三十二条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2"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27</w:t>
            </w:r>
          </w:p>
        </w:tc>
        <w:tc>
          <w:tcPr>
            <w:tcW w:w="3868"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艺术考级机构艺术考级活动结束后未按规定报送考级结果</w:t>
            </w:r>
          </w:p>
        </w:tc>
        <w:tc>
          <w:tcPr>
            <w:tcW w:w="273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2.积极主动整改，消除或者减轻危害后果</w:t>
            </w:r>
          </w:p>
        </w:tc>
        <w:tc>
          <w:tcPr>
            <w:tcW w:w="6494"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1.《社会艺术水平考级管理办法》（2004年7月通过，2017年12月文化部令第57号修订）第二十五条；2.《中华人民共和国行政处罚法》（1996年3月通过，2021年1月修订）第三十二条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2"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28</w:t>
            </w:r>
          </w:p>
        </w:tc>
        <w:tc>
          <w:tcPr>
            <w:tcW w:w="3868"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艺术考级机构主要负责人、办公地点有变动未按规定向审批机关备案</w:t>
            </w:r>
          </w:p>
        </w:tc>
        <w:tc>
          <w:tcPr>
            <w:tcW w:w="273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2.积极主动整改，消除或者减轻危害后果</w:t>
            </w:r>
          </w:p>
        </w:tc>
        <w:tc>
          <w:tcPr>
            <w:tcW w:w="6494"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1.《社会艺术水平考级管理办法》（2004年7月通过，2017年12月文化部令第57号修订）第二十五条；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45"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2.《中华人民共和国行政处罚法》（1996年3月通过，2021年1月修订）第三十二条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2"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29</w:t>
            </w:r>
          </w:p>
        </w:tc>
        <w:tc>
          <w:tcPr>
            <w:tcW w:w="3868"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导游、领队向旅游者索取小费</w:t>
            </w:r>
          </w:p>
        </w:tc>
        <w:tc>
          <w:tcPr>
            <w:tcW w:w="273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2.索取金额为二百元/人以下且总额不超过二千元，并立即退还</w:t>
            </w:r>
          </w:p>
        </w:tc>
        <w:tc>
          <w:tcPr>
            <w:tcW w:w="6494"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1.《中华人民共和国旅游法》（2013年4月通过,2018年10月第二次修正）第一百零二条；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2.《中华人民共和国行政处罚法》（1996年3月通过，2021年1月修订）第三十二条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2"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30</w:t>
            </w:r>
          </w:p>
        </w:tc>
        <w:tc>
          <w:tcPr>
            <w:tcW w:w="3868"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与旅游者签订的旅游合同未载明《旅行社条例》第二十八条规定的事项</w:t>
            </w:r>
          </w:p>
        </w:tc>
        <w:tc>
          <w:tcPr>
            <w:tcW w:w="273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2.未载明事项为2项以下；</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3.未因未载明此事项造成危害后果；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4.积极主动整改，消除或者减轻危害后果</w:t>
            </w:r>
          </w:p>
        </w:tc>
        <w:tc>
          <w:tcPr>
            <w:tcW w:w="6494"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1.《旅行社条例》(2009年2月通过，2017年3月国务院令第676号第二次修订)第五十五条；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2.《中华人民共和国行政处罚法》（1996年3月通过，2021年1月修订）第三十二条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2"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31</w:t>
            </w:r>
          </w:p>
        </w:tc>
        <w:tc>
          <w:tcPr>
            <w:tcW w:w="3868"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旅行社违反旅游合同约定，造成旅游者合法权益受到损害，不采取必要的补救措施</w:t>
            </w:r>
          </w:p>
        </w:tc>
        <w:tc>
          <w:tcPr>
            <w:tcW w:w="273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2.仅造成旅游者财产权益受到轻微损害；</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3.立即退还费用</w:t>
            </w:r>
          </w:p>
        </w:tc>
        <w:tc>
          <w:tcPr>
            <w:tcW w:w="6494"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1.《旅行社条例》(2009年2月通过，2017年3月国务院令第676号第二次修订)第六十一条；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2.《中华人民共和国行政处罚法》（1996年3月通过，2021年1月修订）第三十二条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2"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32</w:t>
            </w:r>
          </w:p>
        </w:tc>
        <w:tc>
          <w:tcPr>
            <w:tcW w:w="3868"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未经批准进行文物征集活动</w:t>
            </w:r>
          </w:p>
        </w:tc>
        <w:tc>
          <w:tcPr>
            <w:tcW w:w="273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1.首次被发现；</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2.征集文物十件以下；</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3.未征集被盗等涉案文物；</w:t>
            </w:r>
          </w:p>
          <w:p>
            <w:pPr>
              <w:widowControl w:val="0"/>
              <w:numPr>
                <w:ilvl w:val="0"/>
                <w:numId w:val="0"/>
              </w:numPr>
              <w:jc w:val="center"/>
              <w:rPr>
                <w:rFonts w:hint="default" w:ascii="黑体" w:hAnsi="宋体" w:eastAsia="黑体" w:cs="黑体"/>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4.积极配合行政机关提供非法征集文物的证据，有立功</w:t>
            </w:r>
            <w:r>
              <w:rPr>
                <w:rFonts w:hint="eastAsia" w:ascii="黑体" w:hAnsi="宋体" w:eastAsia="黑体" w:cs="黑体"/>
                <w:i w:val="0"/>
                <w:iCs w:val="0"/>
                <w:caps w:val="0"/>
                <w:color w:val="333333"/>
                <w:spacing w:val="0"/>
                <w:kern w:val="0"/>
                <w:sz w:val="24"/>
                <w:szCs w:val="24"/>
                <w:lang w:val="en-US" w:eastAsia="zh-CN" w:bidi="ar"/>
              </w:rPr>
              <w:t>、</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表现</w:t>
            </w:r>
          </w:p>
        </w:tc>
        <w:tc>
          <w:tcPr>
            <w:tcW w:w="6494"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333333"/>
                <w:spacing w:val="0"/>
                <w:kern w:val="0"/>
                <w:sz w:val="24"/>
                <w:szCs w:val="24"/>
                <w:lang w:val="en-US" w:eastAsia="zh-CN" w:bidi="ar"/>
              </w:rPr>
              <w:t>1.《山东省文物保护条例》（2010年9月通过，2016年3月修正）第五十八条；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2.《中华人民共和国行政处罚法》（1996年3月通过，2021年1月修订）第三十二条</w:t>
            </w:r>
          </w:p>
        </w:tc>
      </w:tr>
    </w:tbl>
    <w:p>
      <w:pPr>
        <w:widowControl w:val="0"/>
        <w:numPr>
          <w:numId w:val="0"/>
        </w:numPr>
        <w:jc w:val="center"/>
        <w:rPr>
          <w:rFonts w:hint="eastAsia" w:ascii="黑体" w:hAnsi="宋体" w:eastAsia="黑体" w:cs="黑体"/>
          <w:i w:val="0"/>
          <w:iCs w:val="0"/>
          <w:caps w:val="0"/>
          <w:color w:val="333333"/>
          <w:spacing w:val="0"/>
          <w:kern w:val="0"/>
          <w:sz w:val="24"/>
          <w:szCs w:val="24"/>
          <w:lang w:val="en-US" w:eastAsia="zh-CN" w:bidi="ar"/>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ilvl w:val="0"/>
          <w:numId w:val="0"/>
        </w:numPr>
        <w:jc w:val="center"/>
        <w:rPr>
          <w:rFonts w:hint="eastAsia" w:ascii="黑体" w:hAnsi="宋体" w:eastAsia="黑体" w:cs="黑体"/>
          <w:i w:val="0"/>
          <w:iCs w:val="0"/>
          <w:caps w:val="0"/>
          <w:color w:val="333333"/>
          <w:spacing w:val="0"/>
          <w:kern w:val="0"/>
          <w:sz w:val="28"/>
          <w:szCs w:val="28"/>
          <w:lang w:val="en-US" w:eastAsia="zh-CN" w:bidi="ar"/>
        </w:rPr>
      </w:pPr>
      <w:r>
        <w:rPr>
          <w:rFonts w:hint="eastAsia" w:ascii="黑体" w:hAnsi="宋体" w:eastAsia="黑体" w:cs="黑体"/>
          <w:i w:val="0"/>
          <w:iCs w:val="0"/>
          <w:caps w:val="0"/>
          <w:color w:val="000000"/>
          <w:spacing w:val="0"/>
          <w:sz w:val="28"/>
          <w:szCs w:val="28"/>
          <w:shd w:val="clear" w:fill="FFFFFF"/>
          <w:lang w:val="en-US" w:eastAsia="zh-CN"/>
        </w:rPr>
        <w:t>四、</w:t>
      </w:r>
      <w:r>
        <w:rPr>
          <w:rFonts w:ascii="黑体" w:hAnsi="宋体" w:eastAsia="黑体" w:cs="黑体"/>
          <w:i w:val="0"/>
          <w:iCs w:val="0"/>
          <w:caps w:val="0"/>
          <w:color w:val="000000"/>
          <w:spacing w:val="0"/>
          <w:sz w:val="28"/>
          <w:szCs w:val="28"/>
          <w:shd w:val="clear" w:fill="FFFFFF"/>
        </w:rPr>
        <w:t>轻微违法行为首次不予行政处罚新增事项清单</w:t>
      </w: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p>
      <w:pPr>
        <w:widowControl w:val="0"/>
        <w:numPr>
          <w:numId w:val="0"/>
        </w:numPr>
        <w:jc w:val="center"/>
        <w:rPr>
          <w:rFonts w:hint="eastAsia" w:ascii="黑体" w:hAnsi="宋体" w:eastAsia="黑体" w:cs="黑体"/>
          <w:i w:val="0"/>
          <w:iCs w:val="0"/>
          <w:caps w:val="0"/>
          <w:color w:val="000000"/>
          <w:spacing w:val="0"/>
          <w:sz w:val="21"/>
          <w:szCs w:val="21"/>
          <w:shd w:val="clear" w:fill="FFFFFF"/>
          <w:lang w:val="en-US" w:eastAsia="zh-CN"/>
        </w:rPr>
      </w:pPr>
    </w:p>
    <w:tbl>
      <w:tblPr>
        <w:tblStyle w:val="8"/>
        <w:tblpPr w:leftFromText="180" w:rightFromText="180" w:vertAnchor="page" w:horzAnchor="page" w:tblpX="1792" w:tblpY="279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5"/>
        <w:gridCol w:w="3390"/>
        <w:gridCol w:w="2955"/>
        <w:gridCol w:w="69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trPr>
        <w:tc>
          <w:tcPr>
            <w:tcW w:w="925" w:type="dxa"/>
            <w:vAlign w:val="top"/>
          </w:tcPr>
          <w:p>
            <w:pPr>
              <w:jc w:val="center"/>
              <w:rPr>
                <w:rFonts w:hint="eastAsia" w:ascii="黑体" w:hAnsi="黑体" w:eastAsia="黑体" w:cs="黑体"/>
                <w:sz w:val="24"/>
                <w:szCs w:val="24"/>
                <w:vertAlign w:val="baseline"/>
                <w:lang w:val="en-US" w:eastAsia="zh-CN"/>
              </w:rPr>
            </w:pPr>
          </w:p>
          <w:p>
            <w:pPr>
              <w:jc w:val="center"/>
              <w:rPr>
                <w:rFonts w:hint="eastAsia" w:ascii="黑体" w:hAnsi="黑体" w:eastAsia="黑体" w:cs="黑体"/>
                <w:color w:val="333333"/>
                <w:kern w:val="2"/>
                <w:sz w:val="24"/>
                <w:szCs w:val="24"/>
                <w:lang w:val="en-US" w:eastAsia="zh-CN" w:bidi="ar-SA"/>
              </w:rPr>
            </w:pPr>
            <w:r>
              <w:rPr>
                <w:rFonts w:hint="eastAsia" w:ascii="黑体" w:hAnsi="黑体" w:eastAsia="黑体" w:cs="黑体"/>
                <w:sz w:val="24"/>
                <w:szCs w:val="24"/>
                <w:vertAlign w:val="baseline"/>
                <w:lang w:val="en-US" w:eastAsia="zh-CN"/>
              </w:rPr>
              <w:t>序号</w:t>
            </w:r>
          </w:p>
        </w:tc>
        <w:tc>
          <w:tcPr>
            <w:tcW w:w="339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黑体" w:hAnsi="黑体" w:eastAsia="黑体" w:cs="黑体"/>
                <w:color w:val="333333"/>
                <w:kern w:val="2"/>
                <w:sz w:val="24"/>
                <w:szCs w:val="24"/>
                <w:lang w:val="en-US" w:eastAsia="zh-CN" w:bidi="ar-SA"/>
              </w:rPr>
            </w:pPr>
            <w:r>
              <w:rPr>
                <w:rFonts w:hint="eastAsia" w:ascii="黑体" w:hAnsi="黑体" w:eastAsia="黑体" w:cs="黑体"/>
                <w:i w:val="0"/>
                <w:iCs w:val="0"/>
                <w:caps w:val="0"/>
                <w:color w:val="333333"/>
                <w:spacing w:val="0"/>
                <w:kern w:val="0"/>
                <w:sz w:val="24"/>
                <w:szCs w:val="24"/>
                <w:lang w:val="en-US" w:eastAsia="zh-CN" w:bidi="ar"/>
              </w:rPr>
              <w:t>违法行为</w:t>
            </w:r>
          </w:p>
        </w:tc>
        <w:tc>
          <w:tcPr>
            <w:tcW w:w="295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黑体" w:hAnsi="黑体" w:eastAsia="黑体" w:cs="黑体"/>
                <w:color w:val="333333"/>
                <w:kern w:val="2"/>
                <w:sz w:val="24"/>
                <w:szCs w:val="24"/>
                <w:lang w:val="en-US" w:eastAsia="zh-CN" w:bidi="ar-SA"/>
              </w:rPr>
            </w:pPr>
            <w:r>
              <w:rPr>
                <w:rFonts w:hint="eastAsia" w:ascii="黑体" w:hAnsi="黑体" w:eastAsia="黑体" w:cs="黑体"/>
                <w:i w:val="0"/>
                <w:iCs w:val="0"/>
                <w:caps w:val="0"/>
                <w:color w:val="333333"/>
                <w:spacing w:val="0"/>
                <w:kern w:val="0"/>
                <w:sz w:val="24"/>
                <w:szCs w:val="24"/>
                <w:lang w:val="en-US" w:eastAsia="zh-CN" w:bidi="ar"/>
              </w:rPr>
              <w:t>适用条件</w:t>
            </w:r>
          </w:p>
        </w:tc>
        <w:tc>
          <w:tcPr>
            <w:tcW w:w="6904"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黑体" w:hAnsi="黑体" w:eastAsia="黑体" w:cs="黑体"/>
                <w:color w:val="333333"/>
                <w:kern w:val="2"/>
                <w:sz w:val="24"/>
                <w:szCs w:val="24"/>
                <w:lang w:val="en-US" w:eastAsia="zh-CN" w:bidi="ar-SA"/>
              </w:rPr>
            </w:pPr>
            <w:r>
              <w:rPr>
                <w:rFonts w:hint="eastAsia" w:ascii="黑体" w:hAnsi="黑体" w:eastAsia="黑体" w:cs="黑体"/>
                <w:i w:val="0"/>
                <w:iCs w:val="0"/>
                <w:caps w:val="0"/>
                <w:color w:val="333333"/>
                <w:spacing w:val="0"/>
                <w:kern w:val="0"/>
                <w:sz w:val="24"/>
                <w:szCs w:val="24"/>
                <w:lang w:val="en-US" w:eastAsia="zh-CN" w:bidi="ar"/>
              </w:rPr>
              <w:t>法定依据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000000"/>
                <w:spacing w:val="0"/>
                <w:kern w:val="0"/>
                <w:sz w:val="24"/>
                <w:szCs w:val="24"/>
                <w:lang w:val="en-US" w:eastAsia="zh-CN" w:bidi="ar"/>
              </w:rPr>
              <w:t>33</w:t>
            </w:r>
          </w:p>
        </w:tc>
        <w:tc>
          <w:tcPr>
            <w:tcW w:w="339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000000"/>
                <w:spacing w:val="0"/>
                <w:kern w:val="0"/>
                <w:sz w:val="24"/>
                <w:szCs w:val="24"/>
                <w:lang w:val="en-US" w:eastAsia="zh-CN" w:bidi="ar"/>
              </w:rPr>
              <w:t>设立从事艺术品经营活动的经营单位未到其住所地县级以上人民政府文化行政部门备案</w:t>
            </w:r>
          </w:p>
        </w:tc>
        <w:tc>
          <w:tcPr>
            <w:tcW w:w="295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000000"/>
                <w:spacing w:val="0"/>
                <w:kern w:val="0"/>
                <w:sz w:val="24"/>
                <w:szCs w:val="24"/>
                <w:lang w:val="en-US" w:eastAsia="zh-CN" w:bidi="ar"/>
              </w:rPr>
              <w:t>未办理备案手续</w:t>
            </w:r>
          </w:p>
        </w:tc>
        <w:tc>
          <w:tcPr>
            <w:tcW w:w="6904"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center"/>
              <w:textAlignment w:val="center"/>
              <w:rPr>
                <w:rFonts w:hint="eastAsia" w:ascii="仿宋_GB2312" w:hAnsi="仿宋_GB2312" w:eastAsia="仿宋_GB2312" w:cs="仿宋_GB2312"/>
                <w:color w:val="333333"/>
                <w:sz w:val="24"/>
                <w:szCs w:val="24"/>
              </w:rPr>
            </w:pPr>
            <w:r>
              <w:rPr>
                <w:rFonts w:hint="eastAsia" w:ascii="仿宋_GB2312" w:hAnsi="仿宋_GB2312" w:eastAsia="仿宋_GB2312" w:cs="仿宋_GB2312"/>
                <w:i w:val="0"/>
                <w:iCs w:val="0"/>
                <w:caps w:val="0"/>
                <w:color w:val="000000"/>
                <w:spacing w:val="0"/>
                <w:kern w:val="0"/>
                <w:sz w:val="24"/>
                <w:szCs w:val="24"/>
                <w:lang w:val="en-US" w:eastAsia="zh-CN" w:bidi="ar"/>
              </w:rPr>
              <w:t>1.《艺术品经营管理办法</w:t>
            </w:r>
            <w:r>
              <w:rPr>
                <w:rFonts w:hint="eastAsia" w:ascii="仿宋_GB2312" w:hAnsi="仿宋_GB2312" w:eastAsia="仿宋_GB2312" w:cs="仿宋_GB2312"/>
                <w:i w:val="0"/>
                <w:iCs w:val="0"/>
                <w:caps w:val="0"/>
                <w:color w:val="333333"/>
                <w:spacing w:val="0"/>
                <w:kern w:val="0"/>
                <w:sz w:val="24"/>
                <w:szCs w:val="24"/>
                <w:lang w:val="en-US" w:eastAsia="zh-CN" w:bidi="ar"/>
              </w:rPr>
              <w:t>》（2015年12月文化部令第56号通过）第五条、第十九条；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color w:val="333333"/>
                <w:kern w:val="2"/>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lang w:val="en-US" w:eastAsia="zh-CN" w:bidi="ar"/>
              </w:rPr>
              <w:t>2.《山东省人民政府办公厅关于贯彻国办发〔2017〕41号文件推进“多证合一”改革的实施意见》（鲁政办发〔2017〕61号，2017年9月发布）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kern w:val="0"/>
                <w:sz w:val="24"/>
                <w:szCs w:val="24"/>
                <w:lang w:val="en-US" w:eastAsia="zh-CN" w:bidi="ar"/>
              </w:rPr>
              <w:t>34</w:t>
            </w:r>
          </w:p>
        </w:tc>
        <w:tc>
          <w:tcPr>
            <w:tcW w:w="339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kern w:val="0"/>
                <w:sz w:val="24"/>
                <w:szCs w:val="24"/>
                <w:lang w:val="en-US" w:eastAsia="zh-CN" w:bidi="ar"/>
              </w:rPr>
              <w:t>互联网上网服务营业场所经营单位变更名称、法定代表人或者主要负责人、注册资本未向文化行政部门办理有关手续或者备案</w:t>
            </w:r>
          </w:p>
        </w:tc>
        <w:tc>
          <w:tcPr>
            <w:tcW w:w="295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未办理备案手续</w:t>
            </w:r>
          </w:p>
        </w:tc>
        <w:tc>
          <w:tcPr>
            <w:tcW w:w="6904"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1.《互联网上网服务营业场所管理条例》（2002年9月国务院令第363号公布通过，2019年3月第三次修订）第十三条、第三十二条；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2.《山东省人民政府办公厅关于贯彻国办发〔2017〕41号文件推进“多证合一”改革的实施意见》（鲁政办发〔2017〕61号，2017年9月发布）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kern w:val="0"/>
                <w:sz w:val="24"/>
                <w:szCs w:val="24"/>
                <w:lang w:val="en-US" w:eastAsia="zh-CN" w:bidi="ar"/>
              </w:rPr>
              <w:t>35</w:t>
            </w:r>
          </w:p>
        </w:tc>
        <w:tc>
          <w:tcPr>
            <w:tcW w:w="339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kern w:val="0"/>
                <w:sz w:val="24"/>
                <w:szCs w:val="24"/>
                <w:lang w:val="en-US" w:eastAsia="zh-CN" w:bidi="ar"/>
              </w:rPr>
              <w:t>互联网上网服务营业场所经营单位注销登记未到文化行政部门办理有关手续或者备案</w:t>
            </w:r>
          </w:p>
        </w:tc>
        <w:tc>
          <w:tcPr>
            <w:tcW w:w="295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未办理备案手续</w:t>
            </w:r>
          </w:p>
        </w:tc>
        <w:tc>
          <w:tcPr>
            <w:tcW w:w="6904"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1.《互联网上网服务营业场所管理条例》（2002年8月通过，2019年3月第三次修订）第十三条、第三十二条；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2.《山东省人民政府办公厅关于贯彻国办发〔2017〕41号文件推进“多证合一”改革的实施意见》（鲁政办发〔2017〕61号，2017年9月发布）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kern w:val="0"/>
                <w:sz w:val="24"/>
                <w:szCs w:val="24"/>
                <w:lang w:val="en-US" w:eastAsia="zh-CN" w:bidi="ar"/>
              </w:rPr>
              <w:t>36</w:t>
            </w:r>
          </w:p>
        </w:tc>
        <w:tc>
          <w:tcPr>
            <w:tcW w:w="339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单位、个人从事设立出版物出租业务应按规定进行备案而未备案</w:t>
            </w:r>
          </w:p>
        </w:tc>
        <w:tc>
          <w:tcPr>
            <w:tcW w:w="295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未办理备案手续</w:t>
            </w:r>
          </w:p>
        </w:tc>
        <w:tc>
          <w:tcPr>
            <w:tcW w:w="6904"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1.《出版物市场管理规定》（2016年4月国家新闻出版广电总局、中华人民共和国商务部令第10号通过）第十三条、第三十七条第十一项；</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2.《山东省人民政府办公厅关于贯彻国办发〔2017〕41号文件推进“多证合一”改革的实施意见》（鲁政办发〔2017〕61号，2017年9月发布）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kern w:val="0"/>
                <w:sz w:val="24"/>
                <w:szCs w:val="24"/>
                <w:lang w:val="en-US" w:eastAsia="zh-CN" w:bidi="ar"/>
              </w:rPr>
              <w:t>37</w:t>
            </w:r>
          </w:p>
        </w:tc>
        <w:tc>
          <w:tcPr>
            <w:tcW w:w="339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音像制品零售单位变更地址、法定代表人或者主要负责人未依照规定办理备案手续</w:t>
            </w:r>
          </w:p>
        </w:tc>
        <w:tc>
          <w:tcPr>
            <w:tcW w:w="295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未办理备案手续</w:t>
            </w:r>
          </w:p>
        </w:tc>
        <w:tc>
          <w:tcPr>
            <w:tcW w:w="6904"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1.《互联网文化管理暂行规定》（2011年2月文化部令第57号通过，2017年11月修订）第十三条、第二十四条第二款；</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2.《中华人民共和国行政处罚法》（1996年3月通过，2017年9月第二次修正）第二十七条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kern w:val="0"/>
                <w:sz w:val="24"/>
                <w:szCs w:val="24"/>
                <w:lang w:val="en-US" w:eastAsia="zh-CN" w:bidi="ar"/>
              </w:rPr>
              <w:t>38</w:t>
            </w:r>
          </w:p>
        </w:tc>
        <w:tc>
          <w:tcPr>
            <w:tcW w:w="339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非经营性互联网文化单位变更名称、地址、法定代表人或者主要负责人、业务范围的，未自变更之日起60日内到所在地省、自治区、直辖市人民政府文化行政部门办理备案手续</w:t>
            </w:r>
          </w:p>
        </w:tc>
        <w:tc>
          <w:tcPr>
            <w:tcW w:w="295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限期内改正</w:t>
            </w:r>
          </w:p>
        </w:tc>
        <w:tc>
          <w:tcPr>
            <w:tcW w:w="6904"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1.《互联网文化管理暂行规定》（2011年2月文化部令第57号通过，2017年11月修订）第十三条、第二十四条第二款；</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2.《中华人民共和国行政处罚法》（1996年3月通过，2017年9月第二次修正）第二十七条</w:t>
            </w:r>
          </w:p>
        </w:tc>
      </w:tr>
    </w:tbl>
    <w:p>
      <w:pPr>
        <w:widowControl w:val="0"/>
        <w:numPr>
          <w:numId w:val="0"/>
        </w:numPr>
        <w:jc w:val="center"/>
        <w:rPr>
          <w:rFonts w:hint="eastAsia" w:ascii="黑体" w:hAnsi="宋体" w:eastAsia="黑体" w:cs="黑体"/>
          <w:i w:val="0"/>
          <w:iCs w:val="0"/>
          <w:caps w:val="0"/>
          <w:color w:val="333333"/>
          <w:spacing w:val="0"/>
          <w:kern w:val="0"/>
          <w:sz w:val="24"/>
          <w:szCs w:val="24"/>
          <w:lang w:val="en-US" w:eastAsia="zh-CN" w:bidi="ar"/>
        </w:rPr>
      </w:pPr>
    </w:p>
    <w:p>
      <w:pPr>
        <w:widowControl w:val="0"/>
        <w:numPr>
          <w:numId w:val="0"/>
        </w:numPr>
        <w:jc w:val="center"/>
        <w:rPr>
          <w:rFonts w:hint="eastAsia" w:ascii="黑体" w:hAnsi="宋体" w:eastAsia="黑体" w:cs="黑体"/>
          <w:i w:val="0"/>
          <w:iCs w:val="0"/>
          <w:caps w:val="0"/>
          <w:color w:val="333333"/>
          <w:spacing w:val="0"/>
          <w:kern w:val="0"/>
          <w:sz w:val="21"/>
          <w:szCs w:val="21"/>
          <w:lang w:val="en-US" w:eastAsia="zh-CN" w:bidi="ar"/>
        </w:rPr>
      </w:pPr>
    </w:p>
    <w:p>
      <w:pPr>
        <w:widowControl w:val="0"/>
        <w:numPr>
          <w:ilvl w:val="0"/>
          <w:numId w:val="0"/>
        </w:numPr>
        <w:jc w:val="center"/>
        <w:rPr>
          <w:rFonts w:hint="eastAsia" w:ascii="黑体" w:hAnsi="宋体" w:eastAsia="黑体" w:cs="黑体"/>
          <w:i w:val="0"/>
          <w:iCs w:val="0"/>
          <w:caps w:val="0"/>
          <w:color w:val="333333"/>
          <w:spacing w:val="0"/>
          <w:kern w:val="0"/>
          <w:sz w:val="28"/>
          <w:szCs w:val="28"/>
          <w:lang w:val="en-US" w:eastAsia="zh-CN" w:bidi="ar"/>
        </w:rPr>
      </w:pPr>
    </w:p>
    <w:p>
      <w:pPr>
        <w:widowControl w:val="0"/>
        <w:numPr>
          <w:numId w:val="0"/>
        </w:numPr>
        <w:jc w:val="center"/>
        <w:rPr>
          <w:rFonts w:hint="default" w:ascii="黑体" w:hAnsi="宋体" w:eastAsia="黑体" w:cs="黑体"/>
          <w:i w:val="0"/>
          <w:iCs w:val="0"/>
          <w:caps w:val="0"/>
          <w:color w:val="333333"/>
          <w:spacing w:val="0"/>
          <w:kern w:val="0"/>
          <w:sz w:val="21"/>
          <w:szCs w:val="21"/>
          <w:lang w:val="en-US" w:eastAsia="zh-CN" w:bidi="ar"/>
        </w:rPr>
      </w:pPr>
    </w:p>
    <w:p>
      <w:pPr>
        <w:widowControl w:val="0"/>
        <w:numPr>
          <w:numId w:val="0"/>
        </w:numPr>
        <w:jc w:val="center"/>
        <w:rPr>
          <w:rFonts w:hint="default" w:ascii="黑体" w:hAnsi="宋体" w:eastAsia="黑体" w:cs="黑体"/>
          <w:i w:val="0"/>
          <w:iCs w:val="0"/>
          <w:caps w:val="0"/>
          <w:color w:val="333333"/>
          <w:spacing w:val="0"/>
          <w:kern w:val="0"/>
          <w:sz w:val="21"/>
          <w:szCs w:val="21"/>
          <w:lang w:val="en-US" w:eastAsia="zh-CN" w:bidi="ar"/>
        </w:rPr>
      </w:pPr>
    </w:p>
    <w:p>
      <w:pPr>
        <w:widowControl w:val="0"/>
        <w:numPr>
          <w:numId w:val="0"/>
        </w:numPr>
        <w:jc w:val="center"/>
        <w:rPr>
          <w:rFonts w:hint="default" w:ascii="黑体" w:hAnsi="宋体" w:eastAsia="黑体" w:cs="黑体"/>
          <w:i w:val="0"/>
          <w:iCs w:val="0"/>
          <w:caps w:val="0"/>
          <w:color w:val="333333"/>
          <w:spacing w:val="0"/>
          <w:kern w:val="0"/>
          <w:sz w:val="21"/>
          <w:szCs w:val="21"/>
          <w:lang w:val="en-US" w:eastAsia="zh-CN" w:bidi="ar"/>
        </w:rPr>
      </w:pPr>
    </w:p>
    <w:p>
      <w:pPr>
        <w:widowControl w:val="0"/>
        <w:numPr>
          <w:numId w:val="0"/>
        </w:numPr>
        <w:jc w:val="center"/>
        <w:rPr>
          <w:rFonts w:hint="default" w:ascii="黑体" w:hAnsi="宋体" w:eastAsia="黑体" w:cs="黑体"/>
          <w:i w:val="0"/>
          <w:iCs w:val="0"/>
          <w:caps w:val="0"/>
          <w:color w:val="333333"/>
          <w:spacing w:val="0"/>
          <w:kern w:val="0"/>
          <w:sz w:val="21"/>
          <w:szCs w:val="21"/>
          <w:lang w:val="en-US" w:eastAsia="zh-CN" w:bidi="ar"/>
        </w:rPr>
      </w:pPr>
    </w:p>
    <w:p>
      <w:pPr>
        <w:widowControl w:val="0"/>
        <w:numPr>
          <w:numId w:val="0"/>
        </w:numPr>
        <w:jc w:val="center"/>
        <w:rPr>
          <w:rFonts w:hint="default" w:ascii="黑体" w:hAnsi="宋体" w:eastAsia="黑体" w:cs="黑体"/>
          <w:i w:val="0"/>
          <w:iCs w:val="0"/>
          <w:caps w:val="0"/>
          <w:color w:val="333333"/>
          <w:spacing w:val="0"/>
          <w:kern w:val="0"/>
          <w:sz w:val="21"/>
          <w:szCs w:val="21"/>
          <w:lang w:val="en-US" w:eastAsia="zh-CN" w:bidi="ar"/>
        </w:rPr>
      </w:pPr>
    </w:p>
    <w:p>
      <w:pPr>
        <w:widowControl w:val="0"/>
        <w:numPr>
          <w:numId w:val="0"/>
        </w:numPr>
        <w:jc w:val="center"/>
        <w:rPr>
          <w:rFonts w:hint="default" w:ascii="黑体" w:hAnsi="宋体" w:eastAsia="黑体" w:cs="黑体"/>
          <w:i w:val="0"/>
          <w:iCs w:val="0"/>
          <w:caps w:val="0"/>
          <w:color w:val="333333"/>
          <w:spacing w:val="0"/>
          <w:kern w:val="0"/>
          <w:sz w:val="21"/>
          <w:szCs w:val="21"/>
          <w:lang w:val="en-US" w:eastAsia="zh-CN" w:bidi="ar"/>
        </w:rPr>
      </w:pPr>
    </w:p>
    <w:p>
      <w:pPr>
        <w:widowControl w:val="0"/>
        <w:numPr>
          <w:numId w:val="0"/>
        </w:numPr>
        <w:jc w:val="center"/>
        <w:rPr>
          <w:rFonts w:hint="default" w:ascii="黑体" w:hAnsi="宋体" w:eastAsia="黑体" w:cs="黑体"/>
          <w:i w:val="0"/>
          <w:iCs w:val="0"/>
          <w:caps w:val="0"/>
          <w:color w:val="333333"/>
          <w:spacing w:val="0"/>
          <w:kern w:val="0"/>
          <w:sz w:val="21"/>
          <w:szCs w:val="21"/>
          <w:lang w:val="en-US" w:eastAsia="zh-CN" w:bidi="ar"/>
        </w:rPr>
      </w:pPr>
    </w:p>
    <w:p>
      <w:pPr>
        <w:widowControl w:val="0"/>
        <w:numPr>
          <w:ilvl w:val="0"/>
          <w:numId w:val="0"/>
        </w:numPr>
        <w:jc w:val="center"/>
        <w:rPr>
          <w:rFonts w:hint="eastAsia" w:ascii="黑体" w:hAnsi="宋体" w:eastAsia="黑体" w:cs="黑体"/>
          <w:i w:val="0"/>
          <w:iCs w:val="0"/>
          <w:caps w:val="0"/>
          <w:color w:val="333333"/>
          <w:spacing w:val="0"/>
          <w:kern w:val="0"/>
          <w:sz w:val="21"/>
          <w:szCs w:val="21"/>
          <w:lang w:val="en-US" w:eastAsia="zh-CN" w:bidi="ar"/>
        </w:rPr>
      </w:pPr>
      <w:r>
        <w:rPr>
          <w:rFonts w:hint="eastAsia" w:ascii="黑体" w:hAnsi="宋体" w:eastAsia="黑体" w:cs="黑体"/>
          <w:i w:val="0"/>
          <w:iCs w:val="0"/>
          <w:caps w:val="0"/>
          <w:color w:val="333333"/>
          <w:spacing w:val="0"/>
          <w:kern w:val="0"/>
          <w:sz w:val="28"/>
          <w:szCs w:val="28"/>
          <w:lang w:val="en-US" w:eastAsia="zh-CN" w:bidi="ar"/>
        </w:rPr>
        <w:t>五、</w:t>
      </w:r>
      <w:r>
        <w:rPr>
          <w:rFonts w:ascii="黑体" w:hAnsi="宋体" w:eastAsia="黑体" w:cs="黑体"/>
          <w:i w:val="0"/>
          <w:iCs w:val="0"/>
          <w:caps w:val="0"/>
          <w:color w:val="000000"/>
          <w:spacing w:val="0"/>
          <w:sz w:val="28"/>
          <w:szCs w:val="28"/>
          <w:shd w:val="clear" w:fill="FFFFFF"/>
        </w:rPr>
        <w:t>一般违法行为首次减轻行政处罚新增事项清单</w:t>
      </w:r>
    </w:p>
    <w:p>
      <w:pPr>
        <w:widowControl w:val="0"/>
        <w:numPr>
          <w:numId w:val="0"/>
        </w:numPr>
        <w:jc w:val="center"/>
        <w:rPr>
          <w:rFonts w:hint="default" w:ascii="黑体" w:hAnsi="宋体" w:eastAsia="黑体" w:cs="黑体"/>
          <w:i w:val="0"/>
          <w:iCs w:val="0"/>
          <w:caps w:val="0"/>
          <w:color w:val="333333"/>
          <w:spacing w:val="0"/>
          <w:kern w:val="0"/>
          <w:sz w:val="21"/>
          <w:szCs w:val="21"/>
          <w:lang w:val="en-US" w:eastAsia="zh-CN" w:bidi="ar"/>
        </w:rPr>
      </w:pPr>
    </w:p>
    <w:p>
      <w:pPr>
        <w:widowControl w:val="0"/>
        <w:numPr>
          <w:numId w:val="0"/>
        </w:numPr>
        <w:jc w:val="center"/>
        <w:rPr>
          <w:rFonts w:hint="eastAsia" w:ascii="黑体" w:hAnsi="宋体" w:eastAsia="黑体" w:cs="黑体"/>
          <w:i w:val="0"/>
          <w:iCs w:val="0"/>
          <w:caps w:val="0"/>
          <w:color w:val="333333"/>
          <w:spacing w:val="0"/>
          <w:kern w:val="0"/>
          <w:sz w:val="21"/>
          <w:szCs w:val="21"/>
          <w:lang w:val="en-US" w:eastAsia="zh-CN" w:bidi="ar"/>
        </w:rPr>
      </w:pPr>
    </w:p>
    <w:tbl>
      <w:tblPr>
        <w:tblStyle w:val="8"/>
        <w:tblpPr w:leftFromText="180" w:rightFromText="180" w:vertAnchor="page" w:horzAnchor="page" w:tblpX="1792" w:tblpY="279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00"/>
        <w:gridCol w:w="3585"/>
        <w:gridCol w:w="3300"/>
        <w:gridCol w:w="53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30" w:hRule="atLeast"/>
        </w:trPr>
        <w:tc>
          <w:tcPr>
            <w:tcW w:w="16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黑体" w:hAnsi="黑体" w:eastAsia="黑体" w:cs="黑体"/>
                <w:color w:val="333333"/>
                <w:kern w:val="2"/>
                <w:sz w:val="24"/>
                <w:szCs w:val="24"/>
                <w:lang w:val="en-US" w:eastAsia="zh-CN" w:bidi="ar-SA"/>
              </w:rPr>
            </w:pPr>
            <w:r>
              <w:rPr>
                <w:rFonts w:hint="eastAsia" w:ascii="黑体" w:hAnsi="黑体" w:eastAsia="黑体" w:cs="黑体"/>
                <w:i w:val="0"/>
                <w:iCs w:val="0"/>
                <w:caps w:val="0"/>
                <w:color w:val="333333"/>
                <w:spacing w:val="0"/>
                <w:kern w:val="0"/>
                <w:sz w:val="24"/>
                <w:szCs w:val="24"/>
                <w:lang w:val="en-US" w:eastAsia="zh-CN" w:bidi="ar"/>
              </w:rPr>
              <w:t>序号</w:t>
            </w:r>
          </w:p>
        </w:tc>
        <w:tc>
          <w:tcPr>
            <w:tcW w:w="358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黑体" w:hAnsi="黑体" w:eastAsia="黑体" w:cs="黑体"/>
                <w:color w:val="333333"/>
                <w:kern w:val="2"/>
                <w:sz w:val="24"/>
                <w:szCs w:val="24"/>
                <w:lang w:val="en-US" w:eastAsia="zh-CN" w:bidi="ar-SA"/>
              </w:rPr>
            </w:pPr>
            <w:r>
              <w:rPr>
                <w:rFonts w:hint="eastAsia" w:ascii="黑体" w:hAnsi="黑体" w:eastAsia="黑体" w:cs="黑体"/>
                <w:i w:val="0"/>
                <w:iCs w:val="0"/>
                <w:caps w:val="0"/>
                <w:color w:val="333333"/>
                <w:spacing w:val="0"/>
                <w:kern w:val="0"/>
                <w:sz w:val="24"/>
                <w:szCs w:val="24"/>
                <w:lang w:val="en-US" w:eastAsia="zh-CN" w:bidi="ar"/>
              </w:rPr>
              <w:t>违法行为</w:t>
            </w:r>
          </w:p>
        </w:tc>
        <w:tc>
          <w:tcPr>
            <w:tcW w:w="33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黑体" w:hAnsi="黑体" w:eastAsia="黑体" w:cs="黑体"/>
                <w:color w:val="333333"/>
                <w:kern w:val="2"/>
                <w:sz w:val="24"/>
                <w:szCs w:val="24"/>
                <w:lang w:val="en-US" w:eastAsia="zh-CN" w:bidi="ar-SA"/>
              </w:rPr>
            </w:pPr>
            <w:r>
              <w:rPr>
                <w:rFonts w:hint="eastAsia" w:ascii="黑体" w:hAnsi="黑体" w:eastAsia="黑体" w:cs="黑体"/>
                <w:i w:val="0"/>
                <w:iCs w:val="0"/>
                <w:caps w:val="0"/>
                <w:color w:val="333333"/>
                <w:spacing w:val="0"/>
                <w:kern w:val="0"/>
                <w:sz w:val="24"/>
                <w:szCs w:val="24"/>
                <w:lang w:val="en-US" w:eastAsia="zh-CN" w:bidi="ar"/>
              </w:rPr>
              <w:t>适用条件</w:t>
            </w:r>
          </w:p>
        </w:tc>
        <w:tc>
          <w:tcPr>
            <w:tcW w:w="534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rightChars="0"/>
              <w:jc w:val="center"/>
              <w:rPr>
                <w:rFonts w:hint="eastAsia" w:ascii="黑体" w:hAnsi="黑体" w:eastAsia="黑体" w:cs="黑体"/>
                <w:color w:val="333333"/>
                <w:kern w:val="2"/>
                <w:sz w:val="24"/>
                <w:szCs w:val="24"/>
                <w:lang w:val="en-US" w:eastAsia="zh-CN" w:bidi="ar-SA"/>
              </w:rPr>
            </w:pPr>
            <w:r>
              <w:rPr>
                <w:rFonts w:hint="eastAsia" w:ascii="黑体" w:hAnsi="黑体" w:eastAsia="黑体" w:cs="黑体"/>
                <w:i w:val="0"/>
                <w:iCs w:val="0"/>
                <w:caps w:val="0"/>
                <w:color w:val="333333"/>
                <w:spacing w:val="0"/>
                <w:kern w:val="0"/>
                <w:sz w:val="24"/>
                <w:szCs w:val="24"/>
                <w:lang w:val="en-US" w:eastAsia="zh-CN" w:bidi="ar"/>
              </w:rPr>
              <w:t>法定依据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0" w:hRule="atLeast"/>
        </w:trPr>
        <w:tc>
          <w:tcPr>
            <w:tcW w:w="16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kern w:val="0"/>
                <w:sz w:val="24"/>
                <w:szCs w:val="24"/>
                <w:lang w:val="en-US" w:eastAsia="zh-CN" w:bidi="ar"/>
              </w:rPr>
              <w:t>39</w:t>
            </w:r>
          </w:p>
        </w:tc>
        <w:tc>
          <w:tcPr>
            <w:tcW w:w="358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互联网上网服务营业场所经营单位接纳未成年人进入营业场所</w:t>
            </w:r>
          </w:p>
        </w:tc>
        <w:tc>
          <w:tcPr>
            <w:tcW w:w="33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1.首次被发现；</w:t>
            </w:r>
            <w:r>
              <w:rPr>
                <w:rFonts w:hint="eastAsia" w:ascii="仿宋_GB2312" w:hAnsi="仿宋_GB2312" w:eastAsia="仿宋_GB2312" w:cs="仿宋_GB2312"/>
                <w:i w:val="0"/>
                <w:iCs w:val="0"/>
                <w:caps w:val="0"/>
                <w:color w:val="000000"/>
                <w:spacing w:val="0"/>
                <w:sz w:val="24"/>
                <w:szCs w:val="24"/>
                <w:shd w:val="clear" w:fill="FFFFFF"/>
              </w:rPr>
              <w:br w:type="textWrapping"/>
            </w:r>
            <w:r>
              <w:rPr>
                <w:rFonts w:hint="eastAsia" w:ascii="仿宋_GB2312" w:hAnsi="仿宋_GB2312" w:eastAsia="仿宋_GB2312" w:cs="仿宋_GB2312"/>
                <w:i w:val="0"/>
                <w:iCs w:val="0"/>
                <w:caps w:val="0"/>
                <w:color w:val="000000"/>
                <w:spacing w:val="0"/>
                <w:sz w:val="24"/>
                <w:szCs w:val="24"/>
                <w:shd w:val="clear" w:fill="FFFFFF"/>
              </w:rPr>
              <w:t>  2.接纳1名未成年人；</w:t>
            </w:r>
            <w:r>
              <w:rPr>
                <w:rFonts w:hint="eastAsia" w:ascii="仿宋_GB2312" w:hAnsi="仿宋_GB2312" w:eastAsia="仿宋_GB2312" w:cs="仿宋_GB2312"/>
                <w:i w:val="0"/>
                <w:iCs w:val="0"/>
                <w:caps w:val="0"/>
                <w:color w:val="000000"/>
                <w:spacing w:val="0"/>
                <w:sz w:val="24"/>
                <w:szCs w:val="24"/>
                <w:shd w:val="clear" w:fill="FFFFFF"/>
              </w:rPr>
              <w:br w:type="textWrapping"/>
            </w:r>
            <w:r>
              <w:rPr>
                <w:rFonts w:hint="eastAsia" w:ascii="仿宋_GB2312" w:hAnsi="仿宋_GB2312" w:eastAsia="仿宋_GB2312" w:cs="仿宋_GB2312"/>
                <w:i w:val="0"/>
                <w:iCs w:val="0"/>
                <w:caps w:val="0"/>
                <w:color w:val="000000"/>
                <w:spacing w:val="0"/>
                <w:sz w:val="24"/>
                <w:szCs w:val="24"/>
                <w:shd w:val="clear" w:fill="FFFFFF"/>
              </w:rPr>
              <w:t>  2.未造成危害后果或危害后果轻微；</w:t>
            </w:r>
            <w:r>
              <w:rPr>
                <w:rFonts w:hint="eastAsia" w:ascii="仿宋_GB2312" w:hAnsi="仿宋_GB2312" w:eastAsia="仿宋_GB2312" w:cs="仿宋_GB2312"/>
                <w:i w:val="0"/>
                <w:iCs w:val="0"/>
                <w:caps w:val="0"/>
                <w:color w:val="000000"/>
                <w:spacing w:val="0"/>
                <w:sz w:val="24"/>
                <w:szCs w:val="24"/>
                <w:shd w:val="clear" w:fill="FFFFFF"/>
              </w:rPr>
              <w:br w:type="textWrapping"/>
            </w:r>
            <w:r>
              <w:rPr>
                <w:rFonts w:hint="eastAsia" w:ascii="仿宋_GB2312" w:hAnsi="仿宋_GB2312" w:eastAsia="仿宋_GB2312" w:cs="仿宋_GB2312"/>
                <w:i w:val="0"/>
                <w:iCs w:val="0"/>
                <w:caps w:val="0"/>
                <w:color w:val="000000"/>
                <w:spacing w:val="0"/>
                <w:sz w:val="24"/>
                <w:szCs w:val="24"/>
                <w:shd w:val="clear" w:fill="FFFFFF"/>
              </w:rPr>
              <w:t>  3.积极主动整改</w:t>
            </w:r>
          </w:p>
        </w:tc>
        <w:tc>
          <w:tcPr>
            <w:tcW w:w="534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1.《互联网上网服务营业场所管理条例》（2002年8月国务院令第363号公布通过，2019年3月第三次修订）第二十一条，第三十一条第二项；</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2.《中华人民共和国行政处罚法》（1996年3月通过，2017年9月第二次修正）第二十七条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kern w:val="0"/>
                <w:sz w:val="24"/>
                <w:szCs w:val="24"/>
                <w:lang w:val="en-US" w:eastAsia="zh-CN" w:bidi="ar"/>
              </w:rPr>
              <w:t>40</w:t>
            </w:r>
          </w:p>
        </w:tc>
        <w:tc>
          <w:tcPr>
            <w:tcW w:w="358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互联网上网服务营业场所经营单位在规定的营业时间以外营业</w:t>
            </w:r>
          </w:p>
        </w:tc>
        <w:tc>
          <w:tcPr>
            <w:tcW w:w="33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1.首次被发现；</w:t>
            </w:r>
            <w:r>
              <w:rPr>
                <w:rFonts w:hint="eastAsia" w:ascii="仿宋_GB2312" w:hAnsi="仿宋_GB2312" w:eastAsia="仿宋_GB2312" w:cs="仿宋_GB2312"/>
                <w:i w:val="0"/>
                <w:iCs w:val="0"/>
                <w:caps w:val="0"/>
                <w:color w:val="000000"/>
                <w:spacing w:val="0"/>
                <w:sz w:val="24"/>
                <w:szCs w:val="24"/>
                <w:shd w:val="clear" w:fill="FFFFFF"/>
              </w:rPr>
              <w:br w:type="textWrapping"/>
            </w:r>
            <w:r>
              <w:rPr>
                <w:rFonts w:hint="eastAsia" w:ascii="仿宋_GB2312" w:hAnsi="仿宋_GB2312" w:eastAsia="仿宋_GB2312" w:cs="仿宋_GB2312"/>
                <w:i w:val="0"/>
                <w:iCs w:val="0"/>
                <w:caps w:val="0"/>
                <w:color w:val="000000"/>
                <w:spacing w:val="0"/>
                <w:sz w:val="24"/>
                <w:szCs w:val="24"/>
                <w:shd w:val="clear" w:fill="FFFFFF"/>
              </w:rPr>
              <w:t>  2.接纳1名未成年人；</w:t>
            </w:r>
            <w:r>
              <w:rPr>
                <w:rFonts w:hint="eastAsia" w:ascii="仿宋_GB2312" w:hAnsi="仿宋_GB2312" w:eastAsia="仿宋_GB2312" w:cs="仿宋_GB2312"/>
                <w:i w:val="0"/>
                <w:iCs w:val="0"/>
                <w:caps w:val="0"/>
                <w:color w:val="000000"/>
                <w:spacing w:val="0"/>
                <w:sz w:val="24"/>
                <w:szCs w:val="24"/>
                <w:shd w:val="clear" w:fill="FFFFFF"/>
              </w:rPr>
              <w:br w:type="textWrapping"/>
            </w:r>
            <w:r>
              <w:rPr>
                <w:rFonts w:hint="eastAsia" w:ascii="仿宋_GB2312" w:hAnsi="仿宋_GB2312" w:eastAsia="仿宋_GB2312" w:cs="仿宋_GB2312"/>
                <w:i w:val="0"/>
                <w:iCs w:val="0"/>
                <w:caps w:val="0"/>
                <w:color w:val="000000"/>
                <w:spacing w:val="0"/>
                <w:sz w:val="24"/>
                <w:szCs w:val="24"/>
                <w:shd w:val="clear" w:fill="FFFFFF"/>
              </w:rPr>
              <w:t>  2.未造成危害后果或危害后果轻微；</w:t>
            </w:r>
            <w:r>
              <w:rPr>
                <w:rFonts w:hint="eastAsia" w:ascii="仿宋_GB2312" w:hAnsi="仿宋_GB2312" w:eastAsia="仿宋_GB2312" w:cs="仿宋_GB2312"/>
                <w:i w:val="0"/>
                <w:iCs w:val="0"/>
                <w:caps w:val="0"/>
                <w:color w:val="000000"/>
                <w:spacing w:val="0"/>
                <w:sz w:val="24"/>
                <w:szCs w:val="24"/>
                <w:shd w:val="clear" w:fill="FFFFFF"/>
              </w:rPr>
              <w:br w:type="textWrapping"/>
            </w:r>
            <w:r>
              <w:rPr>
                <w:rFonts w:hint="eastAsia" w:ascii="仿宋_GB2312" w:hAnsi="仿宋_GB2312" w:eastAsia="仿宋_GB2312" w:cs="仿宋_GB2312"/>
                <w:i w:val="0"/>
                <w:iCs w:val="0"/>
                <w:caps w:val="0"/>
                <w:color w:val="000000"/>
                <w:spacing w:val="0"/>
                <w:sz w:val="24"/>
                <w:szCs w:val="24"/>
                <w:shd w:val="clear" w:fill="FFFFFF"/>
              </w:rPr>
              <w:t>  3.积极主动整改</w:t>
            </w:r>
          </w:p>
        </w:tc>
        <w:tc>
          <w:tcPr>
            <w:tcW w:w="534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1.《互联网上网服务营业场所管理条例》（2002年8月国务院令第363号公布通过，2019年3月第三次修订）第二十二条，第三十一条第一项；</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2.《中华人民共和国行政处罚法》（1996年3月通过，2017年9月第二次修正）第二十七条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kern w:val="0"/>
                <w:sz w:val="24"/>
                <w:szCs w:val="24"/>
                <w:lang w:val="en-US" w:eastAsia="zh-CN" w:bidi="ar"/>
              </w:rPr>
              <w:t>41</w:t>
            </w:r>
          </w:p>
        </w:tc>
        <w:tc>
          <w:tcPr>
            <w:tcW w:w="358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互联网上网服务营业场所经营单位擅自停止实施经营管理技术措施</w:t>
            </w:r>
          </w:p>
        </w:tc>
        <w:tc>
          <w:tcPr>
            <w:tcW w:w="33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1.首次被发现；</w:t>
            </w:r>
            <w:r>
              <w:rPr>
                <w:rFonts w:hint="eastAsia" w:ascii="仿宋_GB2312" w:hAnsi="仿宋_GB2312" w:eastAsia="仿宋_GB2312" w:cs="仿宋_GB2312"/>
                <w:i w:val="0"/>
                <w:iCs w:val="0"/>
                <w:caps w:val="0"/>
                <w:color w:val="000000"/>
                <w:spacing w:val="0"/>
                <w:sz w:val="24"/>
                <w:szCs w:val="24"/>
                <w:shd w:val="clear" w:fill="FFFFFF"/>
              </w:rPr>
              <w:br w:type="textWrapping"/>
            </w:r>
            <w:r>
              <w:rPr>
                <w:rFonts w:hint="eastAsia" w:ascii="仿宋_GB2312" w:hAnsi="仿宋_GB2312" w:eastAsia="仿宋_GB2312" w:cs="仿宋_GB2312"/>
                <w:i w:val="0"/>
                <w:iCs w:val="0"/>
                <w:caps w:val="0"/>
                <w:color w:val="000000"/>
                <w:spacing w:val="0"/>
                <w:sz w:val="24"/>
                <w:szCs w:val="24"/>
                <w:shd w:val="clear" w:fill="FFFFFF"/>
              </w:rPr>
              <w:t>  2.主动消除或者减轻违法行为危害后果的；</w:t>
            </w:r>
            <w:r>
              <w:rPr>
                <w:rFonts w:hint="eastAsia" w:ascii="仿宋_GB2312" w:hAnsi="仿宋_GB2312" w:eastAsia="仿宋_GB2312" w:cs="仿宋_GB2312"/>
                <w:i w:val="0"/>
                <w:iCs w:val="0"/>
                <w:caps w:val="0"/>
                <w:color w:val="000000"/>
                <w:spacing w:val="0"/>
                <w:sz w:val="24"/>
                <w:szCs w:val="24"/>
                <w:shd w:val="clear" w:fill="FFFFFF"/>
              </w:rPr>
              <w:br w:type="textWrapping"/>
            </w:r>
            <w:r>
              <w:rPr>
                <w:rFonts w:hint="eastAsia" w:ascii="仿宋_GB2312" w:hAnsi="仿宋_GB2312" w:eastAsia="仿宋_GB2312" w:cs="仿宋_GB2312"/>
                <w:i w:val="0"/>
                <w:iCs w:val="0"/>
                <w:caps w:val="0"/>
                <w:color w:val="000000"/>
                <w:spacing w:val="0"/>
                <w:sz w:val="24"/>
                <w:szCs w:val="24"/>
                <w:shd w:val="clear" w:fill="FFFFFF"/>
              </w:rPr>
              <w:t>  3.在限期内改正</w:t>
            </w:r>
          </w:p>
        </w:tc>
        <w:tc>
          <w:tcPr>
            <w:tcW w:w="534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1.《互联网上网服务营业场所管理条例》（2002年8月国务院令第363号公布通过，2019年3月第三次修订）第十九条、第三十一条第四项；</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2.《中华人民共和国行政处罚法》（1996年3月通过，2017年9月第二次修正）第二十七条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kern w:val="0"/>
                <w:sz w:val="24"/>
                <w:szCs w:val="24"/>
                <w:lang w:val="en-US" w:eastAsia="zh-CN" w:bidi="ar"/>
              </w:rPr>
              <w:t>42</w:t>
            </w:r>
          </w:p>
        </w:tc>
        <w:tc>
          <w:tcPr>
            <w:tcW w:w="358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互联网上网服务营业场所经营单位未悬挂《网络文化经营许可证》或者未成年人禁入标志</w:t>
            </w:r>
          </w:p>
        </w:tc>
        <w:tc>
          <w:tcPr>
            <w:tcW w:w="33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1.首次被发现；</w:t>
            </w:r>
            <w:r>
              <w:rPr>
                <w:rFonts w:hint="eastAsia" w:ascii="仿宋_GB2312" w:hAnsi="仿宋_GB2312" w:eastAsia="仿宋_GB2312" w:cs="仿宋_GB2312"/>
                <w:i w:val="0"/>
                <w:iCs w:val="0"/>
                <w:caps w:val="0"/>
                <w:color w:val="000000"/>
                <w:spacing w:val="0"/>
                <w:sz w:val="24"/>
                <w:szCs w:val="24"/>
                <w:shd w:val="clear" w:fill="FFFFFF"/>
              </w:rPr>
              <w:br w:type="textWrapping"/>
            </w:r>
            <w:r>
              <w:rPr>
                <w:rFonts w:hint="eastAsia" w:ascii="仿宋_GB2312" w:hAnsi="仿宋_GB2312" w:eastAsia="仿宋_GB2312" w:cs="仿宋_GB2312"/>
                <w:i w:val="0"/>
                <w:iCs w:val="0"/>
                <w:caps w:val="0"/>
                <w:color w:val="000000"/>
                <w:spacing w:val="0"/>
                <w:sz w:val="24"/>
                <w:szCs w:val="24"/>
                <w:shd w:val="clear" w:fill="FFFFFF"/>
              </w:rPr>
              <w:t>  2.主动消除或者减轻违法行为危害后果的；</w:t>
            </w:r>
            <w:r>
              <w:rPr>
                <w:rFonts w:hint="eastAsia" w:ascii="仿宋_GB2312" w:hAnsi="仿宋_GB2312" w:eastAsia="仿宋_GB2312" w:cs="仿宋_GB2312"/>
                <w:i w:val="0"/>
                <w:iCs w:val="0"/>
                <w:caps w:val="0"/>
                <w:color w:val="000000"/>
                <w:spacing w:val="0"/>
                <w:sz w:val="24"/>
                <w:szCs w:val="24"/>
                <w:shd w:val="clear" w:fill="FFFFFF"/>
              </w:rPr>
              <w:br w:type="textWrapping"/>
            </w:r>
            <w:r>
              <w:rPr>
                <w:rFonts w:hint="eastAsia" w:ascii="仿宋_GB2312" w:hAnsi="仿宋_GB2312" w:eastAsia="仿宋_GB2312" w:cs="仿宋_GB2312"/>
                <w:i w:val="0"/>
                <w:iCs w:val="0"/>
                <w:caps w:val="0"/>
                <w:color w:val="000000"/>
                <w:spacing w:val="0"/>
                <w:sz w:val="24"/>
                <w:szCs w:val="24"/>
                <w:shd w:val="clear" w:fill="FFFFFF"/>
              </w:rPr>
              <w:t>  3.立即改正</w:t>
            </w:r>
          </w:p>
        </w:tc>
        <w:tc>
          <w:tcPr>
            <w:tcW w:w="534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1.《互联网上网服务营业场所管理条例》（2002年8月国务院令第363号公布通过，2019年3月第三次修订）第二十条、第二十一条、第三十一条第五项；</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2.《中华人民共和国行政处罚法》（1996年3月通过，2017年9月第二次修正）第二十七条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kern w:val="0"/>
                <w:sz w:val="24"/>
                <w:szCs w:val="24"/>
                <w:lang w:val="en-US" w:eastAsia="zh-CN" w:bidi="ar"/>
              </w:rPr>
              <w:t>43</w:t>
            </w:r>
          </w:p>
        </w:tc>
        <w:tc>
          <w:tcPr>
            <w:tcW w:w="358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艺术考级机构未按规定将承办单位的基本情况和合作协议备案</w:t>
            </w:r>
          </w:p>
        </w:tc>
        <w:tc>
          <w:tcPr>
            <w:tcW w:w="33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1.首次被发现；</w:t>
            </w:r>
            <w:r>
              <w:rPr>
                <w:rFonts w:hint="eastAsia" w:ascii="仿宋_GB2312" w:hAnsi="仿宋_GB2312" w:eastAsia="仿宋_GB2312" w:cs="仿宋_GB2312"/>
                <w:i w:val="0"/>
                <w:iCs w:val="0"/>
                <w:caps w:val="0"/>
                <w:color w:val="000000"/>
                <w:spacing w:val="0"/>
                <w:sz w:val="24"/>
                <w:szCs w:val="24"/>
                <w:shd w:val="clear" w:fill="FFFFFF"/>
              </w:rPr>
              <w:br w:type="textWrapping"/>
            </w:r>
            <w:r>
              <w:rPr>
                <w:rFonts w:hint="eastAsia" w:ascii="仿宋_GB2312" w:hAnsi="仿宋_GB2312" w:eastAsia="仿宋_GB2312" w:cs="仿宋_GB2312"/>
                <w:i w:val="0"/>
                <w:iCs w:val="0"/>
                <w:caps w:val="0"/>
                <w:color w:val="000000"/>
                <w:spacing w:val="0"/>
                <w:sz w:val="24"/>
                <w:szCs w:val="24"/>
                <w:shd w:val="clear" w:fill="FFFFFF"/>
              </w:rPr>
              <w:t>  2.主动消除或者减轻违法行为危害后果的</w:t>
            </w:r>
          </w:p>
        </w:tc>
        <w:tc>
          <w:tcPr>
            <w:tcW w:w="534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1.《社会艺术水平考级管理办法》（2004年6月通过，2017年12月文化部令第57号修订）第十七条、第二十五条第二项；</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2.《中华人民共和国行政处罚法》（1996年3月通过，2017</w:t>
            </w:r>
            <w:bookmarkStart w:id="0" w:name="_GoBack"/>
            <w:bookmarkEnd w:id="0"/>
            <w:r>
              <w:rPr>
                <w:rFonts w:hint="eastAsia" w:ascii="仿宋_GB2312" w:hAnsi="仿宋_GB2312" w:eastAsia="仿宋_GB2312" w:cs="仿宋_GB2312"/>
                <w:i w:val="0"/>
                <w:iCs w:val="0"/>
                <w:caps w:val="0"/>
                <w:color w:val="333333"/>
                <w:spacing w:val="0"/>
                <w:kern w:val="0"/>
                <w:sz w:val="24"/>
                <w:szCs w:val="24"/>
                <w:lang w:val="en-US" w:eastAsia="zh-CN" w:bidi="ar"/>
              </w:rPr>
              <w:t>年9月第二次修正）第二十七条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kern w:val="0"/>
                <w:sz w:val="24"/>
                <w:szCs w:val="24"/>
                <w:lang w:val="en-US" w:eastAsia="zh-CN" w:bidi="ar"/>
              </w:rPr>
              <w:t>44</w:t>
            </w:r>
          </w:p>
        </w:tc>
        <w:tc>
          <w:tcPr>
            <w:tcW w:w="358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艺术考级机构组织艺术考级活动未按规定将考级时间、考级地点、考生数量、考场安排等情况报审批机关和艺术考级活动所在地县级以上文化行政部门备案</w:t>
            </w:r>
          </w:p>
        </w:tc>
        <w:tc>
          <w:tcPr>
            <w:tcW w:w="33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1.首次被发现；</w:t>
            </w:r>
            <w:r>
              <w:rPr>
                <w:rFonts w:hint="eastAsia" w:ascii="仿宋_GB2312" w:hAnsi="仿宋_GB2312" w:eastAsia="仿宋_GB2312" w:cs="仿宋_GB2312"/>
                <w:i w:val="0"/>
                <w:iCs w:val="0"/>
                <w:caps w:val="0"/>
                <w:color w:val="000000"/>
                <w:spacing w:val="0"/>
                <w:sz w:val="24"/>
                <w:szCs w:val="24"/>
                <w:shd w:val="clear" w:fill="FFFFFF"/>
              </w:rPr>
              <w:br w:type="textWrapping"/>
            </w:r>
            <w:r>
              <w:rPr>
                <w:rFonts w:hint="eastAsia" w:ascii="仿宋_GB2312" w:hAnsi="仿宋_GB2312" w:eastAsia="仿宋_GB2312" w:cs="仿宋_GB2312"/>
                <w:i w:val="0"/>
                <w:iCs w:val="0"/>
                <w:caps w:val="0"/>
                <w:color w:val="000000"/>
                <w:spacing w:val="0"/>
                <w:sz w:val="24"/>
                <w:szCs w:val="24"/>
                <w:shd w:val="clear" w:fill="FFFFFF"/>
              </w:rPr>
              <w:t>  2.主动消除或者减轻违法行为危害后果的</w:t>
            </w:r>
          </w:p>
        </w:tc>
        <w:tc>
          <w:tcPr>
            <w:tcW w:w="534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1.《社会艺术水平考级管理办法》（2004年6月通过，2017年12月修订（2004年6月通过，2017年12月文化部令第57号修订）第十八条、第二十五条第三项；</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2.《中华人民共和国行政处罚法》（1996年3月通过，2017年9月第二次修正）第二十七条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kern w:val="0"/>
                <w:sz w:val="24"/>
                <w:szCs w:val="24"/>
                <w:lang w:val="en-US" w:eastAsia="zh-CN" w:bidi="ar"/>
              </w:rPr>
              <w:t>45</w:t>
            </w:r>
          </w:p>
        </w:tc>
        <w:tc>
          <w:tcPr>
            <w:tcW w:w="358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艺术考级机构艺术考级活动结束后未按规定报送考级结果</w:t>
            </w:r>
          </w:p>
        </w:tc>
        <w:tc>
          <w:tcPr>
            <w:tcW w:w="33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1.首次被发现；</w:t>
            </w:r>
            <w:r>
              <w:rPr>
                <w:rFonts w:hint="eastAsia" w:ascii="仿宋_GB2312" w:hAnsi="仿宋_GB2312" w:eastAsia="仿宋_GB2312" w:cs="仿宋_GB2312"/>
                <w:i w:val="0"/>
                <w:iCs w:val="0"/>
                <w:caps w:val="0"/>
                <w:color w:val="000000"/>
                <w:spacing w:val="0"/>
                <w:sz w:val="24"/>
                <w:szCs w:val="24"/>
                <w:shd w:val="clear" w:fill="FFFFFF"/>
              </w:rPr>
              <w:br w:type="textWrapping"/>
            </w:r>
            <w:r>
              <w:rPr>
                <w:rFonts w:hint="eastAsia" w:ascii="仿宋_GB2312" w:hAnsi="仿宋_GB2312" w:eastAsia="仿宋_GB2312" w:cs="仿宋_GB2312"/>
                <w:i w:val="0"/>
                <w:iCs w:val="0"/>
                <w:caps w:val="0"/>
                <w:color w:val="000000"/>
                <w:spacing w:val="0"/>
                <w:sz w:val="24"/>
                <w:szCs w:val="24"/>
                <w:shd w:val="clear" w:fill="FFFFFF"/>
              </w:rPr>
              <w:t>  2.主动消除或者减轻违法行为危害后果的</w:t>
            </w:r>
          </w:p>
        </w:tc>
        <w:tc>
          <w:tcPr>
            <w:tcW w:w="534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1.《社会艺术水平考级管理办法》（2004年6月通过，2017年12月文化部令第57号修订）第二十三条、第二十五条第四项；</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2.《中华人民共和国行政处罚法》（1996年3月通过，2017年9月第二次修正）第二十七条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kern w:val="0"/>
                <w:sz w:val="24"/>
                <w:szCs w:val="24"/>
                <w:lang w:val="en-US" w:eastAsia="zh-CN" w:bidi="ar"/>
              </w:rPr>
              <w:t>46</w:t>
            </w:r>
          </w:p>
        </w:tc>
        <w:tc>
          <w:tcPr>
            <w:tcW w:w="358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艺术考级机构主要负责人、办公地点有变动未按规定向审批机关备案</w:t>
            </w:r>
          </w:p>
        </w:tc>
        <w:tc>
          <w:tcPr>
            <w:tcW w:w="33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1.首次被发现；</w:t>
            </w:r>
            <w:r>
              <w:rPr>
                <w:rFonts w:hint="eastAsia" w:ascii="仿宋_GB2312" w:hAnsi="仿宋_GB2312" w:eastAsia="仿宋_GB2312" w:cs="仿宋_GB2312"/>
                <w:i w:val="0"/>
                <w:iCs w:val="0"/>
                <w:caps w:val="0"/>
                <w:color w:val="000000"/>
                <w:spacing w:val="0"/>
                <w:sz w:val="24"/>
                <w:szCs w:val="24"/>
                <w:shd w:val="clear" w:fill="FFFFFF"/>
              </w:rPr>
              <w:br w:type="textWrapping"/>
            </w:r>
            <w:r>
              <w:rPr>
                <w:rFonts w:hint="eastAsia" w:ascii="仿宋_GB2312" w:hAnsi="仿宋_GB2312" w:eastAsia="仿宋_GB2312" w:cs="仿宋_GB2312"/>
                <w:i w:val="0"/>
                <w:iCs w:val="0"/>
                <w:caps w:val="0"/>
                <w:color w:val="000000"/>
                <w:spacing w:val="0"/>
                <w:sz w:val="24"/>
                <w:szCs w:val="24"/>
                <w:shd w:val="clear" w:fill="FFFFFF"/>
              </w:rPr>
              <w:t>  2.主动消除或者减轻违法行为危害后果的</w:t>
            </w:r>
          </w:p>
        </w:tc>
        <w:tc>
          <w:tcPr>
            <w:tcW w:w="534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1.《社会艺术水平考级管理办法》（2004年6月通过，2017年12月文化部令第57号修订）第十一条、第二十五条第五项；</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2.《中华人民共和国行政处罚法》（1996年3月通过，2017年9月第二次修正）第二十七条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kern w:val="0"/>
                <w:sz w:val="24"/>
                <w:szCs w:val="24"/>
                <w:lang w:val="en-US" w:eastAsia="zh-CN" w:bidi="ar"/>
              </w:rPr>
              <w:t>47</w:t>
            </w:r>
          </w:p>
        </w:tc>
        <w:tc>
          <w:tcPr>
            <w:tcW w:w="358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未经批准，擅自从事经营性互联网文化活动</w:t>
            </w:r>
          </w:p>
        </w:tc>
        <w:tc>
          <w:tcPr>
            <w:tcW w:w="33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1.首次被发现；</w:t>
            </w:r>
            <w:r>
              <w:rPr>
                <w:rFonts w:hint="eastAsia" w:ascii="仿宋_GB2312" w:hAnsi="仿宋_GB2312" w:eastAsia="仿宋_GB2312" w:cs="仿宋_GB2312"/>
                <w:i w:val="0"/>
                <w:iCs w:val="0"/>
                <w:caps w:val="0"/>
                <w:color w:val="000000"/>
                <w:spacing w:val="0"/>
                <w:sz w:val="24"/>
                <w:szCs w:val="24"/>
                <w:shd w:val="clear" w:fill="FFFFFF"/>
              </w:rPr>
              <w:br w:type="textWrapping"/>
            </w:r>
            <w:r>
              <w:rPr>
                <w:rFonts w:hint="eastAsia" w:ascii="仿宋_GB2312" w:hAnsi="仿宋_GB2312" w:eastAsia="仿宋_GB2312" w:cs="仿宋_GB2312"/>
                <w:i w:val="0"/>
                <w:iCs w:val="0"/>
                <w:caps w:val="0"/>
                <w:color w:val="000000"/>
                <w:spacing w:val="0"/>
                <w:sz w:val="24"/>
                <w:szCs w:val="24"/>
                <w:shd w:val="clear" w:fill="FFFFFF"/>
              </w:rPr>
              <w:t>  2.违法情节轻微，未造成危害后果；</w:t>
            </w:r>
            <w:r>
              <w:rPr>
                <w:rFonts w:hint="eastAsia" w:ascii="仿宋_GB2312" w:hAnsi="仿宋_GB2312" w:eastAsia="仿宋_GB2312" w:cs="仿宋_GB2312"/>
                <w:i w:val="0"/>
                <w:iCs w:val="0"/>
                <w:caps w:val="0"/>
                <w:color w:val="000000"/>
                <w:spacing w:val="0"/>
                <w:sz w:val="24"/>
                <w:szCs w:val="24"/>
                <w:shd w:val="clear" w:fill="FFFFFF"/>
              </w:rPr>
              <w:br w:type="textWrapping"/>
            </w:r>
            <w:r>
              <w:rPr>
                <w:rFonts w:hint="eastAsia" w:ascii="仿宋_GB2312" w:hAnsi="仿宋_GB2312" w:eastAsia="仿宋_GB2312" w:cs="仿宋_GB2312"/>
                <w:i w:val="0"/>
                <w:iCs w:val="0"/>
                <w:caps w:val="0"/>
                <w:color w:val="000000"/>
                <w:spacing w:val="0"/>
                <w:sz w:val="24"/>
                <w:szCs w:val="24"/>
                <w:shd w:val="clear" w:fill="FFFFFF"/>
              </w:rPr>
              <w:t>  3.按要求停止违法经营活动，并积极配合查处</w:t>
            </w:r>
          </w:p>
        </w:tc>
        <w:tc>
          <w:tcPr>
            <w:tcW w:w="534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1.《互联网文化管理暂行规定》（2011年2月通过，2017年12月文化部令第57号修订）第八条、第二十一条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2.《中华人民共和国行政处罚法》（1996年3月通过，2017年9月第二次修正）第二十七条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kern w:val="0"/>
                <w:sz w:val="24"/>
                <w:szCs w:val="24"/>
                <w:lang w:val="en-US" w:eastAsia="zh-CN" w:bidi="ar"/>
              </w:rPr>
              <w:t>48</w:t>
            </w:r>
          </w:p>
        </w:tc>
        <w:tc>
          <w:tcPr>
            <w:tcW w:w="3585"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000000"/>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经营性互联网文化单位变更单位名称、网站名称、网站域名、法定代表人、注册地址、经营地址、注册资金、股权结构以及许可经营范围的，未自变更之日起20日内到所在地省、自治区、直辖市人民政府文化行政部门办理变更手续</w:t>
            </w:r>
          </w:p>
        </w:tc>
        <w:tc>
          <w:tcPr>
            <w:tcW w:w="330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000000"/>
                <w:spacing w:val="0"/>
                <w:sz w:val="24"/>
                <w:szCs w:val="24"/>
                <w:shd w:val="clear" w:fill="FFFFFF"/>
              </w:rPr>
              <w:t>1.首次被发现；</w:t>
            </w:r>
            <w:r>
              <w:rPr>
                <w:rFonts w:hint="eastAsia" w:ascii="仿宋_GB2312" w:hAnsi="仿宋_GB2312" w:eastAsia="仿宋_GB2312" w:cs="仿宋_GB2312"/>
                <w:i w:val="0"/>
                <w:iCs w:val="0"/>
                <w:caps w:val="0"/>
                <w:color w:val="000000"/>
                <w:spacing w:val="0"/>
                <w:sz w:val="24"/>
                <w:szCs w:val="24"/>
                <w:shd w:val="clear" w:fill="FFFFFF"/>
              </w:rPr>
              <w:br w:type="textWrapping"/>
            </w:r>
            <w:r>
              <w:rPr>
                <w:rFonts w:hint="eastAsia" w:ascii="仿宋_GB2312" w:hAnsi="仿宋_GB2312" w:eastAsia="仿宋_GB2312" w:cs="仿宋_GB2312"/>
                <w:i w:val="0"/>
                <w:iCs w:val="0"/>
                <w:caps w:val="0"/>
                <w:color w:val="000000"/>
                <w:spacing w:val="0"/>
                <w:sz w:val="24"/>
                <w:szCs w:val="24"/>
                <w:shd w:val="clear" w:fill="FFFFFF"/>
              </w:rPr>
              <w:t>  2.违法情节轻微，未造成危害后果；</w:t>
            </w:r>
            <w:r>
              <w:rPr>
                <w:rFonts w:hint="eastAsia" w:ascii="仿宋_GB2312" w:hAnsi="仿宋_GB2312" w:eastAsia="仿宋_GB2312" w:cs="仿宋_GB2312"/>
                <w:i w:val="0"/>
                <w:iCs w:val="0"/>
                <w:caps w:val="0"/>
                <w:color w:val="000000"/>
                <w:spacing w:val="0"/>
                <w:sz w:val="24"/>
                <w:szCs w:val="24"/>
                <w:shd w:val="clear" w:fill="FFFFFF"/>
              </w:rPr>
              <w:br w:type="textWrapping"/>
            </w:r>
            <w:r>
              <w:rPr>
                <w:rFonts w:hint="eastAsia" w:ascii="仿宋_GB2312" w:hAnsi="仿宋_GB2312" w:eastAsia="仿宋_GB2312" w:cs="仿宋_GB2312"/>
                <w:i w:val="0"/>
                <w:iCs w:val="0"/>
                <w:caps w:val="0"/>
                <w:color w:val="000000"/>
                <w:spacing w:val="0"/>
                <w:sz w:val="24"/>
                <w:szCs w:val="24"/>
                <w:shd w:val="clear" w:fill="FFFFFF"/>
              </w:rPr>
              <w:t>  3.主动改正；</w:t>
            </w:r>
            <w:r>
              <w:rPr>
                <w:rFonts w:hint="eastAsia" w:ascii="仿宋_GB2312" w:hAnsi="仿宋_GB2312" w:eastAsia="仿宋_GB2312" w:cs="仿宋_GB2312"/>
                <w:i w:val="0"/>
                <w:iCs w:val="0"/>
                <w:caps w:val="0"/>
                <w:color w:val="000000"/>
                <w:spacing w:val="0"/>
                <w:sz w:val="24"/>
                <w:szCs w:val="24"/>
                <w:shd w:val="clear" w:fill="FFFFFF"/>
              </w:rPr>
              <w:br w:type="textWrapping"/>
            </w:r>
            <w:r>
              <w:rPr>
                <w:rFonts w:hint="eastAsia" w:ascii="仿宋_GB2312" w:hAnsi="仿宋_GB2312" w:eastAsia="仿宋_GB2312" w:cs="仿宋_GB2312"/>
                <w:i w:val="0"/>
                <w:iCs w:val="0"/>
                <w:caps w:val="0"/>
                <w:color w:val="000000"/>
                <w:spacing w:val="0"/>
                <w:sz w:val="24"/>
                <w:szCs w:val="24"/>
                <w:shd w:val="clear" w:fill="FFFFFF"/>
              </w:rPr>
              <w:t>  4.没有违法所得</w:t>
            </w:r>
          </w:p>
        </w:tc>
        <w:tc>
          <w:tcPr>
            <w:tcW w:w="5340" w:type="dxa"/>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1.《互联网文化管理暂行规定》（2011年2月通过，2017年12月文化部令第57号修订）第十三条第一款、第二十四条第一款</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leftChars="0" w:right="0" w:rightChars="0"/>
              <w:jc w:val="center"/>
              <w:textAlignment w:val="center"/>
              <w:rPr>
                <w:rFonts w:hint="eastAsia" w:ascii="仿宋_GB2312" w:hAnsi="仿宋_GB2312" w:eastAsia="仿宋_GB2312" w:cs="仿宋_GB2312"/>
                <w:i w:val="0"/>
                <w:iCs w:val="0"/>
                <w:caps w:val="0"/>
                <w:color w:val="333333"/>
                <w:spacing w:val="0"/>
                <w:kern w:val="0"/>
                <w:sz w:val="24"/>
                <w:szCs w:val="24"/>
                <w:lang w:val="en-US" w:eastAsia="zh-CN" w:bidi="ar"/>
              </w:rPr>
            </w:pPr>
            <w:r>
              <w:rPr>
                <w:rFonts w:hint="eastAsia" w:ascii="仿宋_GB2312" w:hAnsi="仿宋_GB2312" w:eastAsia="仿宋_GB2312" w:cs="仿宋_GB2312"/>
                <w:i w:val="0"/>
                <w:iCs w:val="0"/>
                <w:caps w:val="0"/>
                <w:color w:val="333333"/>
                <w:spacing w:val="0"/>
                <w:kern w:val="0"/>
                <w:sz w:val="24"/>
                <w:szCs w:val="24"/>
                <w:lang w:val="en-US" w:eastAsia="zh-CN" w:bidi="ar"/>
              </w:rPr>
              <w:t>2.《中华人民共和国行政处罚法》（1996年3月通过，2017年9月第二次修正）第二十七条</w:t>
            </w:r>
          </w:p>
        </w:tc>
      </w:tr>
    </w:tbl>
    <w:p>
      <w:pPr>
        <w:widowControl w:val="0"/>
        <w:numPr>
          <w:numId w:val="0"/>
        </w:numPr>
        <w:jc w:val="center"/>
        <w:rPr>
          <w:rFonts w:hint="eastAsia" w:ascii="仿宋_GB2312" w:hAnsi="仿宋_GB2312" w:eastAsia="仿宋_GB2312" w:cs="仿宋_GB2312"/>
          <w:i w:val="0"/>
          <w:iCs w:val="0"/>
          <w:caps w:val="0"/>
          <w:color w:val="333333"/>
          <w:spacing w:val="0"/>
          <w:kern w:val="0"/>
          <w:sz w:val="28"/>
          <w:szCs w:val="28"/>
          <w:lang w:val="en-US" w:eastAsia="zh-CN" w:bidi="ar"/>
        </w:rPr>
      </w:pPr>
    </w:p>
    <w:p>
      <w:pPr>
        <w:widowControl w:val="0"/>
        <w:numPr>
          <w:numId w:val="0"/>
        </w:numPr>
        <w:jc w:val="center"/>
        <w:rPr>
          <w:rFonts w:hint="eastAsia" w:ascii="仿宋_GB2312" w:hAnsi="仿宋_GB2312" w:eastAsia="仿宋_GB2312" w:cs="仿宋_GB2312"/>
          <w:i w:val="0"/>
          <w:iCs w:val="0"/>
          <w:caps w:val="0"/>
          <w:color w:val="333333"/>
          <w:spacing w:val="0"/>
          <w:kern w:val="0"/>
          <w:sz w:val="28"/>
          <w:szCs w:val="28"/>
          <w:lang w:val="en-US" w:eastAsia="zh-CN" w:bidi="ar"/>
        </w:rPr>
      </w:pPr>
    </w:p>
    <w:p>
      <w:pPr>
        <w:widowControl w:val="0"/>
        <w:numPr>
          <w:numId w:val="0"/>
        </w:numPr>
        <w:jc w:val="center"/>
        <w:rPr>
          <w:rFonts w:hint="eastAsia" w:ascii="仿宋_GB2312" w:hAnsi="仿宋_GB2312" w:eastAsia="仿宋_GB2312" w:cs="仿宋_GB2312"/>
          <w:i w:val="0"/>
          <w:iCs w:val="0"/>
          <w:caps w:val="0"/>
          <w:color w:val="333333"/>
          <w:spacing w:val="0"/>
          <w:kern w:val="0"/>
          <w:sz w:val="28"/>
          <w:szCs w:val="28"/>
          <w:lang w:val="en-US" w:eastAsia="zh-CN" w:bidi="ar"/>
        </w:rPr>
      </w:pPr>
    </w:p>
    <w:p>
      <w:pPr>
        <w:widowControl w:val="0"/>
        <w:numPr>
          <w:numId w:val="0"/>
        </w:numPr>
        <w:jc w:val="center"/>
        <w:rPr>
          <w:rFonts w:hint="eastAsia" w:ascii="仿宋_GB2312" w:hAnsi="仿宋_GB2312" w:eastAsia="仿宋_GB2312" w:cs="仿宋_GB2312"/>
          <w:i w:val="0"/>
          <w:iCs w:val="0"/>
          <w:caps w:val="0"/>
          <w:color w:val="333333"/>
          <w:spacing w:val="0"/>
          <w:kern w:val="0"/>
          <w:sz w:val="28"/>
          <w:szCs w:val="28"/>
          <w:lang w:val="en-US" w:eastAsia="zh-CN" w:bidi="ar"/>
        </w:rPr>
      </w:pPr>
    </w:p>
    <w:p>
      <w:pPr>
        <w:widowControl w:val="0"/>
        <w:numPr>
          <w:numId w:val="0"/>
        </w:numPr>
        <w:jc w:val="center"/>
        <w:rPr>
          <w:rFonts w:hint="eastAsia" w:ascii="仿宋_GB2312" w:hAnsi="仿宋_GB2312" w:eastAsia="仿宋_GB2312" w:cs="仿宋_GB2312"/>
          <w:i w:val="0"/>
          <w:iCs w:val="0"/>
          <w:caps w:val="0"/>
          <w:color w:val="333333"/>
          <w:spacing w:val="0"/>
          <w:kern w:val="0"/>
          <w:sz w:val="28"/>
          <w:szCs w:val="28"/>
          <w:lang w:val="en-US" w:eastAsia="zh-CN" w:bidi="ar"/>
        </w:rPr>
      </w:pPr>
    </w:p>
    <w:p>
      <w:pPr>
        <w:widowControl w:val="0"/>
        <w:numPr>
          <w:numId w:val="0"/>
        </w:numPr>
        <w:jc w:val="center"/>
        <w:rPr>
          <w:rFonts w:hint="eastAsia" w:ascii="仿宋_GB2312" w:hAnsi="仿宋_GB2312" w:eastAsia="仿宋_GB2312" w:cs="仿宋_GB2312"/>
          <w:i w:val="0"/>
          <w:iCs w:val="0"/>
          <w:caps w:val="0"/>
          <w:color w:val="333333"/>
          <w:spacing w:val="0"/>
          <w:kern w:val="0"/>
          <w:sz w:val="28"/>
          <w:szCs w:val="28"/>
          <w:lang w:val="en-US" w:eastAsia="zh-CN" w:bidi="ar"/>
        </w:rPr>
      </w:pPr>
    </w:p>
    <w:p>
      <w:pPr>
        <w:widowControl w:val="0"/>
        <w:numPr>
          <w:numId w:val="0"/>
        </w:numPr>
        <w:jc w:val="center"/>
        <w:rPr>
          <w:rFonts w:hint="eastAsia" w:ascii="仿宋_GB2312" w:hAnsi="仿宋_GB2312" w:eastAsia="仿宋_GB2312" w:cs="仿宋_GB2312"/>
          <w:i w:val="0"/>
          <w:iCs w:val="0"/>
          <w:caps w:val="0"/>
          <w:color w:val="333333"/>
          <w:spacing w:val="0"/>
          <w:kern w:val="0"/>
          <w:sz w:val="28"/>
          <w:szCs w:val="28"/>
          <w:lang w:val="en-US" w:eastAsia="zh-CN" w:bidi="ar"/>
        </w:rPr>
      </w:pPr>
    </w:p>
    <w:p>
      <w:pPr>
        <w:widowControl w:val="0"/>
        <w:numPr>
          <w:numId w:val="0"/>
        </w:numPr>
        <w:jc w:val="both"/>
        <w:rPr>
          <w:rFonts w:hint="eastAsia" w:ascii="仿宋_GB2312" w:hAnsi="仿宋_GB2312" w:eastAsia="仿宋_GB2312" w:cs="仿宋_GB2312"/>
          <w:i w:val="0"/>
          <w:iCs w:val="0"/>
          <w:caps w:val="0"/>
          <w:color w:val="333333"/>
          <w:spacing w:val="0"/>
          <w:kern w:val="0"/>
          <w:sz w:val="28"/>
          <w:szCs w:val="28"/>
          <w:lang w:val="en-US" w:eastAsia="zh-CN" w:bidi="ar"/>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简体">
    <w:altName w:val="微软雅黑"/>
    <w:panose1 w:val="00000000000000000000"/>
    <w:charset w:val="86"/>
    <w:family w:val="auto"/>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汉仪仿宋简">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sans-serif">
    <w:altName w:val="Arial"/>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34A27D3"/>
    <w:multiLevelType w:val="singleLevel"/>
    <w:tmpl w:val="634A27D3"/>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JiZDgzOTJiZjZjOWExMzJkNWNkOTIyMGQ3Mjg4ZjIifQ=="/>
  </w:docVars>
  <w:rsids>
    <w:rsidRoot w:val="61C127CA"/>
    <w:rsid w:val="0017701C"/>
    <w:rsid w:val="003B35CB"/>
    <w:rsid w:val="006F1FE8"/>
    <w:rsid w:val="008643B9"/>
    <w:rsid w:val="00B1623E"/>
    <w:rsid w:val="019E1A63"/>
    <w:rsid w:val="02024450"/>
    <w:rsid w:val="02342269"/>
    <w:rsid w:val="04285D2E"/>
    <w:rsid w:val="05982BE3"/>
    <w:rsid w:val="05DE3F94"/>
    <w:rsid w:val="08FD4F2E"/>
    <w:rsid w:val="0AA13E63"/>
    <w:rsid w:val="0B4444D9"/>
    <w:rsid w:val="0CE04125"/>
    <w:rsid w:val="11467262"/>
    <w:rsid w:val="11FB5555"/>
    <w:rsid w:val="121C77FC"/>
    <w:rsid w:val="12F6246B"/>
    <w:rsid w:val="141250DE"/>
    <w:rsid w:val="14EA20FF"/>
    <w:rsid w:val="150635D2"/>
    <w:rsid w:val="15D21BCD"/>
    <w:rsid w:val="170506E0"/>
    <w:rsid w:val="1BFB3A88"/>
    <w:rsid w:val="1E24255A"/>
    <w:rsid w:val="200B0A57"/>
    <w:rsid w:val="24EB0384"/>
    <w:rsid w:val="24FA30D8"/>
    <w:rsid w:val="26213D6D"/>
    <w:rsid w:val="26872188"/>
    <w:rsid w:val="29830866"/>
    <w:rsid w:val="29DD38B7"/>
    <w:rsid w:val="2A2D3FFD"/>
    <w:rsid w:val="2ABC0102"/>
    <w:rsid w:val="2B0552FE"/>
    <w:rsid w:val="2C0D1BA3"/>
    <w:rsid w:val="30077A0D"/>
    <w:rsid w:val="303551E2"/>
    <w:rsid w:val="33253611"/>
    <w:rsid w:val="346B098C"/>
    <w:rsid w:val="35BC7A28"/>
    <w:rsid w:val="36C30F22"/>
    <w:rsid w:val="36C66967"/>
    <w:rsid w:val="37377D65"/>
    <w:rsid w:val="38F27255"/>
    <w:rsid w:val="3B65399F"/>
    <w:rsid w:val="3B9F681B"/>
    <w:rsid w:val="3BB4DBBA"/>
    <w:rsid w:val="3BD571E0"/>
    <w:rsid w:val="3BE63FFA"/>
    <w:rsid w:val="3E084732"/>
    <w:rsid w:val="415C33F7"/>
    <w:rsid w:val="446F0C9B"/>
    <w:rsid w:val="44CD19E8"/>
    <w:rsid w:val="44F55E3C"/>
    <w:rsid w:val="479B5A6F"/>
    <w:rsid w:val="48260EF0"/>
    <w:rsid w:val="491F6B81"/>
    <w:rsid w:val="4A5F661A"/>
    <w:rsid w:val="4CA737F6"/>
    <w:rsid w:val="4D175428"/>
    <w:rsid w:val="4D476224"/>
    <w:rsid w:val="4D8867A2"/>
    <w:rsid w:val="4DF00E17"/>
    <w:rsid w:val="4FEE7AF9"/>
    <w:rsid w:val="4FF946E8"/>
    <w:rsid w:val="50EB6172"/>
    <w:rsid w:val="535C5974"/>
    <w:rsid w:val="54250CD7"/>
    <w:rsid w:val="54DE0993"/>
    <w:rsid w:val="555866A0"/>
    <w:rsid w:val="556B53F2"/>
    <w:rsid w:val="56F56C5F"/>
    <w:rsid w:val="5A536B8E"/>
    <w:rsid w:val="5B452317"/>
    <w:rsid w:val="5E4A37F6"/>
    <w:rsid w:val="5E9B3A7C"/>
    <w:rsid w:val="5F88388A"/>
    <w:rsid w:val="5FD73148"/>
    <w:rsid w:val="5FEF5230"/>
    <w:rsid w:val="600A44F2"/>
    <w:rsid w:val="6045396F"/>
    <w:rsid w:val="611F6632"/>
    <w:rsid w:val="61C127CA"/>
    <w:rsid w:val="621C2278"/>
    <w:rsid w:val="62F06B7D"/>
    <w:rsid w:val="6362443F"/>
    <w:rsid w:val="65D16666"/>
    <w:rsid w:val="65D97BED"/>
    <w:rsid w:val="66B12C26"/>
    <w:rsid w:val="67792C28"/>
    <w:rsid w:val="678C3BBE"/>
    <w:rsid w:val="67B12D58"/>
    <w:rsid w:val="67CD7E57"/>
    <w:rsid w:val="67FA4CB5"/>
    <w:rsid w:val="68175E51"/>
    <w:rsid w:val="6AB5533C"/>
    <w:rsid w:val="6B3C626F"/>
    <w:rsid w:val="6D254253"/>
    <w:rsid w:val="6D256F46"/>
    <w:rsid w:val="6D603541"/>
    <w:rsid w:val="6E6B09E9"/>
    <w:rsid w:val="6EC47F4B"/>
    <w:rsid w:val="709B0715"/>
    <w:rsid w:val="748854B4"/>
    <w:rsid w:val="76CC2D6D"/>
    <w:rsid w:val="76D72447"/>
    <w:rsid w:val="77052815"/>
    <w:rsid w:val="78E97067"/>
    <w:rsid w:val="7B3506B1"/>
    <w:rsid w:val="7C022CC8"/>
    <w:rsid w:val="7E566C18"/>
    <w:rsid w:val="7E805AC9"/>
    <w:rsid w:val="7FDCD74E"/>
    <w:rsid w:val="AF7588A5"/>
    <w:rsid w:val="BE7B15DB"/>
    <w:rsid w:val="FFFBD447"/>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iPriority="9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方正仿宋简体" w:cs="Times New Roman"/>
      <w:kern w:val="2"/>
      <w:sz w:val="32"/>
      <w:szCs w:val="24"/>
      <w:lang w:val="en-US" w:eastAsia="zh-CN" w:bidi="ar-SA"/>
    </w:rPr>
  </w:style>
  <w:style w:type="paragraph" w:styleId="2">
    <w:name w:val="heading 1"/>
    <w:basedOn w:val="1"/>
    <w:next w:val="1"/>
    <w:qFormat/>
    <w:uiPriority w:val="0"/>
    <w:pPr>
      <w:keepNext/>
      <w:keepLines/>
      <w:spacing w:line="576" w:lineRule="auto"/>
      <w:outlineLvl w:val="0"/>
    </w:pPr>
    <w:rPr>
      <w:rFonts w:eastAsia="方正小标宋简体" w:asciiTheme="minorHAnsi" w:hAnsiTheme="minorHAnsi"/>
      <w:kern w:val="44"/>
      <w:sz w:val="44"/>
    </w:rPr>
  </w:style>
  <w:style w:type="paragraph" w:styleId="3">
    <w:name w:val="heading 3"/>
    <w:basedOn w:val="1"/>
    <w:next w:val="1"/>
    <w:unhideWhenUsed/>
    <w:qFormat/>
    <w:uiPriority w:val="9"/>
    <w:pPr>
      <w:keepNext/>
      <w:keepLines/>
      <w:spacing w:before="260" w:after="260" w:line="416" w:lineRule="auto"/>
      <w:outlineLvl w:val="2"/>
    </w:pPr>
    <w:rPr>
      <w:b/>
      <w:bCs/>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4">
    <w:name w:val="footer"/>
    <w:basedOn w:val="1"/>
    <w:link w:val="15"/>
    <w:qFormat/>
    <w:uiPriority w:val="0"/>
    <w:pPr>
      <w:tabs>
        <w:tab w:val="center" w:pos="4153"/>
        <w:tab w:val="right" w:pos="8306"/>
      </w:tabs>
      <w:snapToGrid w:val="0"/>
      <w:jc w:val="left"/>
    </w:pPr>
    <w:rPr>
      <w:sz w:val="18"/>
      <w:szCs w:val="18"/>
    </w:rPr>
  </w:style>
  <w:style w:type="paragraph" w:styleId="5">
    <w:name w:val="header"/>
    <w:basedOn w:val="1"/>
    <w:link w:val="14"/>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Autospacing="1" w:afterAutospacing="1"/>
      <w:jc w:val="left"/>
    </w:pPr>
    <w:rPr>
      <w:kern w:val="0"/>
      <w:sz w:val="24"/>
    </w:rPr>
  </w:style>
  <w:style w:type="table" w:styleId="8">
    <w:name w:val="Table Grid"/>
    <w:basedOn w:val="7"/>
    <w:unhideWhenUsed/>
    <w:qFormat/>
    <w:uiPriority w:val="99"/>
    <w:rPr>
      <w:rFonts w:eastAsia="Times New Roman"/>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0">
    <w:name w:val="Strong"/>
    <w:basedOn w:val="9"/>
    <w:qFormat/>
    <w:uiPriority w:val="22"/>
    <w:rPr>
      <w:b/>
    </w:rPr>
  </w:style>
  <w:style w:type="character" w:styleId="11">
    <w:name w:val="Hyperlink"/>
    <w:basedOn w:val="9"/>
    <w:semiHidden/>
    <w:unhideWhenUsed/>
    <w:qFormat/>
    <w:uiPriority w:val="99"/>
    <w:rPr>
      <w:color w:val="0000FF"/>
      <w:u w:val="single"/>
    </w:rPr>
  </w:style>
  <w:style w:type="paragraph" w:customStyle="1" w:styleId="12">
    <w:name w:val="Default"/>
    <w:qFormat/>
    <w:uiPriority w:val="0"/>
    <w:pPr>
      <w:widowControl w:val="0"/>
      <w:autoSpaceDE w:val="0"/>
      <w:autoSpaceDN w:val="0"/>
      <w:adjustRightInd w:val="0"/>
    </w:pPr>
    <w:rPr>
      <w:rFonts w:ascii="方正小标宋简体" w:hAnsi="方正小标宋简体" w:eastAsia="方正小标宋简体" w:cs="方正小标宋简体"/>
      <w:color w:val="000000"/>
      <w:kern w:val="0"/>
      <w:sz w:val="24"/>
      <w:szCs w:val="24"/>
      <w:lang w:val="en-US" w:eastAsia="zh-CN" w:bidi="ar-SA"/>
    </w:rPr>
  </w:style>
  <w:style w:type="paragraph" w:customStyle="1" w:styleId="13">
    <w:name w:val="样式1"/>
    <w:basedOn w:val="1"/>
    <w:qFormat/>
    <w:uiPriority w:val="0"/>
    <w:pPr>
      <w:spacing w:line="600" w:lineRule="exact"/>
    </w:pPr>
    <w:rPr>
      <w:rFonts w:eastAsia="仿宋_GB2312" w:asciiTheme="minorHAnsi" w:hAnsiTheme="minorHAnsi"/>
    </w:rPr>
  </w:style>
  <w:style w:type="character" w:customStyle="1" w:styleId="14">
    <w:name w:val="页眉 Char"/>
    <w:basedOn w:val="9"/>
    <w:link w:val="5"/>
    <w:qFormat/>
    <w:uiPriority w:val="0"/>
    <w:rPr>
      <w:rFonts w:eastAsia="方正仿宋简体"/>
      <w:kern w:val="2"/>
      <w:sz w:val="18"/>
      <w:szCs w:val="18"/>
    </w:rPr>
  </w:style>
  <w:style w:type="character" w:customStyle="1" w:styleId="15">
    <w:name w:val="页脚 Char"/>
    <w:basedOn w:val="9"/>
    <w:link w:val="4"/>
    <w:qFormat/>
    <w:uiPriority w:val="0"/>
    <w:rPr>
      <w:rFonts w:eastAsia="方正仿宋简体"/>
      <w:kern w:val="2"/>
      <w:sz w:val="18"/>
      <w:szCs w:val="18"/>
    </w:rPr>
  </w:style>
  <w:style w:type="paragraph" w:customStyle="1" w:styleId="16">
    <w:name w:val="文件"/>
    <w:basedOn w:val="1"/>
    <w:qFormat/>
    <w:uiPriority w:val="0"/>
    <w:pPr>
      <w:keepNext w:val="0"/>
      <w:keepLines w:val="0"/>
      <w:widowControl w:val="0"/>
      <w:suppressLineNumbers w:val="0"/>
      <w:adjustRightInd w:val="0"/>
      <w:snapToGrid w:val="0"/>
      <w:spacing w:before="0" w:beforeAutospacing="0" w:after="0" w:afterAutospacing="0" w:line="336" w:lineRule="auto"/>
      <w:ind w:left="0" w:right="0" w:firstLine="658"/>
      <w:jc w:val="both"/>
    </w:pPr>
    <w:rPr>
      <w:rFonts w:hint="default" w:ascii="汉仪仿宋简" w:hAnsi="Calibri" w:eastAsia="汉仪仿宋简" w:cs="Times New Roman"/>
      <w:spacing w:val="-3"/>
      <w:kern w:val="2"/>
      <w:sz w:val="32"/>
      <w:szCs w:val="32"/>
      <w:lang w:val="en-US" w:eastAsia="zh-CN" w:bidi="ar"/>
    </w:rPr>
  </w:style>
  <w:style w:type="paragraph" w:styleId="17">
    <w:name w:val="List Paragraph"/>
    <w:basedOn w:val="1"/>
    <w:qFormat/>
    <w:uiPriority w:val="99"/>
    <w:pPr>
      <w:ind w:firstLine="420" w:firstLineChars="200"/>
    </w:pPr>
  </w:style>
  <w:style w:type="character" w:customStyle="1" w:styleId="18">
    <w:name w:val="font11"/>
    <w:basedOn w:val="9"/>
    <w:qFormat/>
    <w:uiPriority w:val="0"/>
    <w:rPr>
      <w:rFonts w:hint="default" w:ascii="Times New Roman" w:hAnsi="Times New Roman" w:cs="Times New Roman"/>
      <w:color w:val="000000"/>
      <w:sz w:val="21"/>
      <w:szCs w:val="21"/>
      <w:u w:val="none"/>
    </w:rPr>
  </w:style>
  <w:style w:type="character" w:customStyle="1" w:styleId="19">
    <w:name w:val="font01"/>
    <w:basedOn w:val="9"/>
    <w:qFormat/>
    <w:uiPriority w:val="0"/>
    <w:rPr>
      <w:rFonts w:hint="eastAsia" w:ascii="仿宋" w:hAnsi="仿宋" w:eastAsia="仿宋" w:cs="仿宋"/>
      <w:b/>
      <w:bCs/>
      <w:color w:val="FF0000"/>
      <w:sz w:val="21"/>
      <w:szCs w:val="21"/>
      <w:u w:val="none"/>
    </w:rPr>
  </w:style>
  <w:style w:type="character" w:customStyle="1" w:styleId="20">
    <w:name w:val="font41"/>
    <w:basedOn w:val="9"/>
    <w:qFormat/>
    <w:uiPriority w:val="0"/>
    <w:rPr>
      <w:rFonts w:hint="default" w:ascii="方正仿宋简体" w:hAnsi="方正仿宋简体" w:eastAsia="方正仿宋简体" w:cs="方正仿宋简体"/>
      <w:color w:val="000000"/>
      <w:sz w:val="22"/>
      <w:szCs w:val="22"/>
      <w:u w:val="none"/>
    </w:rPr>
  </w:style>
  <w:style w:type="character" w:customStyle="1" w:styleId="21">
    <w:name w:val="font31"/>
    <w:basedOn w:val="9"/>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Company>微软中国</Company>
  <Pages>9</Pages>
  <Words>3761</Words>
  <Characters>3826</Characters>
  <Lines>14</Lines>
  <Paragraphs>3</Paragraphs>
  <TotalTime>44</TotalTime>
  <ScaleCrop>false</ScaleCrop>
  <LinksUpToDate>false</LinksUpToDate>
  <CharactersWithSpaces>3832</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2021-09-28T03:24:00Z</dcterms:created>
  <dc:creator>WPS_1508224667</dc:creator>
  <cp:lastModifiedBy>心叶田田</cp:lastModifiedBy>
  <cp:lastPrinted>2021-09-24T08:19:00Z</cp:lastPrinted>
  <dcterms:modified xsi:type="dcterms:W3CDTF">2023-08-25T07:54:34Z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97C915B9ACAF40B4919586C00AD6092E</vt:lpwstr>
  </property>
</Properties>
</file>