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方正小标宋简体" w:cs="Times New Roman"/>
          <w:color w:val="auto"/>
          <w:sz w:val="44"/>
          <w:szCs w:val="44"/>
          <w:lang w:eastAsia="zh-CN"/>
        </w:rPr>
      </w:pPr>
      <w:r>
        <w:rPr>
          <w:rFonts w:hint="default" w:ascii="Times New Roman" w:hAnsi="Times New Roman" w:eastAsia="方正小标宋简体" w:cs="Times New Roman"/>
          <w:color w:val="auto"/>
          <w:spacing w:val="-20"/>
          <w:kern w:val="0"/>
          <w:sz w:val="44"/>
          <w:szCs w:val="44"/>
          <w:lang w:val="en-US" w:eastAsia="zh-CN"/>
        </w:rPr>
        <w:t>荣成山东荣光实业有限公司“10·20”一般机械伤害事故</w:t>
      </w:r>
      <w:r>
        <w:rPr>
          <w:rFonts w:hint="default" w:ascii="Times New Roman" w:hAnsi="Times New Roman" w:eastAsia="方正小标宋简体" w:cs="Times New Roman"/>
          <w:color w:val="auto"/>
          <w:sz w:val="44"/>
          <w:szCs w:val="44"/>
          <w:lang w:eastAsia="zh-CN"/>
        </w:rPr>
        <w:t>防范和整改措施落实情况评估报告</w:t>
      </w:r>
    </w:p>
    <w:p>
      <w:pPr>
        <w:pStyle w:val="11"/>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textAlignment w:val="auto"/>
        <w:outlineLvl w:val="9"/>
        <w:rPr>
          <w:rFonts w:hint="default" w:ascii="Times New Roman" w:hAnsi="Times New Roman" w:cs="Times New Roman"/>
          <w:b w:val="0"/>
          <w:color w:val="auto"/>
          <w:kern w:val="2"/>
          <w:sz w:val="32"/>
          <w:szCs w:val="32"/>
          <w:lang w:val="en-US" w:eastAsia="zh-CN" w:bidi="ar-SA"/>
        </w:rPr>
      </w:pPr>
    </w:p>
    <w:p>
      <w:pPr>
        <w:pStyle w:val="11"/>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textAlignment w:val="auto"/>
        <w:outlineLvl w:val="9"/>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2023年10月20日13时30分许，山东荣光实业有限公司</w:t>
      </w:r>
      <w:r>
        <w:rPr>
          <w:rFonts w:hint="default" w:ascii="Times New Roman" w:hAnsi="Times New Roman" w:cs="Times New Roman"/>
          <w:b w:val="0"/>
          <w:color w:val="auto"/>
          <w:kern w:val="2"/>
          <w:sz w:val="32"/>
          <w:szCs w:val="32"/>
          <w:lang w:val="en-US" w:eastAsia="zh-CN" w:bidi="ar-SA"/>
        </w:rPr>
        <w:t>一</w:t>
      </w:r>
      <w:r>
        <w:rPr>
          <w:rFonts w:hint="default" w:ascii="Times New Roman" w:hAnsi="Times New Roman" w:eastAsia="仿宋_GB2312" w:cs="Times New Roman"/>
          <w:b w:val="0"/>
          <w:color w:val="auto"/>
          <w:kern w:val="2"/>
          <w:sz w:val="32"/>
          <w:szCs w:val="32"/>
          <w:lang w:val="en-US" w:eastAsia="zh-CN" w:bidi="ar-SA"/>
        </w:rPr>
        <w:t>职工在油脂包装车间内搬抬油品时被突然下压的机械臂压伤脖颈处，</w:t>
      </w:r>
      <w:r>
        <w:rPr>
          <w:rFonts w:hint="default" w:ascii="Times New Roman" w:hAnsi="Times New Roman" w:cs="Times New Roman"/>
          <w:b w:val="0"/>
          <w:color w:val="auto"/>
          <w:kern w:val="2"/>
          <w:sz w:val="32"/>
          <w:szCs w:val="32"/>
          <w:lang w:val="en-US" w:eastAsia="zh-CN" w:bidi="ar-SA"/>
        </w:rPr>
        <w:t>于</w:t>
      </w:r>
      <w:r>
        <w:rPr>
          <w:rFonts w:hint="default" w:ascii="Times New Roman" w:hAnsi="Times New Roman" w:eastAsia="仿宋_GB2312" w:cs="Times New Roman"/>
          <w:b w:val="0"/>
          <w:color w:val="auto"/>
          <w:kern w:val="2"/>
          <w:sz w:val="32"/>
          <w:szCs w:val="32"/>
          <w:lang w:val="en-US" w:eastAsia="zh-CN" w:bidi="ar-SA"/>
        </w:rPr>
        <w:t>2023年12月8日经医治无效</w:t>
      </w:r>
      <w:r>
        <w:rPr>
          <w:rFonts w:hint="default" w:ascii="Times New Roman" w:hAnsi="Times New Roman" w:cs="Times New Roman"/>
          <w:b w:val="0"/>
          <w:color w:val="auto"/>
          <w:kern w:val="2"/>
          <w:sz w:val="32"/>
          <w:szCs w:val="32"/>
          <w:lang w:val="en-US" w:eastAsia="zh-CN" w:bidi="ar-SA"/>
        </w:rPr>
        <w:t>后</w:t>
      </w:r>
      <w:r>
        <w:rPr>
          <w:rFonts w:hint="default" w:ascii="Times New Roman" w:hAnsi="Times New Roman" w:eastAsia="仿宋_GB2312" w:cs="Times New Roman"/>
          <w:b w:val="0"/>
          <w:color w:val="auto"/>
          <w:kern w:val="2"/>
          <w:sz w:val="32"/>
          <w:szCs w:val="32"/>
          <w:lang w:val="en-US" w:eastAsia="zh-CN" w:bidi="ar-SA"/>
        </w:rPr>
        <w:t>死亡</w:t>
      </w:r>
      <w:r>
        <w:rPr>
          <w:rFonts w:hint="default" w:ascii="Times New Roman" w:hAnsi="Times New Roman" w:cs="Times New Roman"/>
          <w:b w:val="0"/>
          <w:color w:val="auto"/>
          <w:kern w:val="2"/>
          <w:sz w:val="32"/>
          <w:szCs w:val="32"/>
          <w:lang w:val="en-US" w:eastAsia="zh-CN" w:bidi="ar-SA"/>
        </w:rPr>
        <w:t>。事故共造成1人死亡</w:t>
      </w:r>
      <w:r>
        <w:rPr>
          <w:rFonts w:hint="default" w:ascii="Times New Roman" w:hAnsi="Times New Roman" w:eastAsia="仿宋_GB2312" w:cs="Times New Roman"/>
          <w:b w:val="0"/>
          <w:color w:val="auto"/>
          <w:kern w:val="2"/>
          <w:sz w:val="32"/>
          <w:szCs w:val="32"/>
          <w:lang w:val="en-US" w:eastAsia="zh-CN" w:bidi="ar-SA"/>
        </w:rPr>
        <w:t>，直接经济损失约190万元。</w:t>
      </w:r>
    </w:p>
    <w:p>
      <w:pPr>
        <w:pStyle w:val="11"/>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textAlignment w:val="auto"/>
        <w:outlineLvl w:val="9"/>
        <w:rPr>
          <w:rFonts w:hint="default" w:ascii="Times New Roman" w:hAnsi="Times New Roman" w:cs="Times New Roman"/>
          <w:b w:val="0"/>
          <w:color w:val="auto"/>
          <w:kern w:val="2"/>
          <w:sz w:val="32"/>
          <w:szCs w:val="32"/>
          <w:lang w:val="en-US" w:eastAsia="zh-CN" w:bidi="ar-SA"/>
        </w:rPr>
      </w:pPr>
      <w:r>
        <w:rPr>
          <w:rFonts w:hint="default" w:ascii="Times New Roman" w:hAnsi="Times New Roman" w:eastAsia="仿宋_GB2312" w:cs="Times New Roman"/>
          <w:color w:val="auto"/>
          <w:sz w:val="32"/>
          <w:szCs w:val="32"/>
          <w:lang w:val="en-US" w:eastAsia="zh-CN" w:bidi="ar"/>
        </w:rPr>
        <w:t>荣成市人民政府于2025年9月28日成立由市应急管理局牵头，市公安局、市总工会、市工信局、市农业农村局和经济开发区管委会派员参加的事故调查组，特邀市纪委监委、市人民检察院派员参加，对事故进行调查</w:t>
      </w:r>
      <w:r>
        <w:rPr>
          <w:rFonts w:hint="eastAsia" w:ascii="Times New Roman" w:hAnsi="Times New Roman" w:eastAsia="仿宋_GB2312" w:cs="Times New Roman"/>
          <w:color w:val="auto"/>
          <w:sz w:val="32"/>
          <w:szCs w:val="32"/>
          <w:lang w:val="en-US" w:eastAsia="zh-CN" w:bidi="ar"/>
        </w:rPr>
        <w:t>。2025年12月15日，荣成市</w:t>
      </w:r>
      <w:r>
        <w:rPr>
          <w:rFonts w:hint="eastAsia" w:eastAsia="仿宋_GB2312" w:cs="Times New Roman"/>
          <w:color w:val="auto"/>
          <w:sz w:val="32"/>
          <w:szCs w:val="32"/>
          <w:lang w:val="en-US" w:eastAsia="zh-CN" w:bidi="ar"/>
        </w:rPr>
        <w:t>人民</w:t>
      </w:r>
      <w:r>
        <w:rPr>
          <w:rFonts w:hint="eastAsia" w:ascii="Times New Roman" w:hAnsi="Times New Roman" w:eastAsia="仿宋_GB2312" w:cs="Times New Roman"/>
          <w:color w:val="auto"/>
          <w:sz w:val="32"/>
          <w:szCs w:val="32"/>
          <w:lang w:val="en-US" w:eastAsia="zh-CN" w:bidi="ar"/>
        </w:rPr>
        <w:t>政府对《荣成山东荣光实业有限公司“10·20”一般机械伤害事故调查报告》批复结案。</w:t>
      </w:r>
      <w:r>
        <w:rPr>
          <w:rFonts w:hint="default" w:ascii="Times New Roman" w:hAnsi="Times New Roman" w:cs="Times New Roman"/>
          <w:b w:val="0"/>
          <w:color w:val="auto"/>
          <w:kern w:val="2"/>
          <w:sz w:val="32"/>
          <w:szCs w:val="32"/>
          <w:lang w:val="en-US" w:eastAsia="zh-CN" w:bidi="ar-SA"/>
        </w:rPr>
        <w:t>经调查认定，山东荣光实业有限公司“10·20”事故是一起因职工违章作业导致的一般生产安全责任事故。</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一、</w:t>
      </w:r>
      <w:r>
        <w:rPr>
          <w:rFonts w:hint="default" w:ascii="Times New Roman" w:hAnsi="Times New Roman" w:eastAsia="黑体" w:cs="Times New Roman"/>
          <w:sz w:val="32"/>
          <w:szCs w:val="32"/>
        </w:rPr>
        <w:t>评估工作组织及开展情况</w:t>
      </w:r>
    </w:p>
    <w:p>
      <w:pPr>
        <w:pStyle w:val="2"/>
        <w:keepNext w:val="0"/>
        <w:keepLines w:val="0"/>
        <w:pageBreakBefore w:val="0"/>
        <w:widowControl w:val="0"/>
        <w:numPr>
          <w:ilvl w:val="0"/>
          <w:numId w:val="0"/>
        </w:numPr>
        <w:kinsoku/>
        <w:wordWrap/>
        <w:overflowPunct/>
        <w:topLinePunct w:val="0"/>
        <w:bidi w:val="0"/>
        <w:snapToGrid/>
        <w:spacing w:line="240" w:lineRule="auto"/>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市应急管理局组织评估组，依据《事故调查报告》，按照“四不放过”和“科学严谨、依法依规、实事求是、注重实效”的原则，查阅了相关资料，对相关单位检查了解了事故发生后整改措施落实情况，形成了评估报告。</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二、事故责任追究情况</w:t>
      </w:r>
      <w:bookmarkStart w:id="0" w:name="_Toc5775"/>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楷体_GB2312" w:cs="Times New Roman"/>
          <w:color w:val="auto"/>
          <w:kern w:val="2"/>
          <w:sz w:val="32"/>
          <w:szCs w:val="32"/>
          <w:lang w:val="en-US" w:eastAsia="zh-CN" w:bidi="ar-SA"/>
        </w:rPr>
        <w:t>（一）因在事故中死亡不予追究责任人员</w:t>
      </w:r>
      <w:bookmarkEnd w:id="0"/>
      <w:r>
        <w:rPr>
          <w:rFonts w:hint="default" w:ascii="Times New Roman" w:hAnsi="Times New Roman" w:eastAsia="仿宋_GB2312" w:cs="Times New Roman"/>
          <w:color w:val="auto"/>
          <w:kern w:val="2"/>
          <w:sz w:val="32"/>
          <w:szCs w:val="32"/>
          <w:lang w:val="en-US" w:eastAsia="zh-CN" w:bidi="ar"/>
        </w:rPr>
        <w:t>（</w:t>
      </w:r>
      <w:r>
        <w:rPr>
          <w:rFonts w:hint="default" w:ascii="Times New Roman" w:hAnsi="Times New Roman" w:eastAsia="宋体" w:cs="Times New Roman"/>
          <w:color w:val="auto"/>
          <w:kern w:val="2"/>
          <w:sz w:val="32"/>
          <w:szCs w:val="32"/>
          <w:lang w:val="en-US" w:eastAsia="zh-CN" w:bidi="ar"/>
        </w:rPr>
        <w:t>1</w:t>
      </w:r>
      <w:r>
        <w:rPr>
          <w:rFonts w:hint="default" w:ascii="Times New Roman" w:hAnsi="Times New Roman" w:eastAsia="仿宋_GB2312" w:cs="Times New Roman"/>
          <w:color w:val="auto"/>
          <w:kern w:val="2"/>
          <w:sz w:val="32"/>
          <w:szCs w:val="32"/>
          <w:lang w:val="en-US" w:eastAsia="zh-CN" w:bidi="ar"/>
        </w:rPr>
        <w:t>人）</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陈建*，群众，山东荣光实业有限公司码垛工，对事故发生负有直接责任，鉴于已在事故中死亡，建议免于追究责任。</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（二）对有关公职人员的处理建议</w:t>
      </w:r>
      <w:r>
        <w:rPr>
          <w:rFonts w:hint="default" w:ascii="Times New Roman" w:hAnsi="Times New Roman" w:eastAsia="仿宋_GB2312" w:cs="Times New Roman"/>
          <w:color w:val="auto"/>
          <w:kern w:val="2"/>
          <w:sz w:val="32"/>
          <w:szCs w:val="32"/>
          <w:lang w:val="en-US" w:eastAsia="zh-CN" w:bidi="ar"/>
        </w:rPr>
        <w:t>（</w:t>
      </w:r>
      <w:r>
        <w:rPr>
          <w:rFonts w:hint="default" w:ascii="Times New Roman" w:hAnsi="Times New Roman" w:eastAsia="宋体" w:cs="Times New Roman"/>
          <w:color w:val="auto"/>
          <w:kern w:val="2"/>
          <w:sz w:val="32"/>
          <w:szCs w:val="32"/>
          <w:lang w:val="en-US" w:eastAsia="zh-CN" w:bidi="ar"/>
        </w:rPr>
        <w:t>1</w:t>
      </w:r>
      <w:r>
        <w:rPr>
          <w:rFonts w:hint="default" w:ascii="Times New Roman" w:hAnsi="Times New Roman" w:eastAsia="仿宋_GB2312" w:cs="Times New Roman"/>
          <w:color w:val="auto"/>
          <w:kern w:val="2"/>
          <w:sz w:val="32"/>
          <w:szCs w:val="32"/>
          <w:lang w:val="en-US" w:eastAsia="zh-CN" w:bidi="ar"/>
        </w:rPr>
        <w:t>人）</w:t>
      </w:r>
    </w:p>
    <w:p>
      <w:pPr>
        <w:pStyle w:val="2"/>
        <w:keepNext w:val="0"/>
        <w:keepLines w:val="0"/>
        <w:pageBreakBefore w:val="0"/>
        <w:widowControl w:val="0"/>
        <w:numPr>
          <w:ilvl w:val="0"/>
          <w:numId w:val="0"/>
        </w:numPr>
        <w:kinsoku/>
        <w:wordWrap/>
        <w:overflowPunct/>
        <w:topLinePunct w:val="0"/>
        <w:bidi w:val="0"/>
        <w:snapToGrid/>
        <w:spacing w:line="240" w:lineRule="auto"/>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石保*，中共党员，荣成经济开发区应急管理局局长，掌握事故信息后心存侥幸，未及时向荣成市政府和有关部门通报事故，对该事故未按规定上报负有责任，建议给予其诫勉。2026年1月7日对石保*进行诫勉。</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（三）对事故有关责任人的行政处罚建议</w:t>
      </w:r>
      <w:r>
        <w:rPr>
          <w:rFonts w:hint="default" w:ascii="Times New Roman" w:hAnsi="Times New Roman" w:eastAsia="仿宋_GB2312" w:cs="Times New Roman"/>
          <w:color w:val="auto"/>
          <w:kern w:val="2"/>
          <w:sz w:val="32"/>
          <w:szCs w:val="32"/>
          <w:lang w:val="en-US" w:eastAsia="zh-CN" w:bidi="ar"/>
        </w:rPr>
        <w:t>（2人）</w:t>
      </w:r>
    </w:p>
    <w:p>
      <w:pPr>
        <w:pStyle w:val="2"/>
        <w:keepNext w:val="0"/>
        <w:keepLines w:val="0"/>
        <w:pageBreakBefore w:val="0"/>
        <w:widowControl w:val="0"/>
        <w:numPr>
          <w:ilvl w:val="0"/>
          <w:numId w:val="0"/>
        </w:numPr>
        <w:kinsoku/>
        <w:wordWrap/>
        <w:overflowPunct/>
        <w:topLinePunct w:val="0"/>
        <w:bidi w:val="0"/>
        <w:snapToGrid/>
        <w:spacing w:line="240" w:lineRule="auto"/>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孙*，中共党员，山东荣光实业有限公司总经理、主要负责人，未认真履行安全生产管理职责，违反《中华人民共和国安全生产法》第二十一条第（五）项的规定，对事故发生负有责任，建议荣成市应急管理局依据《中华人民共和国安全生产法》第九十五条第（一）项的规定，对其处2022年年收入40%罚款的行政处罚。</w:t>
      </w:r>
      <w:r>
        <w:rPr>
          <w:rFonts w:hint="eastAsia" w:eastAsia="仿宋_GB2312" w:cs="Times New Roman"/>
          <w:b w:val="0"/>
          <w:color w:val="auto"/>
          <w:kern w:val="2"/>
          <w:sz w:val="32"/>
          <w:szCs w:val="32"/>
          <w:lang w:val="en-US" w:eastAsia="zh-CN" w:bidi="ar"/>
        </w:rPr>
        <w:t>荣成市应急管理局已对其下达行政处罚决定书，处以罚金人民币伍万柒仟伍佰壹拾玖元玖角肆分。</w:t>
      </w:r>
    </w:p>
    <w:p>
      <w:pPr>
        <w:pStyle w:val="2"/>
        <w:keepNext w:val="0"/>
        <w:keepLines w:val="0"/>
        <w:pageBreakBefore w:val="0"/>
        <w:widowControl w:val="0"/>
        <w:numPr>
          <w:ilvl w:val="0"/>
          <w:numId w:val="0"/>
        </w:numPr>
        <w:kinsoku/>
        <w:wordWrap/>
        <w:overflowPunct/>
        <w:topLinePunct w:val="0"/>
        <w:bidi w:val="0"/>
        <w:snapToGrid/>
        <w:spacing w:line="240" w:lineRule="auto"/>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王春*，群众，山东荣光实业有限公司油脂包装车间主任、事故现场安全管理负责人，未能及时消除事故隐患，违反《中华人民共和国安全生产法》第二十五条第一款第（五）项的规定，对事故发生负有责任，建议荣成市应急管理局依据《中华人民共和国安全生产法》第九十六条和《生产安全事故罚款处罚规定》第二十条第（一）项的规定，对其处2022年年收入20%至30%罚款的行政处罚。</w:t>
      </w:r>
      <w:r>
        <w:rPr>
          <w:rFonts w:hint="eastAsia" w:eastAsia="仿宋_GB2312" w:cs="Times New Roman"/>
          <w:b w:val="0"/>
          <w:color w:val="auto"/>
          <w:kern w:val="2"/>
          <w:sz w:val="32"/>
          <w:szCs w:val="32"/>
          <w:lang w:val="en-US" w:eastAsia="zh-CN" w:bidi="ar"/>
        </w:rPr>
        <w:t>荣成市应急管理局已对其下达行政处罚决定书，处以罚金人民币壹万陆仟捌佰零伍元玖角伍分。</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（四）对事故有关责任单位的行政处罚建议</w:t>
      </w:r>
    </w:p>
    <w:p>
      <w:pPr>
        <w:pStyle w:val="2"/>
        <w:keepNext w:val="0"/>
        <w:keepLines w:val="0"/>
        <w:pageBreakBefore w:val="0"/>
        <w:widowControl w:val="0"/>
        <w:numPr>
          <w:ilvl w:val="0"/>
          <w:numId w:val="0"/>
        </w:numPr>
        <w:kinsoku/>
        <w:wordWrap/>
        <w:overflowPunct/>
        <w:topLinePunct w:val="0"/>
        <w:bidi w:val="0"/>
        <w:snapToGrid/>
        <w:spacing w:line="240" w:lineRule="auto"/>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山东荣光实业有限公司，落实安全生产主体责任不到位，违反《中华人民共和国安全生产法》第二十八条第一款、第四十四条第一款的规定，对事故发生负有责任，因该事故是一起30日内仅造成1人重伤的事故，依据《中华人民共和国安全生产法》第一百一十四条第一款第（一）项和《国家安全监管总局办公厅关于一般生产安全事故行政处罚有关问题的复函》（政法函〔2014〕136号）的规定，建议不再给予行政处罚。</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（五）其他建议</w:t>
      </w:r>
    </w:p>
    <w:p>
      <w:pPr>
        <w:pStyle w:val="2"/>
        <w:keepNext w:val="0"/>
        <w:keepLines w:val="0"/>
        <w:pageBreakBefore w:val="0"/>
        <w:widowControl w:val="0"/>
        <w:numPr>
          <w:ilvl w:val="0"/>
          <w:numId w:val="0"/>
        </w:numPr>
        <w:kinsoku/>
        <w:wordWrap/>
        <w:overflowPunct/>
        <w:topLinePunct w:val="0"/>
        <w:bidi w:val="0"/>
        <w:snapToGrid/>
        <w:spacing w:line="240" w:lineRule="auto"/>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责成荣成经济开发区应急管理局向荣成市政府作出深刻书面检查。荣成经济开发区应急管理局</w:t>
      </w:r>
      <w:r>
        <w:rPr>
          <w:rFonts w:hint="eastAsia" w:ascii="Times New Roman" w:hAnsi="Times New Roman" w:eastAsia="仿宋_GB2312" w:cs="Times New Roman"/>
          <w:sz w:val="32"/>
          <w:szCs w:val="32"/>
          <w:lang w:eastAsia="zh-CN"/>
        </w:rPr>
        <w:t>已作书面检查。</w:t>
      </w:r>
      <w:bookmarkStart w:id="1" w:name="_GoBack"/>
      <w:bookmarkEnd w:id="1"/>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三、</w:t>
      </w:r>
      <w:r>
        <w:rPr>
          <w:rFonts w:hint="default" w:ascii="Times New Roman" w:hAnsi="Times New Roman" w:eastAsia="黑体" w:cs="Times New Roman"/>
          <w:sz w:val="32"/>
          <w:szCs w:val="32"/>
        </w:rPr>
        <w:t>整改措施落实情况</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一是严格落实主体责任。</w:t>
      </w:r>
      <w:r>
        <w:rPr>
          <w:rFonts w:hint="default" w:ascii="Times New Roman" w:hAnsi="Times New Roman" w:eastAsia="仿宋_GB2312" w:cs="Times New Roman"/>
          <w:sz w:val="32"/>
          <w:szCs w:val="32"/>
        </w:rPr>
        <w:t>山东荣光实业有限公司要严格规范企业经营活动，加强对各个作业环节的风险辨识评估，识别潜在的危险源，针对性的开展安全教育培训，提高从业人员安全意识和风险防范能力。</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二是加强作业现场管理。</w:t>
      </w:r>
      <w:r>
        <w:rPr>
          <w:rFonts w:hint="default" w:ascii="Times New Roman" w:hAnsi="Times New Roman" w:eastAsia="仿宋_GB2312" w:cs="Times New Roman"/>
          <w:sz w:val="32"/>
          <w:szCs w:val="32"/>
        </w:rPr>
        <w:t>各生产经营单位要深刻汲取事故教训，加强对从业人员的指导和监督，督促全员严格落实安全生产责任制、严格执行安全操作规程，强化对作业现场的监督检查，及时发现并制止作业人员的违规作业行为，消除事故隐患。</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三是加强宣传教育引导。</w:t>
      </w:r>
      <w:r>
        <w:rPr>
          <w:rFonts w:hint="default" w:ascii="Times New Roman" w:hAnsi="Times New Roman" w:eastAsia="仿宋_GB2312" w:cs="Times New Roman"/>
          <w:sz w:val="32"/>
          <w:szCs w:val="32"/>
        </w:rPr>
        <w:t>各级各部门要加强事故警示与安全生产宣传教育，充分运用网络、微信、微视频等媒体渠道，及时推送典型事故案例，广泛宣传安全生产知识，增强广大从业人员的风险防范意识和岗位安全操作能力，营造良好的安全生产氛围。</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四是强化部门安全监管履职尽责。</w:t>
      </w:r>
      <w:r>
        <w:rPr>
          <w:rFonts w:hint="default" w:ascii="Times New Roman" w:hAnsi="Times New Roman" w:eastAsia="仿宋_GB2312" w:cs="Times New Roman"/>
          <w:sz w:val="32"/>
          <w:szCs w:val="32"/>
        </w:rPr>
        <w:t>属地镇街及负有安全监管职责的部门要加强人员培训，切实提升履职能力，提升监管效能；加强对辖区内生产经营单位的日常监督检查和风险评估，开展风险辨识和隐患排查，确保整改措施落实到位。定期组织专项排查行动，及时发现并纠正违规行为，确保企业严格落实安全生产主体责任。</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四、存在问题及措施建议 </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评估组通过评估，认为各单位均能按照事故调查报告的要求，认真落实责任追究和整改措施，但在举一反三吸取事故教训方面尚存在一定不足，提出如下建议：</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市</w:t>
      </w:r>
      <w:r>
        <w:rPr>
          <w:rFonts w:hint="default" w:ascii="Times New Roman" w:hAnsi="Times New Roman" w:eastAsia="仿宋_GB2312" w:cs="Times New Roman"/>
          <w:color w:val="auto"/>
          <w:sz w:val="32"/>
          <w:szCs w:val="32"/>
          <w:lang w:val="en-US" w:eastAsia="zh-CN" w:bidi="ar"/>
        </w:rPr>
        <w:t>农业农村局</w:t>
      </w:r>
      <w:r>
        <w:rPr>
          <w:rFonts w:hint="default" w:ascii="Times New Roman" w:hAnsi="Times New Roman" w:eastAsia="仿宋_GB2312" w:cs="Times New Roman"/>
          <w:sz w:val="32"/>
          <w:szCs w:val="32"/>
        </w:rPr>
        <w:t>应要定期对</w:t>
      </w:r>
      <w:r>
        <w:rPr>
          <w:rFonts w:hint="eastAsia" w:ascii="Times New Roman" w:hAnsi="Times New Roman" w:eastAsia="仿宋_GB2312" w:cs="Times New Roman"/>
          <w:sz w:val="32"/>
          <w:szCs w:val="32"/>
          <w:lang w:eastAsia="zh-CN"/>
        </w:rPr>
        <w:t>食品加工</w:t>
      </w:r>
      <w:r>
        <w:rPr>
          <w:rFonts w:hint="default" w:ascii="Times New Roman" w:hAnsi="Times New Roman" w:eastAsia="仿宋_GB2312" w:cs="Times New Roman"/>
          <w:sz w:val="32"/>
          <w:szCs w:val="32"/>
        </w:rPr>
        <w:t>行业安全生产工作进行调度，加大培训教育力度，对于行业安全生产优秀经验做法予以大力推广，对于行业事故案例进行深度剖析，切实提升行业安全生产水平。</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五、评估组评估意见 </w:t>
      </w:r>
    </w:p>
    <w:p>
      <w:pPr>
        <w:pStyle w:val="2"/>
        <w:keepNext w:val="0"/>
        <w:keepLines w:val="0"/>
        <w:pageBreakBefore w:val="0"/>
        <w:widowControl w:val="0"/>
        <w:numPr>
          <w:ilvl w:val="0"/>
          <w:numId w:val="0"/>
        </w:numPr>
        <w:kinsoku/>
        <w:wordWrap/>
        <w:overflowPunct/>
        <w:topLinePunct w:val="0"/>
        <w:bidi w:val="0"/>
        <w:snapToGrid/>
        <w:spacing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评估组经综合评估后一致认为，各单位均能依据市政府批复意见，对有关责任单位及责任人员作出相关处理，未发现不按规定落实责任追究的问题。各单位均能认真汲取事故教训，按照事故调查报告的要求建章立制，落实事故各项责任追究和整改措施，有效提升了安全管理水平。各被评估单位基本落实了事故调查报告责任追究和整改措施要求。</w:t>
      </w:r>
    </w:p>
    <w:p>
      <w:pPr>
        <w:pStyle w:val="2"/>
        <w:keepNext w:val="0"/>
        <w:keepLines w:val="0"/>
        <w:pageBreakBefore w:val="0"/>
        <w:widowControl w:val="0"/>
        <w:numPr>
          <w:ilvl w:val="0"/>
          <w:numId w:val="0"/>
        </w:numPr>
        <w:kinsoku/>
        <w:wordWrap/>
        <w:overflowPunct/>
        <w:topLinePunct w:val="0"/>
        <w:bidi w:val="0"/>
        <w:snapToGrid/>
        <w:spacing w:line="240" w:lineRule="auto"/>
        <w:textAlignment w:val="auto"/>
        <w:rPr>
          <w:rFonts w:hint="default" w:ascii="Times New Roman" w:hAnsi="Times New Roman" w:eastAsia="仿宋_GB2312" w:cs="Times New Roman"/>
          <w:sz w:val="32"/>
          <w:szCs w:val="32"/>
        </w:rPr>
      </w:pPr>
    </w:p>
    <w:p>
      <w:pPr>
        <w:pStyle w:val="2"/>
        <w:keepNext w:val="0"/>
        <w:keepLines w:val="0"/>
        <w:pageBreakBefore w:val="0"/>
        <w:widowControl w:val="0"/>
        <w:numPr>
          <w:ilvl w:val="0"/>
          <w:numId w:val="0"/>
        </w:numPr>
        <w:kinsoku/>
        <w:wordWrap/>
        <w:overflowPunct/>
        <w:topLinePunct w:val="0"/>
        <w:bidi w:val="0"/>
        <w:snapToGrid/>
        <w:spacing w:line="240" w:lineRule="auto"/>
        <w:textAlignment w:val="auto"/>
        <w:rPr>
          <w:rFonts w:hint="default" w:ascii="Times New Roman" w:hAnsi="Times New Roman" w:eastAsia="仿宋_GB2312" w:cs="Times New Roman"/>
          <w:sz w:val="32"/>
          <w:szCs w:val="32"/>
        </w:rPr>
      </w:pPr>
    </w:p>
    <w:p>
      <w:pPr>
        <w:pStyle w:val="2"/>
        <w:keepNext w:val="0"/>
        <w:keepLines w:val="0"/>
        <w:pageBreakBefore w:val="0"/>
        <w:widowControl w:val="0"/>
        <w:numPr>
          <w:ilvl w:val="0"/>
          <w:numId w:val="0"/>
        </w:numPr>
        <w:kinsoku/>
        <w:wordWrap/>
        <w:overflowPunct/>
        <w:topLinePunct w:val="0"/>
        <w:bidi w:val="0"/>
        <w:snapToGrid/>
        <w:spacing w:line="240" w:lineRule="auto"/>
        <w:textAlignment w:val="auto"/>
        <w:rPr>
          <w:rFonts w:hint="default" w:ascii="Times New Roman" w:hAnsi="Times New Roman" w:eastAsia="仿宋_GB2312" w:cs="Times New Roman"/>
          <w:sz w:val="32"/>
          <w:szCs w:val="32"/>
        </w:rPr>
      </w:pPr>
    </w:p>
    <w:p>
      <w:pPr>
        <w:pStyle w:val="2"/>
        <w:keepNext w:val="0"/>
        <w:keepLines w:val="0"/>
        <w:pageBreakBefore w:val="0"/>
        <w:widowControl w:val="0"/>
        <w:numPr>
          <w:ilvl w:val="0"/>
          <w:numId w:val="0"/>
        </w:numPr>
        <w:kinsoku/>
        <w:wordWrap/>
        <w:overflowPunct/>
        <w:topLinePunct w:val="0"/>
        <w:bidi w:val="0"/>
        <w:snapToGrid/>
        <w:spacing w:line="240" w:lineRule="auto"/>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荣成市人民政府安委会办公室</w:t>
      </w:r>
    </w:p>
    <w:p>
      <w:pPr>
        <w:pStyle w:val="2"/>
        <w:keepNext w:val="0"/>
        <w:keepLines w:val="0"/>
        <w:pageBreakBefore w:val="0"/>
        <w:widowControl w:val="0"/>
        <w:numPr>
          <w:ilvl w:val="0"/>
          <w:numId w:val="0"/>
        </w:numPr>
        <w:kinsoku/>
        <w:wordWrap w:val="0"/>
        <w:overflowPunct/>
        <w:topLinePunct w:val="0"/>
        <w:bidi w:val="0"/>
        <w:snapToGrid/>
        <w:spacing w:line="240" w:lineRule="auto"/>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2026</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日</w:t>
      </w:r>
      <w:r>
        <w:rPr>
          <w:rFonts w:hint="default" w:ascii="Times New Roman" w:hAnsi="Times New Roman" w:eastAsia="仿宋_GB2312" w:cs="Times New Roman"/>
          <w:sz w:val="32"/>
          <w:szCs w:val="32"/>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4FFF3C6B"/>
    <w:rsid w:val="5F3A5E3F"/>
    <w:rsid w:val="6FBBE8CD"/>
    <w:rsid w:val="73AE1A38"/>
    <w:rsid w:val="79FEA95D"/>
    <w:rsid w:val="7B7FE7F8"/>
    <w:rsid w:val="7B7FFB5E"/>
    <w:rsid w:val="DE95962B"/>
    <w:rsid w:val="F5B1EF6D"/>
    <w:rsid w:val="F6BFE4AF"/>
    <w:rsid w:val="FBF373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customStyle="1" w:styleId="2">
    <w:name w:val="正文缩进1"/>
    <w:basedOn w:val="1"/>
    <w:qFormat/>
    <w:uiPriority w:val="0"/>
    <w:pPr>
      <w:ind w:firstLine="420" w:firstLineChars="200"/>
    </w:pPr>
    <w:rPr>
      <w:rFonts w:hint="eastAsia" w:ascii="Calibri" w:hAnsi="Calibri" w:eastAsia="宋体" w:cs="Times New Roman"/>
    </w:rPr>
  </w:style>
  <w:style w:type="paragraph" w:styleId="3">
    <w:name w:val="Normal Indent"/>
    <w:basedOn w:val="1"/>
    <w:qFormat/>
    <w:uiPriority w:val="99"/>
    <w:pPr>
      <w:ind w:firstLine="420" w:firstLineChars="200"/>
    </w:pPr>
  </w:style>
  <w:style w:type="paragraph" w:styleId="4">
    <w:name w:val="Body Text Indent"/>
    <w:basedOn w:val="1"/>
    <w:next w:val="3"/>
    <w:qFormat/>
    <w:uiPriority w:val="0"/>
    <w:pPr>
      <w:widowControl/>
      <w:snapToGrid w:val="0"/>
      <w:spacing w:line="560" w:lineRule="exact"/>
      <w:ind w:firstLine="640" w:firstLineChars="200"/>
      <w:jc w:val="left"/>
    </w:pPr>
    <w:rPr>
      <w:rFonts w:ascii="仿宋_GB2312" w:eastAsia="仿宋_GB2312"/>
      <w:kern w:val="0"/>
      <w:sz w:val="32"/>
      <w:szCs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Body Text First Indent 2"/>
    <w:basedOn w:val="4"/>
    <w:qFormat/>
    <w:uiPriority w:val="99"/>
    <w:pPr>
      <w:ind w:firstLine="420" w:firstLineChars="200"/>
    </w:pPr>
  </w:style>
  <w:style w:type="paragraph" w:styleId="7">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1">
    <w:name w:val="Default"/>
    <w:qFormat/>
    <w:uiPriority w:val="0"/>
    <w:pPr>
      <w:widowControl w:val="0"/>
      <w:autoSpaceDE w:val="0"/>
      <w:autoSpaceDN w:val="0"/>
      <w:adjustRightInd w:val="0"/>
    </w:pPr>
    <w:rPr>
      <w:rFonts w:ascii="Times New Roman" w:hAnsi="Times New Roman" w:eastAsia="仿宋_GB2312" w:cs="Times New Roman"/>
      <w:color w:val="000000"/>
      <w:sz w:val="24"/>
      <w:szCs w:val="32"/>
      <w:lang w:val="en-US" w:eastAsia="zh-CN" w:bidi="ar-SA"/>
    </w:rPr>
  </w:style>
  <w:style w:type="paragraph" w:customStyle="1" w:styleId="12">
    <w:name w:val="BodyText1I2"/>
    <w:basedOn w:val="13"/>
    <w:qFormat/>
    <w:uiPriority w:val="0"/>
    <w:pPr>
      <w:ind w:firstLine="420" w:firstLineChars="200"/>
      <w:jc w:val="both"/>
      <w:textAlignment w:val="baseline"/>
    </w:pPr>
    <w:rPr>
      <w:rFonts w:ascii="Times New Roman" w:hAnsi="Times New Roman" w:eastAsia="宋体" w:cs="Times New Roman"/>
    </w:rPr>
  </w:style>
  <w:style w:type="paragraph" w:customStyle="1" w:styleId="13">
    <w:name w:val="BodyTextIndent"/>
    <w:basedOn w:val="1"/>
    <w:next w:val="14"/>
    <w:qFormat/>
    <w:uiPriority w:val="0"/>
    <w:pPr>
      <w:ind w:firstLine="630"/>
      <w:jc w:val="both"/>
      <w:textAlignment w:val="baseline"/>
    </w:pPr>
    <w:rPr>
      <w:rFonts w:ascii="仿宋_GB2312" w:hAnsi="Times New Roman" w:eastAsia="仿宋_GB2312" w:cs="Times New Roman"/>
      <w:kern w:val="2"/>
      <w:sz w:val="32"/>
      <w:lang w:val="en-US" w:eastAsia="zh-CN" w:bidi="ar-SA"/>
    </w:rPr>
  </w:style>
  <w:style w:type="paragraph" w:customStyle="1" w:styleId="14">
    <w:name w:val="NormalIndent"/>
    <w:basedOn w:val="1"/>
    <w:qFormat/>
    <w:uiPriority w:val="0"/>
    <w:pPr>
      <w:ind w:firstLine="420" w:firstLineChars="200"/>
      <w:jc w:val="both"/>
      <w:textAlignment w:val="baseline"/>
    </w:pPr>
    <w:rPr>
      <w:rFonts w:ascii="Times New Roman" w:hAnsi="Times New Roman" w:eastAsia="宋体"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2018-07-13T15:11:00Z</dcterms:created>
  <dc:creator>d</dc:creator>
  <cp:lastModifiedBy>流沙</cp:lastModifiedBy>
  <dcterms:modified xsi:type="dcterms:W3CDTF">2026-04-23T08:19:42Z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