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50" w:line="576"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荣成市</w:t>
      </w:r>
      <w:r>
        <w:rPr>
          <w:rFonts w:hint="eastAsia" w:ascii="Times New Roman" w:hAnsi="Times New Roman" w:eastAsia="方正小标宋简体" w:cs="Times New Roman"/>
          <w:sz w:val="44"/>
          <w:szCs w:val="44"/>
          <w:lang w:eastAsia="zh-CN"/>
        </w:rPr>
        <w:t>卫生健康局</w:t>
      </w:r>
      <w:r>
        <w:rPr>
          <w:rFonts w:ascii="Times New Roman" w:hAnsi="Times New Roman" w:eastAsia="方正小标宋简体" w:cs="Times New Roman"/>
          <w:sz w:val="44"/>
          <w:szCs w:val="44"/>
        </w:rPr>
        <w:t>政务服务事项中介服务项目清单</w:t>
      </w:r>
    </w:p>
    <w:p>
      <w:pPr>
        <w:pStyle w:val="2"/>
        <w:ind w:firstLine="5320" w:firstLineChars="1900"/>
        <w:rPr>
          <w:rFonts w:hint="default" w:eastAsia="方正小标宋简体"/>
          <w:sz w:val="28"/>
          <w:szCs w:val="28"/>
          <w:lang w:val="en-US" w:eastAsia="zh-CN"/>
        </w:rPr>
      </w:pPr>
      <w:bookmarkStart w:id="0" w:name="_GoBack"/>
      <w:bookmarkEnd w:id="0"/>
      <w:r>
        <w:rPr>
          <w:rFonts w:hint="eastAsia" w:ascii="Times New Roman" w:hAnsi="Times New Roman" w:cs="Times New Roman"/>
          <w:sz w:val="28"/>
          <w:szCs w:val="28"/>
          <w:lang w:val="en-US" w:eastAsia="zh-CN"/>
        </w:rPr>
        <w:t>（荣政字【2020】59号发布）</w:t>
      </w:r>
    </w:p>
    <w:tbl>
      <w:tblPr>
        <w:tblStyle w:val="4"/>
        <w:tblW w:w="143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9"/>
        <w:gridCol w:w="1228"/>
        <w:gridCol w:w="1091"/>
        <w:gridCol w:w="1134"/>
        <w:gridCol w:w="7199"/>
        <w:gridCol w:w="1292"/>
        <w:gridCol w:w="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150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中介服务</w:t>
            </w:r>
          </w:p>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项目名称</w:t>
            </w:r>
          </w:p>
        </w:tc>
        <w:tc>
          <w:tcPr>
            <w:tcW w:w="345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320" w:lineRule="exact"/>
              <w:jc w:val="center"/>
              <w:textAlignment w:val="auto"/>
              <w:rPr>
                <w:rFonts w:ascii="Times New Roman" w:hAnsi="Times New Roman" w:eastAsia="黑体" w:cs="Times New Roman"/>
                <w:szCs w:val="21"/>
              </w:rPr>
            </w:pPr>
            <w:r>
              <w:rPr>
                <w:rFonts w:ascii="Times New Roman" w:hAnsi="Times New Roman" w:eastAsia="黑体" w:cs="Times New Roman"/>
                <w:kern w:val="0"/>
                <w:sz w:val="20"/>
                <w:szCs w:val="21"/>
              </w:rPr>
              <w:t>关联的政务服务事项</w:t>
            </w:r>
          </w:p>
        </w:tc>
        <w:tc>
          <w:tcPr>
            <w:tcW w:w="719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320" w:lineRule="exact"/>
              <w:jc w:val="center"/>
              <w:textAlignment w:val="auto"/>
              <w:rPr>
                <w:rFonts w:ascii="Times New Roman" w:hAnsi="Times New Roman" w:eastAsia="黑体" w:cs="Times New Roman"/>
                <w:szCs w:val="21"/>
              </w:rPr>
            </w:pPr>
            <w:r>
              <w:rPr>
                <w:rFonts w:ascii="Times New Roman" w:hAnsi="Times New Roman" w:eastAsia="黑体" w:cs="Times New Roman"/>
                <w:kern w:val="0"/>
                <w:sz w:val="20"/>
                <w:szCs w:val="21"/>
              </w:rPr>
              <w:t>设定依据</w:t>
            </w:r>
          </w:p>
        </w:tc>
        <w:tc>
          <w:tcPr>
            <w:tcW w:w="129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收费依据</w:t>
            </w:r>
          </w:p>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及标准</w:t>
            </w:r>
          </w:p>
        </w:tc>
        <w:tc>
          <w:tcPr>
            <w:tcW w:w="92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服务</w:t>
            </w:r>
          </w:p>
          <w:p>
            <w:pPr>
              <w:spacing w:line="320" w:lineRule="exact"/>
              <w:jc w:val="center"/>
              <w:rPr>
                <w:rFonts w:ascii="Times New Roman" w:hAnsi="Times New Roman" w:eastAsia="黑体" w:cs="Times New Roman"/>
                <w:szCs w:val="21"/>
              </w:rPr>
            </w:pPr>
            <w:r>
              <w:rPr>
                <w:rFonts w:ascii="Times New Roman" w:hAnsi="Times New Roman" w:eastAsia="黑体" w:cs="Times New Roman"/>
                <w:kern w:val="0"/>
                <w:sz w:val="20"/>
                <w:szCs w:val="21"/>
              </w:rPr>
              <w:t>时限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5" w:hRule="atLeast"/>
          <w:tblHeader/>
          <w:jc w:val="center"/>
        </w:trPr>
        <w:tc>
          <w:tcPr>
            <w:tcW w:w="15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黑体" w:cs="Times New Roman"/>
                <w:szCs w:val="21"/>
              </w:rPr>
            </w:pP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320" w:lineRule="exact"/>
              <w:jc w:val="center"/>
              <w:textAlignment w:val="auto"/>
              <w:rPr>
                <w:rFonts w:ascii="Times New Roman" w:hAnsi="Times New Roman" w:eastAsia="黑体" w:cs="Times New Roman"/>
                <w:szCs w:val="21"/>
              </w:rPr>
            </w:pPr>
            <w:r>
              <w:rPr>
                <w:rFonts w:ascii="Times New Roman" w:hAnsi="Times New Roman" w:eastAsia="黑体" w:cs="Times New Roman"/>
                <w:kern w:val="0"/>
                <w:sz w:val="20"/>
                <w:szCs w:val="21"/>
              </w:rPr>
              <w:t>事项名称</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320" w:lineRule="exact"/>
              <w:jc w:val="center"/>
              <w:textAlignment w:val="auto"/>
              <w:rPr>
                <w:rFonts w:ascii="Times New Roman" w:hAnsi="Times New Roman" w:eastAsia="黑体" w:cs="Times New Roman"/>
                <w:szCs w:val="21"/>
              </w:rPr>
            </w:pPr>
            <w:r>
              <w:rPr>
                <w:rFonts w:ascii="Times New Roman" w:hAnsi="Times New Roman" w:eastAsia="黑体" w:cs="Times New Roman"/>
                <w:kern w:val="0"/>
                <w:sz w:val="20"/>
                <w:szCs w:val="21"/>
              </w:rPr>
              <w:t>子项名称</w:t>
            </w: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320" w:lineRule="exact"/>
              <w:jc w:val="center"/>
              <w:textAlignment w:val="auto"/>
              <w:rPr>
                <w:rFonts w:ascii="Times New Roman" w:hAnsi="Times New Roman" w:eastAsia="黑体" w:cs="Times New Roman"/>
                <w:szCs w:val="21"/>
              </w:rPr>
            </w:pPr>
            <w:r>
              <w:rPr>
                <w:rFonts w:ascii="Times New Roman" w:hAnsi="Times New Roman" w:eastAsia="黑体" w:cs="Times New Roman"/>
                <w:kern w:val="0"/>
                <w:sz w:val="20"/>
                <w:szCs w:val="21"/>
              </w:rPr>
              <w:t>事项类型</w:t>
            </w:r>
          </w:p>
        </w:tc>
        <w:tc>
          <w:tcPr>
            <w:tcW w:w="7199"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jc w:val="left"/>
              <w:textAlignment w:val="auto"/>
              <w:rPr>
                <w:rFonts w:ascii="Times New Roman" w:hAnsi="Times New Roman" w:eastAsia="黑体" w:cs="Times New Roman"/>
                <w:szCs w:val="21"/>
              </w:rPr>
            </w:pPr>
          </w:p>
        </w:tc>
        <w:tc>
          <w:tcPr>
            <w:tcW w:w="129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黑体" w:cs="Times New Roman"/>
                <w:szCs w:val="21"/>
              </w:rPr>
            </w:pPr>
          </w:p>
        </w:tc>
        <w:tc>
          <w:tcPr>
            <w:tcW w:w="92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黑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6" w:hRule="atLeast"/>
          <w:jc w:val="center"/>
        </w:trPr>
        <w:tc>
          <w:tcPr>
            <w:tcW w:w="15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1</w:t>
            </w:r>
            <w:r>
              <w:rPr>
                <w:rFonts w:hint="eastAsia" w:ascii="宋体" w:hAnsi="宋体" w:eastAsia="宋体" w:cs="宋体"/>
                <w:kern w:val="0"/>
                <w:sz w:val="18"/>
                <w:szCs w:val="18"/>
              </w:rPr>
              <w:t>.对封存保留的输液、注射用物品和血液、药物等检测</w:t>
            </w: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医疗事故争议处理</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公共服务</w:t>
            </w:r>
          </w:p>
        </w:tc>
        <w:tc>
          <w:tcPr>
            <w:tcW w:w="71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医疗事故处理条例》（2002年4月国务院令第351号）第十七条：疑似输液、输血、注射、药物等引起不良后果的，医患双方应当共同对现场实物进行封存和启封，封存的现场实物由医疗机构保管；需要检验的，应当由双方共同指定的、依法具有检验资格的检验机构进行检验；双方无法共同指定时，由卫生行政部门指定。</w:t>
            </w:r>
          </w:p>
        </w:tc>
        <w:tc>
          <w:tcPr>
            <w:tcW w:w="12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市场调节价</w:t>
            </w:r>
          </w:p>
        </w:tc>
        <w:tc>
          <w:tcPr>
            <w:tcW w:w="9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协商约定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8" w:hRule="atLeast"/>
          <w:jc w:val="center"/>
        </w:trPr>
        <w:tc>
          <w:tcPr>
            <w:tcW w:w="15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2</w:t>
            </w:r>
            <w:r>
              <w:rPr>
                <w:rFonts w:hint="eastAsia" w:ascii="宋体" w:hAnsi="宋体" w:eastAsia="宋体" w:cs="宋体"/>
                <w:kern w:val="0"/>
                <w:sz w:val="18"/>
                <w:szCs w:val="18"/>
              </w:rPr>
              <w:t>.放射工作人员的个人剂量监测报告</w:t>
            </w: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放射源诊疗技术和医用辐射机构校验</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行政许可</w:t>
            </w:r>
          </w:p>
        </w:tc>
        <w:tc>
          <w:tcPr>
            <w:tcW w:w="719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放射诊疗管理规定》（2006年1月卫生部令第46号）第十七条：《放射诊疗许可证》与《医疗机构执业许可证》同时校验，申请校验时应当提交本周期有关放射诊疗设备性能与辐射工作场所的检测报告、放射诊疗工作人员健康监护资料和工作开展情况报告。</w:t>
            </w:r>
          </w:p>
        </w:tc>
        <w:tc>
          <w:tcPr>
            <w:tcW w:w="12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市场调节价</w:t>
            </w:r>
          </w:p>
        </w:tc>
        <w:tc>
          <w:tcPr>
            <w:tcW w:w="9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协商约定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5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3</w:t>
            </w:r>
            <w:r>
              <w:rPr>
                <w:rFonts w:hint="eastAsia" w:ascii="宋体" w:hAnsi="宋体" w:eastAsia="宋体" w:cs="宋体"/>
                <w:kern w:val="0"/>
                <w:sz w:val="18"/>
                <w:szCs w:val="18"/>
              </w:rPr>
              <w:t>.放射工作人员的健康检查证明</w:t>
            </w: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放射源诊疗技术和医用辐射机构校验</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行政许可</w:t>
            </w:r>
          </w:p>
        </w:tc>
        <w:tc>
          <w:tcPr>
            <w:tcW w:w="7199"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kern w:val="0"/>
                <w:sz w:val="18"/>
                <w:szCs w:val="18"/>
              </w:rPr>
            </w:pPr>
          </w:p>
        </w:tc>
        <w:tc>
          <w:tcPr>
            <w:tcW w:w="12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市场调节价</w:t>
            </w:r>
          </w:p>
        </w:tc>
        <w:tc>
          <w:tcPr>
            <w:tcW w:w="9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协商约定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5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4</w:t>
            </w:r>
            <w:r>
              <w:rPr>
                <w:rFonts w:hint="eastAsia" w:ascii="宋体" w:hAnsi="宋体" w:eastAsia="宋体" w:cs="宋体"/>
                <w:kern w:val="0"/>
                <w:sz w:val="18"/>
                <w:szCs w:val="18"/>
              </w:rPr>
              <w:t>.放射诊疗设备性能与辐射工作场所的检测报告</w:t>
            </w: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放射源诊疗技术和医用辐射机构校验</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rPr>
            </w:pPr>
            <w:r>
              <w:rPr>
                <w:rFonts w:hint="eastAsia" w:ascii="宋体" w:hAnsi="宋体" w:eastAsia="宋体" w:cs="宋体"/>
                <w:kern w:val="0"/>
                <w:sz w:val="18"/>
                <w:szCs w:val="18"/>
              </w:rPr>
              <w:t>行政许可</w:t>
            </w:r>
          </w:p>
        </w:tc>
        <w:tc>
          <w:tcPr>
            <w:tcW w:w="7199"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jc w:val="left"/>
              <w:textAlignment w:val="auto"/>
              <w:rPr>
                <w:rFonts w:hint="eastAsia" w:ascii="宋体" w:hAnsi="宋体" w:eastAsia="宋体" w:cs="宋体"/>
                <w:kern w:val="0"/>
                <w:sz w:val="18"/>
                <w:szCs w:val="18"/>
              </w:rPr>
            </w:pPr>
          </w:p>
        </w:tc>
        <w:tc>
          <w:tcPr>
            <w:tcW w:w="12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市场调节价</w:t>
            </w:r>
          </w:p>
        </w:tc>
        <w:tc>
          <w:tcPr>
            <w:tcW w:w="9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协商约定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2" w:hRule="atLeast"/>
          <w:jc w:val="center"/>
        </w:trPr>
        <w:tc>
          <w:tcPr>
            <w:tcW w:w="15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rPr>
              <w:t>5</w:t>
            </w:r>
            <w:r>
              <w:rPr>
                <w:rFonts w:hint="eastAsia" w:ascii="宋体" w:hAnsi="宋体" w:eastAsia="宋体" w:cs="宋体"/>
                <w:kern w:val="0"/>
                <w:sz w:val="18"/>
                <w:szCs w:val="18"/>
              </w:rPr>
              <w:t>.公共场所卫生检测报告</w:t>
            </w:r>
          </w:p>
        </w:tc>
        <w:tc>
          <w:tcPr>
            <w:tcW w:w="122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对公共场所卫生的监督检查</w:t>
            </w:r>
          </w:p>
        </w:tc>
        <w:tc>
          <w:tcPr>
            <w:tcW w:w="10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lang w:val="en-US" w:eastAsia="zh-CN" w:bidi="ar-SA"/>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行政检查</w:t>
            </w:r>
          </w:p>
        </w:tc>
        <w:tc>
          <w:tcPr>
            <w:tcW w:w="719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sz w:val="18"/>
                <w:szCs w:val="18"/>
              </w:rPr>
            </w:pPr>
            <w:r>
              <w:rPr>
                <w:rFonts w:hint="eastAsia" w:ascii="宋体" w:hAnsi="宋体" w:eastAsia="宋体" w:cs="宋体"/>
                <w:kern w:val="0"/>
                <w:sz w:val="18"/>
                <w:szCs w:val="18"/>
              </w:rPr>
              <w:t>1.《公共场所卫生管理条例实施细则》（2011年3月卫生部令第80号，2017年12月修</w:t>
            </w:r>
            <w:r>
              <w:rPr>
                <w:rFonts w:hint="eastAsia" w:ascii="宋体" w:hAnsi="宋体" w:eastAsia="宋体" w:cs="宋体"/>
                <w:kern w:val="0"/>
                <w:sz w:val="18"/>
                <w:szCs w:val="18"/>
                <w:lang w:eastAsia="zh-CN"/>
              </w:rPr>
              <w:t>订</w:t>
            </w:r>
            <w:r>
              <w:rPr>
                <w:rFonts w:hint="eastAsia" w:ascii="宋体" w:hAnsi="宋体" w:eastAsia="宋体" w:cs="宋体"/>
                <w:kern w:val="0"/>
                <w:sz w:val="18"/>
                <w:szCs w:val="18"/>
              </w:rPr>
              <w:t>）第十九条：公共场所经营者应当按照卫生标准、规范的要求对公共场所的空气、微小气候、水质、采光、照明、噪声、顾客用品用具等进行卫生检测，检测每年不得少于一次；检测结果不符合卫生标准、规范要求的应当及时整改。公共场所经营者不具备检测能力的，可以委托检测。公共场所经营者应当在醒目位置如实公示检测结果。</w:t>
            </w:r>
          </w:p>
          <w:p>
            <w:pPr>
              <w:keepNext w:val="0"/>
              <w:keepLines w:val="0"/>
              <w:pageBreakBefore w:val="0"/>
              <w:widowControl/>
              <w:kinsoku/>
              <w:wordWrap/>
              <w:overflowPunct/>
              <w:topLinePunct w:val="0"/>
              <w:autoSpaceDE/>
              <w:autoSpaceDN/>
              <w:bidi w:val="0"/>
              <w:adjustRightInd w:val="0"/>
              <w:snapToGrid w:val="0"/>
              <w:spacing w:after="0" w:line="240" w:lineRule="exact"/>
              <w:jc w:val="left"/>
              <w:textAlignment w:val="auto"/>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2.《公共场所卫生管理规范》（GB37487—2019）5.7.1：公共场所应按照卫生法律法规、卫生标准、卫生规范的规定对场所的空气质量、微小气候、水质、采光、照明、噪声、公共用品用具和集中空调通风系统等进行卫生检测，每年不少于一次。</w:t>
            </w:r>
          </w:p>
        </w:tc>
        <w:tc>
          <w:tcPr>
            <w:tcW w:w="12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市场调节价</w:t>
            </w:r>
          </w:p>
        </w:tc>
        <w:tc>
          <w:tcPr>
            <w:tcW w:w="9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协商约定</w:t>
            </w:r>
          </w:p>
        </w:tc>
      </w:tr>
    </w:tbl>
    <w:p>
      <w:pPr>
        <w:spacing w:line="220" w:lineRule="atLeast"/>
      </w:pPr>
    </w:p>
    <w:sectPr>
      <w:pgSz w:w="16838" w:h="11906" w:orient="landscape"/>
      <w:pgMar w:top="1689" w:right="1440" w:bottom="1293"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Sakkal Majalla">
    <w:panose1 w:val="02000000000000000000"/>
    <w:charset w:val="00"/>
    <w:family w:val="auto"/>
    <w:pitch w:val="default"/>
    <w:sig w:usb0="A000207F" w:usb1="C000204B" w:usb2="00000008" w:usb3="00000000" w:csb0="200000D3" w:csb1="00000000"/>
  </w:font>
  <w:font w:name="Rod">
    <w:panose1 w:val="02030509050101010101"/>
    <w:charset w:val="00"/>
    <w:family w:val="auto"/>
    <w:pitch w:val="default"/>
    <w:sig w:usb0="00000801" w:usb1="00000000" w:usb2="00000000" w:usb3="00000000" w:csb0="00000020" w:csb1="00200000"/>
  </w:font>
  <w:font w:name="Palatino Linotype">
    <w:panose1 w:val="02040502050505030304"/>
    <w:charset w:val="00"/>
    <w:family w:val="auto"/>
    <w:pitch w:val="default"/>
    <w:sig w:usb0="E0000287" w:usb1="40000013" w:usb2="00000000" w:usb3="00000000" w:csb0="2000019F" w:csb1="00000000"/>
  </w:font>
  <w:font w:name="PMingLiU">
    <w:panose1 w:val="02020500000000000000"/>
    <w:charset w:val="88"/>
    <w:family w:val="auto"/>
    <w:pitch w:val="default"/>
    <w:sig w:usb0="A00002FF" w:usb1="28CFFCFA" w:usb2="00000016" w:usb3="00000000" w:csb0="00100001" w:csb1="00000000"/>
  </w:font>
  <w:font w:name="Mongolian Baiti">
    <w:panose1 w:val="03000500000000000000"/>
    <w:charset w:val="00"/>
    <w:family w:val="auto"/>
    <w:pitch w:val="default"/>
    <w:sig w:usb0="80000023" w:usb1="00000000" w:usb2="00020000" w:usb3="00000000" w:csb0="00000001" w:csb1="00000000"/>
  </w:font>
  <w:font w:name="Microsoft Sans Serif">
    <w:panose1 w:val="020B0604020202020204"/>
    <w:charset w:val="00"/>
    <w:family w:val="auto"/>
    <w:pitch w:val="default"/>
    <w:sig w:usb0="E1002AFF" w:usb1="C0000002" w:usb2="00000008" w:usb3="00000000" w:csb0="200101FF" w:csb1="20280000"/>
  </w:font>
  <w:font w:name="Microsoft New Tai Lue">
    <w:panose1 w:val="020B0502040204020203"/>
    <w:charset w:val="00"/>
    <w:family w:val="auto"/>
    <w:pitch w:val="default"/>
    <w:sig w:usb0="00000003" w:usb1="00000000" w:usb2="80000000" w:usb3="00000000" w:csb0="00000001" w:csb1="00000000"/>
  </w:font>
  <w:font w:name="Microsoft Uighur">
    <w:panose1 w:val="02000000000000000000"/>
    <w:charset w:val="00"/>
    <w:family w:val="auto"/>
    <w:pitch w:val="default"/>
    <w:sig w:usb0="00002003" w:usb1="80000000" w:usb2="00000008" w:usb3="00000000" w:csb0="00000041" w:csb1="00000000"/>
  </w:font>
  <w:font w:name="Meiryo UI">
    <w:panose1 w:val="020B0604030504040204"/>
    <w:charset w:val="80"/>
    <w:family w:val="auto"/>
    <w:pitch w:val="default"/>
    <w:sig w:usb0="E10102FF" w:usb1="EAC7FFFF" w:usb2="00010012" w:usb3="00000000" w:csb0="6002009F" w:csb1="DFD70000"/>
  </w:font>
  <w:font w:name="MS PGothic">
    <w:panose1 w:val="020B0600070205080204"/>
    <w:charset w:val="80"/>
    <w:family w:val="auto"/>
    <w:pitch w:val="default"/>
    <w:sig w:usb0="E00002FF" w:usb1="6AC7FDFB" w:usb2="00000012" w:usb3="00000000" w:csb0="4002009F" w:csb1="DFD70000"/>
  </w:font>
  <w:font w:name="Levenim MT">
    <w:panose1 w:val="02010502060101010101"/>
    <w:charset w:val="00"/>
    <w:family w:val="auto"/>
    <w:pitch w:val="default"/>
    <w:sig w:usb0="00000801" w:usb1="00000000" w:usb2="00000000" w:usb3="00000000" w:csb0="00000020" w:csb1="00200000"/>
  </w:font>
  <w:font w:name="Kokila">
    <w:panose1 w:val="020B0604020202020204"/>
    <w:charset w:val="00"/>
    <w:family w:val="auto"/>
    <w:pitch w:val="default"/>
    <w:sig w:usb0="00008003" w:usb1="00000000" w:usb2="00000000" w:usb3="00000000" w:csb0="00000001" w:csb1="00000000"/>
  </w:font>
  <w:font w:name="JasmineUPC">
    <w:panose1 w:val="02020603050405020304"/>
    <w:charset w:val="00"/>
    <w:family w:val="auto"/>
    <w:pitch w:val="default"/>
    <w:sig w:usb0="01000007" w:usb1="00000002" w:usb2="00000000" w:usb3="00000000" w:csb0="00010001" w:csb1="00000000"/>
  </w:font>
  <w:font w:name="GungsuhChe">
    <w:panose1 w:val="02030609000101010101"/>
    <w:charset w:val="81"/>
    <w:family w:val="auto"/>
    <w:pitch w:val="default"/>
    <w:sig w:usb0="B00002AF" w:usb1="69D77CFB" w:usb2="00000030" w:usb3="00000000" w:csb0="4008009F" w:csb1="DFD70000"/>
  </w:font>
  <w:font w:name="Gabriola">
    <w:panose1 w:val="04040605051002020D02"/>
    <w:charset w:val="00"/>
    <w:family w:val="auto"/>
    <w:pitch w:val="default"/>
    <w:sig w:usb0="E00002EF" w:usb1="5000204B" w:usb2="00000000" w:usb3="00000000" w:csb0="2000009F" w:csb1="00000000"/>
  </w:font>
  <w:font w:name="EucrosiaUPC">
    <w:panose1 w:val="02020603050405020304"/>
    <w:charset w:val="00"/>
    <w:family w:val="auto"/>
    <w:pitch w:val="default"/>
    <w:sig w:usb0="81000027" w:usb1="00000002" w:usb2="00000000" w:usb3="00000000" w:csb0="00010001" w:csb1="00000000"/>
  </w:font>
  <w:font w:name="DotumChe">
    <w:panose1 w:val="020B0609000101010101"/>
    <w:charset w:val="81"/>
    <w:family w:val="auto"/>
    <w:pitch w:val="default"/>
    <w:sig w:usb0="B00002AF" w:usb1="69D77CFB" w:usb2="00000030" w:usb3="00000000" w:csb0="4008009F" w:csb1="DFD70000"/>
  </w:font>
  <w:font w:name="DaunPenh">
    <w:panose1 w:val="01010101010101010101"/>
    <w:charset w:val="00"/>
    <w:family w:val="auto"/>
    <w:pitch w:val="default"/>
    <w:sig w:usb0="00000003" w:usb1="00000000" w:usb2="00010000" w:usb3="00000000" w:csb0="00000001" w:csb1="00000000"/>
  </w:font>
  <w:font w:name="Cordia New">
    <w:panose1 w:val="020B0304020202020204"/>
    <w:charset w:val="00"/>
    <w:family w:val="auto"/>
    <w:pitch w:val="default"/>
    <w:sig w:usb0="81000003" w:usb1="00000000" w:usb2="00000000" w:usb3="00000000" w:csb0="00010001" w:csb1="00000000"/>
  </w:font>
  <w:font w:name="Comic Sans MS">
    <w:panose1 w:val="030F0702030302020204"/>
    <w:charset w:val="00"/>
    <w:family w:val="auto"/>
    <w:pitch w:val="default"/>
    <w:sig w:usb0="00000287" w:usb1="00000000" w:usb2="00000000" w:usb3="00000000" w:csb0="2000009F" w:csb1="00000000"/>
  </w:font>
  <w:font w:name="Browallia New">
    <w:panose1 w:val="020B0604020202020204"/>
    <w:charset w:val="00"/>
    <w:family w:val="auto"/>
    <w:pitch w:val="default"/>
    <w:sig w:usb0="81000003" w:usb1="00000000" w:usb2="00000000" w:usb3="00000000" w:csb0="00010001" w:csb1="00000000"/>
  </w:font>
  <w:font w:name="Arabic Typesetting">
    <w:panose1 w:val="03020402040406030203"/>
    <w:charset w:val="00"/>
    <w:family w:val="auto"/>
    <w:pitch w:val="default"/>
    <w:sig w:usb0="A000206F" w:usb1="C0000000" w:usb2="00000008" w:usb3="00000000" w:csb0="200000D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8B7726"/>
    <w:rsid w:val="00D31D50"/>
    <w:rsid w:val="7FB462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table" w:styleId="4">
    <w:name w:val="Table Grid"/>
    <w:basedOn w:val="3"/>
    <w:qFormat/>
    <w:uiPriority w:val="0"/>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6</TotalTime>
  <ScaleCrop>false</ScaleCrop>
  <LinksUpToDate>false</LinksUpToDate>
  <CharactersWithSpaces>0</CharactersWithSpaces>
  <Application>WPS Office_11.1.0.10446_F1E327BC-269C-435d-A152-05C5408002CA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派小星</cp:lastModifiedBy>
  <dcterms:modified xsi:type="dcterms:W3CDTF">2021-04-07T07:16:12Z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2052-11.1.0.10446</vt:lpwstr>
  </property>
  <property fmtid="{D5CDD505-2E9C-101B-9397-08002B2CF9AE}" pid="3" name="ICV">
    <vt:lpwstr>A587A7AD5A624DDB949E57EBA0769A64</vt:lpwstr>
  </property>
</Properties>
</file>