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证明事项通用清单</w:t>
      </w:r>
    </w:p>
    <w:tbl>
      <w:tblPr>
        <w:tblStyle w:val="5"/>
        <w:tblW w:w="139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850"/>
        <w:gridCol w:w="1134"/>
        <w:gridCol w:w="5670"/>
        <w:gridCol w:w="24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黑体" w:hAnsi="黑体" w:eastAsia="黑体"/>
                <w:sz w:val="28"/>
                <w:szCs w:val="28"/>
              </w:rPr>
            </w:pPr>
            <w:bookmarkStart w:id="0" w:name="_GoBack"/>
            <w:bookmarkEnd w:id="0"/>
            <w:r>
              <w:rPr>
                <w:rFonts w:hint="eastAsia" w:ascii="黑体" w:hAnsi="黑体" w:eastAsia="黑体"/>
                <w:kern w:val="0"/>
                <w:sz w:val="28"/>
                <w:szCs w:val="28"/>
              </w:rPr>
              <w:t>序号</w:t>
            </w:r>
          </w:p>
        </w:tc>
        <w:tc>
          <w:tcPr>
            <w:tcW w:w="1276" w:type="dxa"/>
            <w:tcBorders>
              <w:top w:val="single" w:color="000000" w:sz="4" w:space="0"/>
              <w:left w:val="nil"/>
              <w:bottom w:val="single" w:color="000000" w:sz="4" w:space="0"/>
              <w:right w:val="single" w:color="000000" w:sz="4" w:space="0"/>
            </w:tcBorders>
            <w:vAlign w:val="center"/>
          </w:tcPr>
          <w:p>
            <w:pPr>
              <w:spacing w:line="340" w:lineRule="exact"/>
              <w:ind w:firstLine="140" w:firstLineChars="50"/>
              <w:jc w:val="center"/>
              <w:rPr>
                <w:rFonts w:hint="eastAsia" w:ascii="黑体" w:hAnsi="黑体" w:eastAsia="黑体"/>
                <w:kern w:val="0"/>
                <w:sz w:val="28"/>
                <w:szCs w:val="28"/>
              </w:rPr>
            </w:pPr>
            <w:r>
              <w:rPr>
                <w:rFonts w:hint="eastAsia" w:ascii="黑体" w:hAnsi="黑体" w:eastAsia="黑体"/>
                <w:kern w:val="0"/>
                <w:sz w:val="28"/>
                <w:szCs w:val="28"/>
              </w:rPr>
              <w:t>权责</w:t>
            </w:r>
          </w:p>
          <w:p>
            <w:pPr>
              <w:spacing w:line="340" w:lineRule="exact"/>
              <w:ind w:firstLine="140" w:firstLineChars="50"/>
              <w:jc w:val="center"/>
              <w:rPr>
                <w:rFonts w:ascii="黑体" w:hAnsi="黑体" w:eastAsia="黑体"/>
                <w:sz w:val="28"/>
                <w:szCs w:val="28"/>
              </w:rPr>
            </w:pPr>
            <w:r>
              <w:rPr>
                <w:rFonts w:hint="eastAsia" w:ascii="黑体" w:hAnsi="黑体" w:eastAsia="黑体"/>
                <w:kern w:val="0"/>
                <w:sz w:val="28"/>
                <w:szCs w:val="28"/>
              </w:rPr>
              <w:t>清单</w:t>
            </w:r>
          </w:p>
          <w:p>
            <w:pPr>
              <w:spacing w:line="340" w:lineRule="exact"/>
              <w:ind w:firstLine="140" w:firstLineChars="50"/>
              <w:jc w:val="center"/>
              <w:rPr>
                <w:rFonts w:hint="eastAsia" w:ascii="黑体" w:hAnsi="黑体" w:eastAsia="黑体"/>
                <w:kern w:val="0"/>
                <w:sz w:val="28"/>
                <w:szCs w:val="28"/>
              </w:rPr>
            </w:pPr>
            <w:r>
              <w:rPr>
                <w:rFonts w:hint="eastAsia" w:ascii="黑体" w:hAnsi="黑体" w:eastAsia="黑体"/>
                <w:kern w:val="0"/>
                <w:sz w:val="28"/>
                <w:szCs w:val="28"/>
              </w:rPr>
              <w:t>事项</w:t>
            </w:r>
          </w:p>
          <w:p>
            <w:pPr>
              <w:spacing w:line="340" w:lineRule="exact"/>
              <w:ind w:firstLine="140" w:firstLineChars="50"/>
              <w:jc w:val="center"/>
              <w:rPr>
                <w:rFonts w:ascii="黑体" w:hAnsi="黑体" w:eastAsia="黑体"/>
                <w:sz w:val="28"/>
                <w:szCs w:val="28"/>
              </w:rPr>
            </w:pPr>
            <w:r>
              <w:rPr>
                <w:rFonts w:hint="eastAsia" w:ascii="黑体" w:hAnsi="黑体" w:eastAsia="黑体"/>
                <w:kern w:val="0"/>
                <w:sz w:val="28"/>
                <w:szCs w:val="28"/>
              </w:rPr>
              <w:t>编码</w:t>
            </w:r>
          </w:p>
        </w:tc>
        <w:tc>
          <w:tcPr>
            <w:tcW w:w="850" w:type="dxa"/>
            <w:tcBorders>
              <w:top w:val="single" w:color="000000" w:sz="4" w:space="0"/>
              <w:left w:val="nil"/>
              <w:bottom w:val="single" w:color="000000" w:sz="4" w:space="0"/>
              <w:right w:val="single" w:color="000000" w:sz="4" w:space="0"/>
            </w:tcBorders>
            <w:vAlign w:val="center"/>
          </w:tcPr>
          <w:p>
            <w:pPr>
              <w:spacing w:line="340" w:lineRule="exact"/>
              <w:jc w:val="center"/>
              <w:rPr>
                <w:rFonts w:ascii="黑体" w:hAnsi="黑体" w:eastAsia="黑体"/>
                <w:sz w:val="28"/>
                <w:szCs w:val="28"/>
              </w:rPr>
            </w:pPr>
            <w:r>
              <w:rPr>
                <w:rFonts w:hint="eastAsia" w:ascii="黑体" w:hAnsi="黑体" w:eastAsia="黑体"/>
                <w:kern w:val="0"/>
                <w:sz w:val="28"/>
                <w:szCs w:val="28"/>
              </w:rPr>
              <w:t>权力事项种类</w:t>
            </w:r>
          </w:p>
        </w:tc>
        <w:tc>
          <w:tcPr>
            <w:tcW w:w="1134" w:type="dxa"/>
            <w:tcBorders>
              <w:top w:val="single" w:color="000000" w:sz="4" w:space="0"/>
              <w:left w:val="nil"/>
              <w:bottom w:val="single" w:color="000000" w:sz="4" w:space="0"/>
              <w:right w:val="single" w:color="000000" w:sz="4" w:space="0"/>
            </w:tcBorders>
            <w:vAlign w:val="center"/>
          </w:tcPr>
          <w:p>
            <w:pPr>
              <w:spacing w:line="340" w:lineRule="exact"/>
              <w:jc w:val="center"/>
              <w:rPr>
                <w:rFonts w:hint="eastAsia" w:ascii="黑体" w:hAnsi="黑体" w:eastAsia="黑体"/>
                <w:kern w:val="0"/>
                <w:sz w:val="28"/>
                <w:szCs w:val="28"/>
              </w:rPr>
            </w:pPr>
            <w:r>
              <w:rPr>
                <w:rFonts w:hint="eastAsia" w:ascii="黑体" w:hAnsi="黑体" w:eastAsia="黑体"/>
                <w:kern w:val="0"/>
                <w:sz w:val="28"/>
                <w:szCs w:val="28"/>
              </w:rPr>
              <w:t>权力</w:t>
            </w:r>
          </w:p>
          <w:p>
            <w:pPr>
              <w:spacing w:line="340" w:lineRule="exact"/>
              <w:jc w:val="center"/>
              <w:rPr>
                <w:rFonts w:hint="eastAsia" w:ascii="黑体" w:hAnsi="黑体" w:eastAsia="黑体"/>
                <w:kern w:val="0"/>
                <w:sz w:val="28"/>
                <w:szCs w:val="28"/>
              </w:rPr>
            </w:pPr>
            <w:r>
              <w:rPr>
                <w:rFonts w:hint="eastAsia" w:ascii="黑体" w:hAnsi="黑体" w:eastAsia="黑体"/>
                <w:kern w:val="0"/>
                <w:sz w:val="28"/>
                <w:szCs w:val="28"/>
              </w:rPr>
              <w:t>事项</w:t>
            </w:r>
          </w:p>
          <w:p>
            <w:pPr>
              <w:spacing w:line="340" w:lineRule="exact"/>
              <w:jc w:val="center"/>
              <w:rPr>
                <w:rFonts w:ascii="黑体" w:hAnsi="黑体" w:eastAsia="黑体"/>
                <w:sz w:val="28"/>
                <w:szCs w:val="28"/>
              </w:rPr>
            </w:pPr>
            <w:r>
              <w:rPr>
                <w:rFonts w:hint="eastAsia" w:ascii="黑体" w:hAnsi="黑体" w:eastAsia="黑体"/>
                <w:kern w:val="0"/>
                <w:sz w:val="28"/>
                <w:szCs w:val="28"/>
              </w:rPr>
              <w:t>名称</w:t>
            </w:r>
          </w:p>
        </w:tc>
        <w:tc>
          <w:tcPr>
            <w:tcW w:w="5670" w:type="dxa"/>
            <w:tcBorders>
              <w:top w:val="single" w:color="000000" w:sz="4" w:space="0"/>
              <w:left w:val="nil"/>
              <w:bottom w:val="single" w:color="000000" w:sz="4" w:space="0"/>
              <w:right w:val="single" w:color="000000" w:sz="4" w:space="0"/>
            </w:tcBorders>
            <w:vAlign w:val="center"/>
          </w:tcPr>
          <w:p>
            <w:pPr>
              <w:spacing w:line="340" w:lineRule="exact"/>
              <w:jc w:val="center"/>
              <w:rPr>
                <w:rFonts w:ascii="黑体" w:hAnsi="黑体" w:eastAsia="黑体"/>
                <w:sz w:val="28"/>
                <w:szCs w:val="28"/>
              </w:rPr>
            </w:pPr>
            <w:r>
              <w:rPr>
                <w:rFonts w:hint="eastAsia" w:ascii="黑体" w:hAnsi="黑体" w:eastAsia="黑体"/>
                <w:kern w:val="0"/>
                <w:sz w:val="28"/>
                <w:szCs w:val="28"/>
              </w:rPr>
              <w:t>保留的证明</w:t>
            </w:r>
          </w:p>
          <w:p>
            <w:pPr>
              <w:spacing w:line="340" w:lineRule="exact"/>
              <w:jc w:val="center"/>
              <w:rPr>
                <w:rFonts w:ascii="黑体" w:hAnsi="黑体" w:eastAsia="黑体"/>
                <w:sz w:val="28"/>
                <w:szCs w:val="28"/>
              </w:rPr>
            </w:pPr>
            <w:r>
              <w:rPr>
                <w:rFonts w:hint="eastAsia" w:ascii="黑体" w:hAnsi="黑体" w:eastAsia="黑体"/>
                <w:kern w:val="0"/>
                <w:sz w:val="28"/>
                <w:szCs w:val="28"/>
              </w:rPr>
              <w:t>事项名称</w:t>
            </w:r>
          </w:p>
        </w:tc>
        <w:tc>
          <w:tcPr>
            <w:tcW w:w="2410" w:type="dxa"/>
            <w:tcBorders>
              <w:top w:val="single" w:color="000000" w:sz="4" w:space="0"/>
              <w:left w:val="nil"/>
              <w:bottom w:val="single" w:color="000000" w:sz="4" w:space="0"/>
              <w:right w:val="single" w:color="000000" w:sz="4" w:space="0"/>
            </w:tcBorders>
            <w:vAlign w:val="center"/>
          </w:tcPr>
          <w:p>
            <w:pPr>
              <w:spacing w:line="340" w:lineRule="exact"/>
              <w:ind w:firstLine="280" w:firstLineChars="100"/>
              <w:jc w:val="center"/>
              <w:rPr>
                <w:rFonts w:ascii="黑体" w:hAnsi="黑体" w:eastAsia="黑体"/>
                <w:sz w:val="28"/>
                <w:szCs w:val="28"/>
              </w:rPr>
            </w:pPr>
            <w:r>
              <w:rPr>
                <w:rFonts w:hint="eastAsia" w:ascii="黑体" w:hAnsi="黑体" w:eastAsia="黑体"/>
                <w:kern w:val="0"/>
                <w:sz w:val="28"/>
                <w:szCs w:val="28"/>
              </w:rPr>
              <w:t>设定依据</w:t>
            </w:r>
          </w:p>
          <w:p>
            <w:pPr>
              <w:spacing w:line="340" w:lineRule="exact"/>
              <w:jc w:val="center"/>
              <w:rPr>
                <w:rFonts w:ascii="黑体" w:hAnsi="黑体" w:eastAsia="黑体"/>
                <w:sz w:val="28"/>
                <w:szCs w:val="28"/>
              </w:rPr>
            </w:pPr>
          </w:p>
        </w:tc>
        <w:tc>
          <w:tcPr>
            <w:tcW w:w="1620" w:type="dxa"/>
            <w:tcBorders>
              <w:top w:val="single" w:color="000000" w:sz="4" w:space="0"/>
              <w:left w:val="nil"/>
              <w:bottom w:val="single" w:color="000000" w:sz="4" w:space="0"/>
              <w:right w:val="single" w:color="000000" w:sz="4" w:space="0"/>
            </w:tcBorders>
            <w:vAlign w:val="center"/>
          </w:tcPr>
          <w:p>
            <w:pPr>
              <w:spacing w:line="340" w:lineRule="exact"/>
              <w:jc w:val="center"/>
              <w:rPr>
                <w:rFonts w:ascii="黑体" w:hAnsi="黑体" w:eastAsia="黑体"/>
                <w:kern w:val="0"/>
                <w:sz w:val="28"/>
                <w:szCs w:val="28"/>
              </w:rPr>
            </w:pPr>
            <w:r>
              <w:rPr>
                <w:rFonts w:hint="eastAsia" w:ascii="黑体" w:hAnsi="黑体" w:eastAsia="黑体"/>
                <w:kern w:val="0"/>
                <w:sz w:val="28"/>
                <w:szCs w:val="28"/>
              </w:rPr>
              <w:t>出具证明</w:t>
            </w:r>
          </w:p>
          <w:p>
            <w:pPr>
              <w:spacing w:line="340" w:lineRule="exact"/>
              <w:jc w:val="center"/>
              <w:rPr>
                <w:rFonts w:ascii="黑体" w:hAnsi="黑体" w:eastAsia="黑体"/>
                <w:sz w:val="28"/>
                <w:szCs w:val="28"/>
              </w:rPr>
            </w:pPr>
            <w:r>
              <w:rPr>
                <w:rFonts w:hint="eastAsia" w:ascii="黑体" w:hAnsi="黑体" w:eastAsia="黑体"/>
                <w:kern w:val="0"/>
                <w:sz w:val="28"/>
                <w:szCs w:val="28"/>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1</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3710821101809</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行政给付类</w:t>
            </w:r>
          </w:p>
        </w:tc>
        <w:tc>
          <w:tcPr>
            <w:tcW w:w="113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工伤保险待遇给付</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hAnsi="宋体" w:eastAsia="仿宋_GB2312" w:cs="宋体"/>
                <w:color w:val="000000"/>
                <w:kern w:val="0"/>
                <w:sz w:val="18"/>
                <w:szCs w:val="18"/>
              </w:rPr>
              <w:t>依靠工亡职工生前提供主要生活来源的证明;</w:t>
            </w:r>
            <w:r>
              <w:rPr>
                <w:rFonts w:hint="eastAsia" w:ascii="仿宋_GB2312" w:eastAsia="仿宋_GB2312"/>
                <w:sz w:val="18"/>
                <w:szCs w:val="18"/>
              </w:rPr>
              <w:t>在校学生提供学校就读证明</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《因工死亡职工供养亲属范围规定》(中华人民共和国劳动和社会保障部令第18号)</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rPr>
            </w:pPr>
            <w:r>
              <w:rPr>
                <w:rFonts w:hint="eastAsia" w:ascii="仿宋_GB2312" w:eastAsia="仿宋_GB2312"/>
              </w:rPr>
              <w:t>通过内部核查，不能通过内部审核的，仍需提供该项证明。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2</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行政确认类</w:t>
            </w:r>
          </w:p>
        </w:tc>
        <w:tc>
          <w:tcPr>
            <w:tcW w:w="113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工伤认定</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医疗机构出具的受伤后初诊病历、诊断材料、住院病历（若住院）；属于职业病的提供合法有效的职业病诊断材料；用人单位的营业执照副本或者工商行政管理部门出具的查询材料；因履行工作职责受到暴力等意外伤害的，提交公安机关、人民法院的判决书等有效材料；因工外出期间，由于工作原因受到事故伤害的，提交公安机关等部门出具的有效材料；发生事故下落不明的要求认定因工死亡的，提交人民法院宣告死亡的结论；由于机动车事故引起的伤亡事故，提交公安交通管理部门的交通事故认定书或者相关处理材料；在工作时间和工作岗位，突发疾病死亡或者在48小时之间经抢救无效死亡的，提交医疗机构的抢救和死亡相关材料；属于抢险救灾等维护国家利益、公共利益活动中受到伤害的，按照法律法规的规定，提交事发地县级以上有关部门出具的有效证明；属于因战、因公负伤致残的转业、复员军人，旧伤复发的，提交民政部门颁发的《革命伤残军人证》及劳动能力鉴定委员会对旧伤复发的确认材料。直系亲属代表伤亡职工提出工伤认定申请的，提交有效的直系亲属关系材料及授权委托书。</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《工伤保险条例》第十八条、第十九条、第二十条；人力资源社会保障部关于执行《工伤保险条例》若干问题的意见（人社部发〔2013〕34号）</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rPr>
            </w:pPr>
            <w:r>
              <w:rPr>
                <w:rFonts w:hint="eastAsia" w:ascii="仿宋_GB2312" w:eastAsia="仿宋_GB2312"/>
              </w:rPr>
              <w:t>医疗机构;司法机关;工商行政管理部门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3</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3710821901811</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其他权力类</w:t>
            </w:r>
          </w:p>
        </w:tc>
        <w:tc>
          <w:tcPr>
            <w:tcW w:w="113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劳动能力鉴定初审转报</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属职业病、精神病的，需提供有效的诊断证明。</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1、《工伤保险条例》第二十一条</w:t>
            </w:r>
          </w:p>
          <w:p>
            <w:pPr>
              <w:jc w:val="left"/>
              <w:rPr>
                <w:rFonts w:ascii="仿宋_GB2312" w:eastAsia="仿宋_GB2312"/>
                <w:sz w:val="18"/>
                <w:szCs w:val="18"/>
              </w:rPr>
            </w:pPr>
            <w:r>
              <w:rPr>
                <w:rFonts w:hint="eastAsia" w:ascii="仿宋_GB2312" w:eastAsia="仿宋_GB2312"/>
                <w:sz w:val="18"/>
                <w:szCs w:val="18"/>
              </w:rPr>
              <w:t>2、《山东省劳动能力鉴定管理办法》（鲁劳鉴发〔2004〕8号）</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rPr>
            </w:pPr>
            <w:r>
              <w:rPr>
                <w:rFonts w:hint="eastAsia" w:ascii="仿宋_GB2312" w:eastAsia="仿宋_GB2312"/>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4</w:t>
            </w:r>
          </w:p>
        </w:tc>
        <w:tc>
          <w:tcPr>
            <w:tcW w:w="12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_GB2312" w:hAnsi="宋体" w:eastAsia="仿宋_GB2312" w:cs="楷体_GB2312"/>
                <w:color w:val="000000"/>
                <w:sz w:val="24"/>
                <w:szCs w:val="24"/>
              </w:rPr>
            </w:pPr>
            <w:r>
              <w:rPr>
                <w:rFonts w:hint="eastAsia" w:ascii="仿宋_GB2312" w:hAnsi="宋体" w:eastAsia="仿宋_GB2312" w:cs="楷体_GB2312"/>
                <w:color w:val="000000"/>
                <w:kern w:val="0"/>
                <w:sz w:val="24"/>
                <w:szCs w:val="24"/>
              </w:rPr>
              <w:t>3710821101808</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sz w:val="24"/>
                <w:szCs w:val="24"/>
              </w:rPr>
              <w:t>行政给付</w:t>
            </w:r>
          </w:p>
        </w:tc>
        <w:tc>
          <w:tcPr>
            <w:tcW w:w="113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_GB2312" w:hAnsi="宋体" w:eastAsia="仿宋_GB2312" w:cs="楷体_GB2312"/>
                <w:color w:val="000000"/>
                <w:sz w:val="24"/>
                <w:szCs w:val="24"/>
              </w:rPr>
            </w:pPr>
            <w:r>
              <w:rPr>
                <w:rFonts w:hint="eastAsia" w:ascii="仿宋_GB2312" w:hAnsi="宋体" w:eastAsia="仿宋_GB2312" w:cs="楷体_GB2312"/>
                <w:color w:val="000000"/>
                <w:kern w:val="0"/>
                <w:sz w:val="24"/>
                <w:szCs w:val="24"/>
              </w:rPr>
              <w:t>机关事业单位离退休职工丧葬费和一次性抚恤金支付</w:t>
            </w:r>
          </w:p>
        </w:tc>
        <w:tc>
          <w:tcPr>
            <w:tcW w:w="567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仿宋_GB2312" w:hAnsi="宋体" w:eastAsia="仿宋_GB2312" w:cs="楷体_GB2312"/>
                <w:color w:val="000000"/>
                <w:sz w:val="18"/>
                <w:szCs w:val="18"/>
              </w:rPr>
            </w:pPr>
            <w:r>
              <w:rPr>
                <w:rFonts w:hint="eastAsia" w:ascii="仿宋_GB2312" w:hAnsi="宋体" w:eastAsia="仿宋_GB2312" w:cs="楷体_GB2312"/>
                <w:color w:val="000000"/>
                <w:kern w:val="0"/>
                <w:sz w:val="18"/>
                <w:szCs w:val="18"/>
              </w:rPr>
              <w:t>医学死亡证明</w:t>
            </w:r>
            <w:r>
              <w:rPr>
                <w:rFonts w:hint="eastAsia" w:ascii="仿宋_GB2312" w:hAnsi="宋体" w:eastAsia="仿宋_GB2312" w:cs="楷体_GB2312"/>
                <w:color w:val="000000"/>
                <w:kern w:val="0"/>
                <w:sz w:val="18"/>
                <w:szCs w:val="18"/>
              </w:rPr>
              <w:br w:type="textWrapping"/>
            </w:r>
          </w:p>
        </w:tc>
        <w:tc>
          <w:tcPr>
            <w:tcW w:w="2410" w:type="dxa"/>
            <w:tcBorders>
              <w:top w:val="single" w:color="000000" w:sz="4" w:space="0"/>
              <w:left w:val="nil"/>
              <w:bottom w:val="single" w:color="000000" w:sz="4" w:space="0"/>
              <w:right w:val="single" w:color="000000" w:sz="4" w:space="0"/>
            </w:tcBorders>
            <w:vAlign w:val="center"/>
          </w:tcPr>
          <w:p>
            <w:pPr>
              <w:widowControl/>
              <w:ind w:left="-87" w:leftChars="-67" w:hanging="54" w:hangingChars="30"/>
              <w:jc w:val="left"/>
              <w:textAlignment w:val="center"/>
              <w:rPr>
                <w:rFonts w:ascii="仿宋_GB2312" w:hAnsi="宋体" w:eastAsia="仿宋_GB2312" w:cs="楷体_GB2312"/>
                <w:color w:val="000000"/>
                <w:sz w:val="18"/>
                <w:szCs w:val="18"/>
              </w:rPr>
            </w:pPr>
            <w:r>
              <w:rPr>
                <w:rFonts w:hint="eastAsia" w:ascii="仿宋_GB2312" w:hAnsi="宋体" w:eastAsia="仿宋_GB2312" w:cs="楷体_GB2312"/>
                <w:color w:val="000000"/>
                <w:kern w:val="0"/>
                <w:sz w:val="18"/>
                <w:szCs w:val="18"/>
              </w:rPr>
              <w:t xml:space="preserve"> 1、《关于事业单位工作人员和离退休人员死亡一次性抚恤金发放办法的通知》（人社部发</w:t>
            </w:r>
            <w:r>
              <w:rPr>
                <w:rFonts w:hint="eastAsia" w:ascii="仿宋_GB2312" w:eastAsia="仿宋_GB2312"/>
                <w:sz w:val="18"/>
                <w:szCs w:val="18"/>
              </w:rPr>
              <w:t>〔2008〕</w:t>
            </w:r>
            <w:r>
              <w:rPr>
                <w:rFonts w:hint="eastAsia" w:ascii="仿宋_GB2312" w:hAnsi="宋体" w:eastAsia="仿宋_GB2312" w:cs="楷体_GB2312"/>
                <w:color w:val="000000"/>
                <w:kern w:val="0"/>
                <w:sz w:val="18"/>
                <w:szCs w:val="18"/>
              </w:rPr>
              <w:t>42号）自2006年7月1日起，国家机关工作人员及离退休人员死亡一次性抚恤金的计发办法为：（一）国家机关在职工作人员死亡，一次性抚恤金按本人生前最后一个月基本工资为基数计发。其中：①公务员，为本人职务工资和级别工资之和；②机关技术工人，为本人岗位工资和技术等级（职务）工资之和；③机关普通工人，为本人岗位工资。                                                       2、《关于国家机关工作人员及离退休人员死亡一次性抚恤金发放有关问题的通知》（民发</w:t>
            </w:r>
            <w:r>
              <w:rPr>
                <w:rFonts w:hint="eastAsia" w:ascii="仿宋_GB2312" w:eastAsia="仿宋_GB2312"/>
                <w:sz w:val="18"/>
                <w:szCs w:val="18"/>
              </w:rPr>
              <w:t>〔2011〕</w:t>
            </w:r>
            <w:r>
              <w:rPr>
                <w:rFonts w:hint="eastAsia" w:ascii="仿宋_GB2312" w:hAnsi="宋体" w:eastAsia="仿宋_GB2312" w:cs="楷体_GB2312"/>
                <w:color w:val="000000"/>
                <w:kern w:val="0"/>
                <w:sz w:val="18"/>
                <w:szCs w:val="18"/>
              </w:rPr>
              <w:t>192号）自2011年8月1日起，国家机关工作人员及离退休人员死亡，一次性抚恤金发放标准调整为：烈士和因公牺牲的，为上一年度全国城镇居民人均可支配收入的20倍加本人生前40个月基本工资或基本离退休费；病故的，为上一年度全国城镇居民人均可支配收入的2倍加本人生前40个月基本工资或基本离退休费。发放一次性抚恤金所需经费仍按现行渠道解决。</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rPr>
              <w:t>公安、民政、户籍、医院等部门提供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5</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3710821101803</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行政给付</w:t>
            </w:r>
          </w:p>
        </w:tc>
        <w:tc>
          <w:tcPr>
            <w:tcW w:w="113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离退休人员基本养老保险个人账户一次性支付</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p>
          <w:p>
            <w:pPr>
              <w:jc w:val="left"/>
              <w:rPr>
                <w:rFonts w:ascii="仿宋_GB2312" w:eastAsia="仿宋_GB2312"/>
                <w:sz w:val="18"/>
                <w:szCs w:val="18"/>
              </w:rPr>
            </w:pPr>
            <w:r>
              <w:rPr>
                <w:rFonts w:hint="eastAsia" w:ascii="仿宋_GB2312" w:eastAsia="仿宋_GB2312"/>
                <w:sz w:val="18"/>
                <w:szCs w:val="18"/>
              </w:rPr>
              <w:t>医学死亡证明、直系亲属关系证件</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《中华人民共和国社会保险法》(2010年10月通过)第十四条规定： 个人账户不得提前支取，个人死亡的，个人账户余额可以继承。</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rPr>
              <w:t>公安、民政、户籍、医院等部门提供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6</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3710821101804</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行政给付</w:t>
            </w:r>
          </w:p>
        </w:tc>
        <w:tc>
          <w:tcPr>
            <w:tcW w:w="113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4"/>
                <w:szCs w:val="24"/>
              </w:rPr>
            </w:pPr>
            <w:r>
              <w:rPr>
                <w:rFonts w:hint="eastAsia" w:ascii="仿宋_GB2312" w:eastAsia="仿宋_GB2312"/>
                <w:sz w:val="24"/>
                <w:szCs w:val="24"/>
              </w:rPr>
              <w:t>企业离退休人员丧葬补助费和一次性生活困难补助费发放</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医学死亡证明、直系亲属关系证件</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1、《关于调整国有企业因工与非因工死亡职工供养直系亲属生活困难补助标》（鲁劳发〔1993〕343号）“职工死亡后，有直系亲属的，发给一次性抚恤金或救济费。”</w:t>
            </w:r>
          </w:p>
          <w:p>
            <w:pPr>
              <w:jc w:val="left"/>
              <w:rPr>
                <w:rFonts w:ascii="仿宋_GB2312" w:eastAsia="仿宋_GB2312"/>
                <w:sz w:val="18"/>
                <w:szCs w:val="18"/>
              </w:rPr>
            </w:pPr>
            <w:r>
              <w:rPr>
                <w:rFonts w:hint="eastAsia" w:ascii="仿宋_GB2312" w:eastAsia="仿宋_GB2312"/>
                <w:sz w:val="18"/>
                <w:szCs w:val="18"/>
              </w:rPr>
              <w:t>2、《关于调整企业职工丧葬补助费标准的通知》（鲁劳社〔2003〕53号）“企业职工（含离退休人员）逝世后，不分职务级别，丧葬补助费的标准调整为每人1000元。</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rPr>
              <w:t>公安、民政、户籍医院等部门提供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30"/>
                <w:szCs w:val="30"/>
              </w:rPr>
              <w:t>7</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3710821101811</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行政给付</w:t>
            </w:r>
          </w:p>
        </w:tc>
        <w:tc>
          <w:tcPr>
            <w:tcW w:w="113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sz w:val="24"/>
                <w:szCs w:val="24"/>
              </w:rPr>
              <w:t>离退休人员供养直系亲属定期生活困难补助发放</w:t>
            </w:r>
          </w:p>
        </w:tc>
        <w:tc>
          <w:tcPr>
            <w:tcW w:w="567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医学死亡证明、直系亲属关系证件</w:t>
            </w:r>
          </w:p>
        </w:tc>
        <w:tc>
          <w:tcPr>
            <w:tcW w:w="2410" w:type="dxa"/>
            <w:tcBorders>
              <w:top w:val="single" w:color="000000" w:sz="4" w:space="0"/>
              <w:left w:val="nil"/>
              <w:bottom w:val="single" w:color="000000" w:sz="4" w:space="0"/>
              <w:right w:val="single" w:color="000000" w:sz="4" w:space="0"/>
            </w:tcBorders>
            <w:vAlign w:val="center"/>
          </w:tcPr>
          <w:p>
            <w:pPr>
              <w:jc w:val="left"/>
              <w:rPr>
                <w:rFonts w:ascii="仿宋_GB2312" w:eastAsia="仿宋_GB2312"/>
                <w:sz w:val="18"/>
                <w:szCs w:val="18"/>
              </w:rPr>
            </w:pPr>
            <w:r>
              <w:rPr>
                <w:rFonts w:hint="eastAsia" w:ascii="仿宋_GB2312" w:eastAsia="仿宋_GB2312"/>
                <w:sz w:val="18"/>
                <w:szCs w:val="18"/>
              </w:rPr>
              <w:t>〔1988〕鲁劳险字第397号文件规定：死亡职工供养直系亲属一次性生活补助为改为定期生活补助，从职工死亡的下月起按月发放。</w:t>
            </w:r>
          </w:p>
        </w:tc>
        <w:tc>
          <w:tcPr>
            <w:tcW w:w="162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rPr>
              <w:t>公安、民政、户籍、医院等部门提供</w:t>
            </w:r>
          </w:p>
        </w:tc>
      </w:tr>
    </w:tbl>
    <w:p>
      <w:pPr>
        <w:tabs>
          <w:tab w:val="left" w:pos="12333"/>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5627"/>
    <w:rsid w:val="00034128"/>
    <w:rsid w:val="00055627"/>
    <w:rsid w:val="00067859"/>
    <w:rsid w:val="000E2F37"/>
    <w:rsid w:val="001D4F69"/>
    <w:rsid w:val="00290192"/>
    <w:rsid w:val="002A045D"/>
    <w:rsid w:val="003A76EC"/>
    <w:rsid w:val="00413447"/>
    <w:rsid w:val="004E6921"/>
    <w:rsid w:val="00553D16"/>
    <w:rsid w:val="00634C72"/>
    <w:rsid w:val="006D7DC6"/>
    <w:rsid w:val="00752F6C"/>
    <w:rsid w:val="007725E8"/>
    <w:rsid w:val="007F7E05"/>
    <w:rsid w:val="00821AA8"/>
    <w:rsid w:val="00911A7F"/>
    <w:rsid w:val="00966936"/>
    <w:rsid w:val="009B0387"/>
    <w:rsid w:val="00AB174F"/>
    <w:rsid w:val="00AE7633"/>
    <w:rsid w:val="00B62D99"/>
    <w:rsid w:val="00B83613"/>
    <w:rsid w:val="00BE1A01"/>
    <w:rsid w:val="00C526A2"/>
    <w:rsid w:val="00C82481"/>
    <w:rsid w:val="00CC49DD"/>
    <w:rsid w:val="00D57FF5"/>
    <w:rsid w:val="00F8566E"/>
    <w:rsid w:val="00FB0100"/>
    <w:rsid w:val="21602879"/>
    <w:rsid w:val="5EF7D6EA"/>
    <w:rsid w:val="6B4C09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rPr>
      <w:rFonts w:ascii="Times New Roman" w:hAnsi="Times New Roman"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kern w:val="2"/>
      <w:sz w:val="18"/>
      <w:szCs w:val="18"/>
    </w:rPr>
  </w:style>
  <w:style w:type="character" w:customStyle="1" w:styleId="8">
    <w:name w:val="页脚 Char"/>
    <w:basedOn w:val="6"/>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E1470-7442-4BCB-8DB9-57C058A6A103}">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1693</Characters>
  <Lines>14</Lines>
  <Paragraphs>3</Paragraphs>
  <TotalTime>50</TotalTime>
  <ScaleCrop>false</ScaleCrop>
  <LinksUpToDate>false</LinksUpToDate>
  <CharactersWithSpaces>1987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2020-06-24T09:47:00Z</dcterms:created>
  <dc:creator>rcsfj</dc:creator>
  <cp:lastModifiedBy>倩染绯草</cp:lastModifiedBy>
  <cp:lastPrinted>2020-06-30T02:39:00Z</cp:lastPrinted>
  <dcterms:modified xsi:type="dcterms:W3CDTF">2020-07-31T09:26:49Z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