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atLeast"/>
        <w:rPr>
          <w:rFonts w:hint="eastAsia" w:ascii="黑体" w:eastAsia="黑体"/>
          <w:bCs/>
        </w:rPr>
      </w:pPr>
      <w:r>
        <w:rPr>
          <w:rFonts w:hint="eastAsia" w:ascii="黑体" w:eastAsia="黑体"/>
          <w:bCs/>
        </w:rPr>
        <w:t>附件1</w:t>
      </w:r>
    </w:p>
    <w:p>
      <w:pPr>
        <w:widowControl/>
        <w:spacing w:line="560" w:lineRule="atLeast"/>
        <w:jc w:val="center"/>
        <w:rPr>
          <w:rFonts w:hint="eastAsia" w:ascii="方正小标宋简体" w:eastAsia="方正小标宋简体"/>
          <w:bCs/>
          <w:sz w:val="44"/>
          <w:szCs w:val="44"/>
        </w:rPr>
      </w:pPr>
      <w:r>
        <w:rPr>
          <w:rFonts w:hint="eastAsia" w:ascii="方正小标宋简体" w:eastAsia="方正小标宋简体"/>
          <w:bCs/>
          <w:sz w:val="44"/>
          <w:szCs w:val="44"/>
        </w:rPr>
        <w:t>中共荣成市委宣传部2015年部门预算</w:t>
      </w:r>
    </w:p>
    <w:p>
      <w:pPr>
        <w:widowControl/>
        <w:spacing w:line="560" w:lineRule="atLeast"/>
        <w:jc w:val="center"/>
        <w:rPr>
          <w:bCs/>
          <w:sz w:val="36"/>
          <w:szCs w:val="36"/>
        </w:rPr>
      </w:pPr>
      <w:r>
        <w:rPr>
          <w:bCs/>
          <w:sz w:val="36"/>
          <w:szCs w:val="36"/>
        </w:rPr>
        <w:t> </w:t>
      </w:r>
    </w:p>
    <w:p>
      <w:pPr>
        <w:widowControl/>
        <w:spacing w:line="560" w:lineRule="atLeast"/>
        <w:jc w:val="center"/>
        <w:rPr>
          <w:rFonts w:eastAsia="黑体"/>
          <w:bCs/>
          <w:sz w:val="36"/>
          <w:szCs w:val="36"/>
        </w:rPr>
      </w:pPr>
      <w:r>
        <w:rPr>
          <w:rFonts w:eastAsia="黑体"/>
          <w:bCs/>
          <w:sz w:val="36"/>
          <w:szCs w:val="36"/>
        </w:rPr>
        <w:t>目    录</w:t>
      </w:r>
    </w:p>
    <w:p>
      <w:pPr>
        <w:widowControl/>
        <w:spacing w:line="560" w:lineRule="atLeast"/>
        <w:jc w:val="center"/>
        <w:rPr>
          <w:bCs/>
        </w:rPr>
      </w:pPr>
    </w:p>
    <w:p>
      <w:pPr>
        <w:widowControl/>
        <w:spacing w:line="560" w:lineRule="atLeast"/>
        <w:ind w:left="355" w:hanging="355" w:hangingChars="111"/>
        <w:jc w:val="left"/>
        <w:rPr>
          <w:rFonts w:eastAsia="黑体"/>
          <w:bCs/>
        </w:rPr>
      </w:pPr>
      <w:r>
        <w:rPr>
          <w:rFonts w:eastAsia="黑体"/>
          <w:bCs/>
        </w:rPr>
        <w:t xml:space="preserve">第一部分  </w:t>
      </w:r>
      <w:r>
        <w:rPr>
          <w:rFonts w:hint="eastAsia" w:eastAsia="黑体"/>
          <w:bCs/>
        </w:rPr>
        <w:t>中共荣成</w:t>
      </w:r>
      <w:r>
        <w:rPr>
          <w:rFonts w:eastAsia="黑体"/>
          <w:bCs/>
        </w:rPr>
        <w:t>市</w:t>
      </w:r>
      <w:r>
        <w:rPr>
          <w:rFonts w:hint="eastAsia" w:eastAsia="黑体"/>
          <w:bCs/>
        </w:rPr>
        <w:t>委宣传部</w:t>
      </w:r>
      <w:r>
        <w:rPr>
          <w:rFonts w:eastAsia="黑体"/>
          <w:bCs/>
        </w:rPr>
        <w:t>概况</w:t>
      </w:r>
    </w:p>
    <w:p>
      <w:pPr>
        <w:widowControl/>
        <w:adjustRightInd/>
        <w:spacing w:line="560" w:lineRule="atLeast"/>
        <w:ind w:firstLine="640" w:firstLineChars="200"/>
        <w:jc w:val="left"/>
        <w:rPr>
          <w:bCs/>
        </w:rPr>
      </w:pPr>
      <w:r>
        <w:rPr>
          <w:rFonts w:hint="eastAsia"/>
          <w:bCs/>
        </w:rPr>
        <w:t>一、</w:t>
      </w:r>
      <w:r>
        <w:rPr>
          <w:bCs/>
        </w:rPr>
        <w:t>部门主要职能</w:t>
      </w:r>
    </w:p>
    <w:p>
      <w:pPr>
        <w:widowControl/>
        <w:spacing w:line="560" w:lineRule="atLeast"/>
        <w:ind w:firstLine="640" w:firstLineChars="200"/>
        <w:jc w:val="left"/>
        <w:rPr>
          <w:bCs/>
        </w:rPr>
      </w:pPr>
      <w:r>
        <w:rPr>
          <w:bCs/>
        </w:rPr>
        <w:t>二、部门预算单位构成</w:t>
      </w:r>
    </w:p>
    <w:p>
      <w:pPr>
        <w:widowControl/>
        <w:spacing w:line="560" w:lineRule="atLeast"/>
        <w:ind w:firstLine="640" w:firstLineChars="200"/>
        <w:jc w:val="left"/>
        <w:rPr>
          <w:bCs/>
        </w:rPr>
      </w:pPr>
      <w:r>
        <w:rPr>
          <w:bCs/>
        </w:rPr>
        <w:t>三、部门人员构成</w:t>
      </w:r>
    </w:p>
    <w:p>
      <w:pPr>
        <w:widowControl/>
        <w:spacing w:line="560" w:lineRule="atLeast"/>
        <w:ind w:left="355" w:hanging="355" w:hangingChars="111"/>
        <w:jc w:val="left"/>
        <w:rPr>
          <w:rFonts w:hint="eastAsia" w:eastAsia="黑体"/>
          <w:bCs/>
        </w:rPr>
      </w:pPr>
      <w:r>
        <w:rPr>
          <w:rFonts w:eastAsia="黑体"/>
          <w:bCs/>
        </w:rPr>
        <w:t>第二部分  201</w:t>
      </w:r>
      <w:r>
        <w:rPr>
          <w:rFonts w:hint="eastAsia" w:eastAsia="黑体"/>
          <w:bCs/>
        </w:rPr>
        <w:t>5</w:t>
      </w:r>
      <w:r>
        <w:rPr>
          <w:rFonts w:eastAsia="黑体"/>
          <w:bCs/>
        </w:rPr>
        <w:t>年部门预算安排情况说明</w:t>
      </w:r>
    </w:p>
    <w:p>
      <w:pPr>
        <w:widowControl/>
        <w:spacing w:line="560" w:lineRule="atLeast"/>
        <w:ind w:left="640" w:hanging="640" w:hangingChars="200"/>
        <w:jc w:val="left"/>
        <w:rPr>
          <w:bCs/>
        </w:rPr>
      </w:pPr>
      <w:r>
        <w:rPr>
          <w:rFonts w:eastAsia="黑体"/>
          <w:bCs/>
        </w:rPr>
        <w:t>第三部分</w:t>
      </w:r>
      <w:r>
        <w:rPr>
          <w:rFonts w:hint="eastAsia" w:eastAsia="黑体"/>
          <w:bCs/>
        </w:rPr>
        <w:t xml:space="preserve">  </w:t>
      </w:r>
      <w:r>
        <w:rPr>
          <w:rFonts w:eastAsia="黑体"/>
          <w:bCs/>
        </w:rPr>
        <w:t>201</w:t>
      </w:r>
      <w:r>
        <w:rPr>
          <w:rFonts w:hint="eastAsia" w:eastAsia="黑体"/>
          <w:bCs/>
        </w:rPr>
        <w:t>5</w:t>
      </w:r>
      <w:r>
        <w:rPr>
          <w:rFonts w:eastAsia="黑体"/>
          <w:bCs/>
        </w:rPr>
        <w:t>年部门预算表</w:t>
      </w:r>
      <w:r>
        <w:rPr>
          <w:rFonts w:eastAsia="黑体"/>
          <w:bCs/>
        </w:rPr>
        <w:br w:type="textWrapping"/>
      </w:r>
      <w:r>
        <w:rPr>
          <w:bCs/>
        </w:rPr>
        <w:t>一、</w:t>
      </w:r>
      <w:r>
        <w:rPr>
          <w:rFonts w:hint="eastAsia"/>
          <w:bCs/>
        </w:rPr>
        <w:t>2015年荣成市部门预算收支总表</w:t>
      </w:r>
      <w:r>
        <w:rPr>
          <w:bCs/>
        </w:rPr>
        <w:t>（表</w:t>
      </w:r>
      <w:r>
        <w:rPr>
          <w:rFonts w:hint="eastAsia"/>
          <w:bCs/>
        </w:rPr>
        <w:t>一</w:t>
      </w:r>
      <w:r>
        <w:rPr>
          <w:bCs/>
        </w:rPr>
        <w:t>）</w:t>
      </w:r>
    </w:p>
    <w:p>
      <w:pPr>
        <w:widowControl/>
        <w:spacing w:line="560" w:lineRule="atLeast"/>
        <w:ind w:firstLine="640" w:firstLineChars="200"/>
        <w:jc w:val="left"/>
        <w:rPr>
          <w:bCs/>
        </w:rPr>
      </w:pPr>
      <w:r>
        <w:rPr>
          <w:bCs/>
        </w:rPr>
        <w:t>二、</w:t>
      </w:r>
      <w:r>
        <w:rPr>
          <w:rFonts w:hint="eastAsia"/>
          <w:bCs/>
        </w:rPr>
        <w:t>2015年荣成市部门预算支出明细表</w:t>
      </w:r>
      <w:r>
        <w:rPr>
          <w:bCs/>
        </w:rPr>
        <w:t>（表</w:t>
      </w:r>
      <w:r>
        <w:rPr>
          <w:rFonts w:hint="eastAsia"/>
          <w:bCs/>
        </w:rPr>
        <w:t>二</w:t>
      </w:r>
      <w:r>
        <w:rPr>
          <w:bCs/>
        </w:rPr>
        <w:t>）</w:t>
      </w:r>
    </w:p>
    <w:p>
      <w:pPr>
        <w:widowControl/>
        <w:spacing w:line="560" w:lineRule="atLeast"/>
        <w:ind w:firstLine="640" w:firstLineChars="200"/>
        <w:jc w:val="left"/>
        <w:rPr>
          <w:bCs/>
        </w:rPr>
      </w:pPr>
      <w:r>
        <w:rPr>
          <w:bCs/>
        </w:rPr>
        <w:t>三、</w:t>
      </w:r>
      <w:r>
        <w:rPr>
          <w:rFonts w:hint="eastAsia"/>
          <w:bCs/>
        </w:rPr>
        <w:t>2015年荣成市部门预算支出经济分类表</w:t>
      </w:r>
      <w:r>
        <w:rPr>
          <w:bCs/>
        </w:rPr>
        <w:t>（表</w:t>
      </w:r>
      <w:r>
        <w:rPr>
          <w:rFonts w:hint="eastAsia"/>
          <w:bCs/>
        </w:rPr>
        <w:t>三</w:t>
      </w:r>
      <w:r>
        <w:rPr>
          <w:bCs/>
        </w:rPr>
        <w:t>）</w:t>
      </w:r>
    </w:p>
    <w:p>
      <w:pPr>
        <w:widowControl/>
        <w:spacing w:line="560" w:lineRule="atLeast"/>
        <w:ind w:firstLine="640" w:firstLineChars="200"/>
        <w:jc w:val="left"/>
        <w:rPr>
          <w:rFonts w:hint="eastAsia"/>
          <w:bCs/>
        </w:rPr>
      </w:pPr>
      <w:r>
        <w:rPr>
          <w:bCs/>
        </w:rPr>
        <w:t>四、</w:t>
      </w:r>
      <w:r>
        <w:rPr>
          <w:rFonts w:hint="eastAsia"/>
          <w:bCs/>
        </w:rPr>
        <w:t>2015年荣成市部门预算“三公”经费明细表</w:t>
      </w:r>
      <w:r>
        <w:rPr>
          <w:bCs/>
        </w:rPr>
        <w:t>（表</w:t>
      </w:r>
      <w:r>
        <w:rPr>
          <w:rFonts w:hint="eastAsia"/>
          <w:bCs/>
        </w:rPr>
        <w:t>四</w:t>
      </w:r>
      <w:r>
        <w:rPr>
          <w:bCs/>
        </w:rPr>
        <w:t>）</w:t>
      </w:r>
    </w:p>
    <w:p>
      <w:pPr>
        <w:widowControl/>
        <w:spacing w:line="560" w:lineRule="atLeast"/>
        <w:ind w:left="355" w:hanging="355" w:hangingChars="111"/>
        <w:jc w:val="left"/>
        <w:rPr>
          <w:rFonts w:hint="eastAsia" w:eastAsia="黑体"/>
          <w:bCs/>
        </w:rPr>
      </w:pPr>
      <w:r>
        <w:rPr>
          <w:rFonts w:eastAsia="黑体"/>
          <w:bCs/>
        </w:rPr>
        <w:t>第</w:t>
      </w:r>
      <w:r>
        <w:rPr>
          <w:rFonts w:hint="eastAsia" w:eastAsia="黑体"/>
          <w:bCs/>
        </w:rPr>
        <w:t>四</w:t>
      </w:r>
      <w:r>
        <w:rPr>
          <w:rFonts w:eastAsia="黑体"/>
          <w:bCs/>
        </w:rPr>
        <w:t>部分</w:t>
      </w:r>
      <w:r>
        <w:rPr>
          <w:rFonts w:hint="eastAsia" w:eastAsia="黑体"/>
          <w:bCs/>
        </w:rPr>
        <w:t xml:space="preserve">  名词解释</w:t>
      </w:r>
    </w:p>
    <w:p>
      <w:pPr>
        <w:widowControl/>
        <w:spacing w:line="560" w:lineRule="atLeast"/>
        <w:ind w:firstLine="640" w:firstLineChars="200"/>
        <w:jc w:val="left"/>
        <w:rPr>
          <w:rFonts w:hint="eastAsia"/>
          <w:bCs/>
        </w:rPr>
      </w:pPr>
    </w:p>
    <w:p>
      <w:pPr>
        <w:widowControl/>
        <w:spacing w:line="560" w:lineRule="atLeast"/>
        <w:jc w:val="left"/>
        <w:rPr>
          <w:rFonts w:hint="eastAsia" w:eastAsia="黑体"/>
          <w:bCs/>
        </w:rPr>
      </w:pPr>
    </w:p>
    <w:p>
      <w:pPr>
        <w:widowControl/>
        <w:spacing w:line="560" w:lineRule="atLeast"/>
        <w:jc w:val="left"/>
        <w:rPr>
          <w:rFonts w:hint="eastAsia" w:eastAsia="黑体"/>
          <w:bCs/>
        </w:rPr>
      </w:pPr>
    </w:p>
    <w:p>
      <w:pPr>
        <w:widowControl/>
        <w:spacing w:line="560" w:lineRule="atLeast"/>
        <w:jc w:val="left"/>
        <w:rPr>
          <w:rFonts w:hint="eastAsia" w:eastAsia="黑体"/>
          <w:bCs/>
        </w:rPr>
      </w:pPr>
    </w:p>
    <w:p>
      <w:pPr>
        <w:widowControl/>
        <w:spacing w:line="560" w:lineRule="atLeast"/>
        <w:jc w:val="left"/>
        <w:rPr>
          <w:rFonts w:hint="eastAsia" w:eastAsia="黑体"/>
          <w:bCs/>
        </w:rPr>
      </w:pPr>
    </w:p>
    <w:p>
      <w:pPr>
        <w:widowControl/>
        <w:spacing w:line="560" w:lineRule="atLeast"/>
        <w:ind w:firstLine="1"/>
        <w:jc w:val="left"/>
        <w:rPr>
          <w:rFonts w:hint="eastAsia" w:eastAsia="黑体"/>
          <w:bCs/>
        </w:rPr>
      </w:pPr>
    </w:p>
    <w:p>
      <w:pPr>
        <w:widowControl/>
        <w:spacing w:line="580" w:lineRule="exact"/>
        <w:jc w:val="center"/>
        <w:rPr>
          <w:rFonts w:eastAsia="黑体"/>
          <w:bCs/>
        </w:rPr>
      </w:pPr>
      <w:r>
        <w:rPr>
          <w:rFonts w:eastAsia="黑体"/>
          <w:bCs/>
        </w:rPr>
        <w:t xml:space="preserve">第一部分  </w:t>
      </w:r>
      <w:r>
        <w:rPr>
          <w:rFonts w:hint="eastAsia" w:eastAsia="黑体"/>
          <w:bCs/>
        </w:rPr>
        <w:t>中共</w:t>
      </w:r>
      <w:r>
        <w:rPr>
          <w:rFonts w:eastAsia="黑体"/>
          <w:bCs/>
        </w:rPr>
        <w:t>荣成市</w:t>
      </w:r>
      <w:r>
        <w:rPr>
          <w:rFonts w:hint="eastAsia" w:eastAsia="黑体"/>
          <w:bCs/>
        </w:rPr>
        <w:t>委宣传部</w:t>
      </w:r>
      <w:r>
        <w:rPr>
          <w:rFonts w:eastAsia="黑体"/>
          <w:bCs/>
        </w:rPr>
        <w:t>概况</w:t>
      </w:r>
    </w:p>
    <w:p>
      <w:pPr>
        <w:spacing w:line="580" w:lineRule="atLeast"/>
        <w:ind w:firstLine="640" w:firstLineChars="200"/>
        <w:rPr>
          <w:bCs/>
          <w:kern w:val="2"/>
        </w:rPr>
      </w:pPr>
    </w:p>
    <w:p>
      <w:pPr>
        <w:spacing w:line="580" w:lineRule="atLeast"/>
        <w:ind w:firstLine="640" w:firstLineChars="200"/>
        <w:rPr>
          <w:rFonts w:hint="eastAsia" w:eastAsia="黑体"/>
          <w:bCs/>
        </w:rPr>
      </w:pPr>
      <w:r>
        <w:rPr>
          <w:rFonts w:eastAsia="黑体"/>
          <w:bCs/>
        </w:rPr>
        <w:t>一、</w:t>
      </w:r>
      <w:r>
        <w:rPr>
          <w:rFonts w:hint="eastAsia" w:eastAsia="黑体"/>
          <w:bCs/>
        </w:rPr>
        <w:t>中共</w:t>
      </w:r>
      <w:r>
        <w:rPr>
          <w:rFonts w:eastAsia="黑体"/>
          <w:bCs/>
        </w:rPr>
        <w:t>荣成市</w:t>
      </w:r>
      <w:r>
        <w:rPr>
          <w:rFonts w:hint="eastAsia" w:eastAsia="黑体"/>
          <w:bCs/>
        </w:rPr>
        <w:t>委宣传部</w:t>
      </w:r>
      <w:r>
        <w:rPr>
          <w:rFonts w:eastAsia="黑体"/>
          <w:bCs/>
        </w:rPr>
        <w:t>主要职</w:t>
      </w:r>
      <w:r>
        <w:rPr>
          <w:rFonts w:hint="eastAsia" w:eastAsia="黑体"/>
          <w:bCs/>
        </w:rPr>
        <w:t>责</w:t>
      </w:r>
    </w:p>
    <w:p>
      <w:pPr>
        <w:spacing w:line="580" w:lineRule="atLeast"/>
        <w:ind w:firstLine="640" w:firstLineChars="200"/>
        <w:rPr>
          <w:rFonts w:hint="eastAsia"/>
          <w:bCs/>
        </w:rPr>
      </w:pPr>
      <w:r>
        <w:rPr>
          <w:rFonts w:hint="eastAsia"/>
          <w:bCs/>
        </w:rPr>
        <w:t>（一）贯彻执行中央、省委和市委关于宣传文化事业发展的指导方针。</w:t>
      </w:r>
    </w:p>
    <w:p>
      <w:pPr>
        <w:spacing w:line="580" w:lineRule="atLeast"/>
        <w:ind w:firstLine="640" w:firstLineChars="200"/>
        <w:rPr>
          <w:rFonts w:hint="eastAsia"/>
          <w:bCs/>
        </w:rPr>
      </w:pPr>
      <w:r>
        <w:rPr>
          <w:rFonts w:hint="eastAsia"/>
          <w:bCs/>
        </w:rPr>
        <w:t>（二）按照上级宣传部门和市委的部署要求，制定全市宣传工作的任务和措施；指导宣传文化系统各单位和各镇党委的宣传工作。</w:t>
      </w:r>
    </w:p>
    <w:p>
      <w:pPr>
        <w:spacing w:line="580" w:lineRule="atLeast"/>
        <w:ind w:firstLine="640" w:firstLineChars="200"/>
        <w:rPr>
          <w:rFonts w:hint="eastAsia"/>
          <w:bCs/>
        </w:rPr>
      </w:pPr>
      <w:r>
        <w:rPr>
          <w:rFonts w:hint="eastAsia"/>
          <w:bCs/>
        </w:rPr>
        <w:t>（三）负责组织指导全市的理论研究、理论教育和理论宣传工作。</w:t>
      </w:r>
    </w:p>
    <w:p>
      <w:pPr>
        <w:spacing w:line="580" w:lineRule="atLeast"/>
        <w:ind w:firstLine="640" w:firstLineChars="200"/>
        <w:rPr>
          <w:rFonts w:hint="eastAsia"/>
          <w:bCs/>
        </w:rPr>
      </w:pPr>
      <w:r>
        <w:rPr>
          <w:rFonts w:hint="eastAsia"/>
          <w:bCs/>
        </w:rPr>
        <w:t>（四）围绕全党工作大局，搞好社会舆论引导；指导、协调新闻、出版、文化等部门的工作；负责在方针政策和宣传业务上指导市文化体育局、市新闻出版管理办公室、荣成日报社、市广播电视局、新华书店的工作。</w:t>
      </w:r>
    </w:p>
    <w:p>
      <w:pPr>
        <w:spacing w:line="580" w:lineRule="atLeast"/>
        <w:ind w:firstLine="640" w:firstLineChars="200"/>
        <w:rPr>
          <w:rFonts w:hint="eastAsia"/>
          <w:bCs/>
        </w:rPr>
      </w:pPr>
      <w:r>
        <w:rPr>
          <w:rFonts w:hint="eastAsia"/>
          <w:bCs/>
        </w:rPr>
        <w:t>（五）从宏观上指导全市精神产品和文化市场的管理工作。</w:t>
      </w:r>
    </w:p>
    <w:p>
      <w:pPr>
        <w:spacing w:line="580" w:lineRule="atLeast"/>
        <w:ind w:firstLine="640" w:firstLineChars="200"/>
        <w:rPr>
          <w:rFonts w:hint="eastAsia"/>
          <w:bCs/>
        </w:rPr>
      </w:pPr>
      <w:r>
        <w:rPr>
          <w:rFonts w:hint="eastAsia"/>
          <w:bCs/>
        </w:rPr>
        <w:t>（六）负责规划、部署全局性的思想政治工作任务和群众性社会主义精神文明建设活动；与有关部门共同做好党员教育工作，负责编写推荐党员教育教材；与有关部门研究和改进群众思想教育工作。</w:t>
      </w:r>
    </w:p>
    <w:p>
      <w:pPr>
        <w:spacing w:line="580" w:lineRule="atLeast"/>
        <w:ind w:firstLine="640" w:firstLineChars="200"/>
        <w:rPr>
          <w:rFonts w:hint="eastAsia"/>
          <w:bCs/>
        </w:rPr>
      </w:pPr>
      <w:r>
        <w:rPr>
          <w:rFonts w:hint="eastAsia"/>
          <w:bCs/>
        </w:rPr>
        <w:t>（七）制定全市宣传系统教育、培训规划，搞好宣传文化系统各部门干部职工的培训工作，并组织对市直各部门、各镇党委宣传干部及宣传骨干的教育、培训。</w:t>
      </w:r>
    </w:p>
    <w:p>
      <w:pPr>
        <w:spacing w:line="580" w:lineRule="atLeast"/>
        <w:ind w:firstLine="640" w:firstLineChars="200"/>
        <w:rPr>
          <w:rFonts w:hint="eastAsia"/>
          <w:bCs/>
        </w:rPr>
      </w:pPr>
      <w:r>
        <w:rPr>
          <w:rFonts w:hint="eastAsia"/>
          <w:bCs/>
        </w:rPr>
        <w:t>（八）负责全市对外宣传工作的组织、指导、协调。</w:t>
      </w:r>
    </w:p>
    <w:p>
      <w:pPr>
        <w:spacing w:line="580" w:lineRule="atLeast"/>
        <w:ind w:firstLine="640" w:firstLineChars="200"/>
        <w:rPr>
          <w:rFonts w:hint="eastAsia"/>
          <w:bCs/>
        </w:rPr>
      </w:pPr>
      <w:r>
        <w:rPr>
          <w:rFonts w:hint="eastAsia"/>
          <w:bCs/>
        </w:rPr>
        <w:t>（九）指导宣传文化系统有关政策的拟定和实施；协调宣传文化系统各部门之间的工作；配合市政府有关部门指导、协调宣传文化系统的事业建设和发展。</w:t>
      </w:r>
    </w:p>
    <w:p>
      <w:pPr>
        <w:spacing w:line="580" w:lineRule="atLeast"/>
        <w:ind w:firstLine="640" w:firstLineChars="200"/>
        <w:rPr>
          <w:rFonts w:hint="eastAsia"/>
          <w:bCs/>
        </w:rPr>
      </w:pPr>
      <w:r>
        <w:rPr>
          <w:rFonts w:hint="eastAsia"/>
          <w:bCs/>
        </w:rPr>
        <w:t>（十）完成市委和上级宣传部交办的其他任务。</w:t>
      </w:r>
    </w:p>
    <w:p>
      <w:pPr>
        <w:spacing w:line="580" w:lineRule="atLeast"/>
        <w:ind w:firstLine="640" w:firstLineChars="200"/>
        <w:rPr>
          <w:rFonts w:eastAsia="黑体"/>
          <w:bCs/>
          <w:kern w:val="2"/>
        </w:rPr>
      </w:pPr>
      <w:r>
        <w:rPr>
          <w:rFonts w:eastAsia="黑体"/>
          <w:bCs/>
        </w:rPr>
        <w:t>二、部门预算单位构成</w:t>
      </w:r>
    </w:p>
    <w:p>
      <w:pPr>
        <w:spacing w:line="580" w:lineRule="atLeast"/>
        <w:ind w:firstLine="720"/>
        <w:rPr>
          <w:rFonts w:hint="eastAsia"/>
          <w:bCs/>
          <w:szCs w:val="20"/>
          <w:shd w:val="clear" w:color="auto" w:fill="F3F3F5"/>
        </w:rPr>
      </w:pPr>
      <w:r>
        <w:rPr>
          <w:rFonts w:hint="eastAsia"/>
          <w:bCs/>
        </w:rPr>
        <w:t>中共</w:t>
      </w:r>
      <w:r>
        <w:rPr>
          <w:bCs/>
        </w:rPr>
        <w:t>荣成市</w:t>
      </w:r>
      <w:r>
        <w:rPr>
          <w:rFonts w:hint="eastAsia"/>
          <w:bCs/>
        </w:rPr>
        <w:t>委宣传部共有6个内设机构，分别为：办公室、宣传文化科、企业政治与理论教育科、市委对外宣传办公室(挂市政府新闻办公室牌子）、新闻科、研究室；2个事业单位：荣成市网络文化办公室、荣成市精神文明建设协调委员会办公室。</w:t>
      </w:r>
    </w:p>
    <w:p>
      <w:pPr>
        <w:spacing w:line="580" w:lineRule="atLeast"/>
        <w:ind w:firstLine="640" w:firstLineChars="200"/>
        <w:rPr>
          <w:rFonts w:hint="eastAsia" w:eastAsia="黑体"/>
          <w:bCs/>
          <w:kern w:val="2"/>
        </w:rPr>
      </w:pPr>
      <w:r>
        <w:rPr>
          <w:rFonts w:eastAsia="黑体"/>
          <w:bCs/>
        </w:rPr>
        <w:t>三、部门人员</w:t>
      </w:r>
      <w:r>
        <w:rPr>
          <w:rFonts w:hint="eastAsia" w:eastAsia="黑体"/>
          <w:bCs/>
        </w:rPr>
        <w:t>编制</w:t>
      </w:r>
    </w:p>
    <w:p>
      <w:pPr>
        <w:spacing w:line="580" w:lineRule="atLeast"/>
        <w:ind w:firstLine="640"/>
        <w:rPr>
          <w:rFonts w:hint="eastAsia"/>
          <w:bCs/>
        </w:rPr>
      </w:pPr>
      <w:r>
        <w:rPr>
          <w:rFonts w:hint="eastAsia"/>
          <w:bCs/>
        </w:rPr>
        <w:t>中共</w:t>
      </w:r>
      <w:r>
        <w:rPr>
          <w:bCs/>
        </w:rPr>
        <w:t>荣成市</w:t>
      </w:r>
      <w:r>
        <w:rPr>
          <w:rFonts w:hint="eastAsia"/>
          <w:bCs/>
        </w:rPr>
        <w:t>委宣传部</w:t>
      </w:r>
      <w:r>
        <w:rPr>
          <w:bCs/>
        </w:rPr>
        <w:t>总编制人数</w:t>
      </w:r>
      <w:r>
        <w:rPr>
          <w:rFonts w:hint="eastAsia"/>
          <w:bCs/>
        </w:rPr>
        <w:t>26</w:t>
      </w:r>
      <w:r>
        <w:rPr>
          <w:bCs/>
        </w:rPr>
        <w:t>人，其中：</w:t>
      </w:r>
      <w:r>
        <w:rPr>
          <w:rFonts w:hint="eastAsia"/>
          <w:bCs/>
        </w:rPr>
        <w:t>行政编制15名，工勤编制2名；荣成市网络文化办公室事业编制3名，荣成市精神文明建设协调委员会办公室事业编制6名。</w:t>
      </w:r>
    </w:p>
    <w:p>
      <w:pPr>
        <w:spacing w:line="580" w:lineRule="atLeast"/>
        <w:ind w:firstLine="640"/>
        <w:rPr>
          <w:rFonts w:hint="eastAsia"/>
          <w:bCs/>
        </w:rPr>
      </w:pPr>
    </w:p>
    <w:p>
      <w:pPr>
        <w:spacing w:line="580" w:lineRule="atLeast"/>
        <w:ind w:firstLine="640"/>
        <w:rPr>
          <w:rFonts w:hint="eastAsia"/>
          <w:bCs/>
        </w:rPr>
      </w:pPr>
    </w:p>
    <w:p>
      <w:pPr>
        <w:spacing w:line="580" w:lineRule="atLeast"/>
        <w:ind w:firstLine="640"/>
        <w:rPr>
          <w:rFonts w:hint="eastAsia"/>
          <w:bCs/>
        </w:rPr>
      </w:pPr>
    </w:p>
    <w:p>
      <w:pPr>
        <w:spacing w:line="580" w:lineRule="atLeast"/>
        <w:ind w:firstLine="640"/>
        <w:rPr>
          <w:rFonts w:hint="eastAsia"/>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r>
        <w:rPr>
          <w:rFonts w:eastAsia="黑体"/>
          <w:bCs/>
        </w:rPr>
        <w:t>第二部分  201</w:t>
      </w:r>
      <w:r>
        <w:rPr>
          <w:rFonts w:hint="eastAsia" w:eastAsia="黑体"/>
          <w:bCs/>
        </w:rPr>
        <w:t>5</w:t>
      </w:r>
      <w:r>
        <w:rPr>
          <w:rFonts w:eastAsia="黑体"/>
          <w:bCs/>
        </w:rPr>
        <w:t>年部门预算安排情况说明</w:t>
      </w:r>
    </w:p>
    <w:p>
      <w:pPr>
        <w:widowControl/>
        <w:spacing w:line="580" w:lineRule="exact"/>
        <w:jc w:val="center"/>
        <w:rPr>
          <w:rFonts w:hint="eastAsia" w:eastAsia="黑体"/>
          <w:bCs/>
        </w:rPr>
      </w:pPr>
    </w:p>
    <w:p>
      <w:pPr>
        <w:widowControl/>
        <w:spacing w:line="580" w:lineRule="exact"/>
        <w:ind w:firstLine="640" w:firstLineChars="200"/>
        <w:jc w:val="left"/>
        <w:rPr>
          <w:rFonts w:hint="eastAsia" w:ascii="仿宋_GB2312" w:hAnsi="宋体" w:cs="宋体"/>
          <w:bCs/>
        </w:rPr>
      </w:pPr>
      <w:r>
        <w:rPr>
          <w:rFonts w:hint="eastAsia" w:ascii="仿宋_GB2312" w:hAnsi="宋体" w:cs="宋体"/>
          <w:bCs/>
        </w:rPr>
        <w:t>按照综合预算的原则，中共</w:t>
      </w:r>
      <w:r>
        <w:rPr>
          <w:rFonts w:hint="eastAsia" w:ascii="仿宋_GB2312"/>
          <w:bCs/>
        </w:rPr>
        <w:t>荣成市委宣传部</w:t>
      </w:r>
      <w:r>
        <w:rPr>
          <w:rFonts w:hint="eastAsia" w:ascii="仿宋_GB2312" w:hAnsi="宋体" w:cs="宋体"/>
          <w:bCs/>
        </w:rPr>
        <w:t>所有收入和支出均纳入部门预算管理。收入包括：一般公共预算收入、基金收入；支出包括：一般公共服务支出、社会保障和就业支出等。</w:t>
      </w:r>
      <w:r>
        <w:rPr>
          <w:rFonts w:hint="eastAsia" w:ascii="仿宋_GB2312"/>
          <w:bCs/>
        </w:rPr>
        <w:t>荣成市委宣传部</w:t>
      </w:r>
      <w:r>
        <w:rPr>
          <w:rFonts w:hint="eastAsia" w:ascii="仿宋_GB2312" w:hAnsi="宋体" w:cs="宋体"/>
          <w:bCs/>
        </w:rPr>
        <w:t>2015年支出总预算</w:t>
      </w:r>
      <w:r>
        <w:rPr>
          <w:rFonts w:hint="eastAsia" w:ascii="仿宋_GB2312"/>
          <w:bCs/>
        </w:rPr>
        <w:t>269.90</w:t>
      </w:r>
      <w:r>
        <w:rPr>
          <w:rFonts w:hint="eastAsia" w:ascii="仿宋_GB2312" w:hAnsi="宋体" w:cs="宋体"/>
          <w:bCs/>
        </w:rPr>
        <w:t>万元，其中：</w:t>
      </w:r>
      <w:r>
        <w:rPr>
          <w:rFonts w:hint="eastAsia" w:ascii="仿宋_GB2312"/>
          <w:bCs/>
        </w:rPr>
        <w:t>“三公”经费预算65.10</w:t>
      </w:r>
      <w:r>
        <w:rPr>
          <w:rFonts w:hint="eastAsia" w:ascii="仿宋_GB2312" w:hAnsi="宋体" w:cs="宋体"/>
          <w:bCs/>
        </w:rPr>
        <w:t>万元。</w:t>
      </w: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p>
    <w:p>
      <w:pPr>
        <w:widowControl/>
        <w:spacing w:line="580" w:lineRule="exact"/>
        <w:jc w:val="center"/>
        <w:rPr>
          <w:rFonts w:hint="eastAsia" w:eastAsia="黑体"/>
          <w:bCs/>
        </w:rPr>
      </w:pPr>
      <w:r>
        <w:rPr>
          <w:rFonts w:eastAsia="黑体"/>
          <w:bCs/>
        </w:rPr>
        <w:t>第三部分</w:t>
      </w:r>
      <w:r>
        <w:rPr>
          <w:rFonts w:hint="eastAsia" w:eastAsia="黑体"/>
          <w:bCs/>
        </w:rPr>
        <w:t xml:space="preserve">  </w:t>
      </w:r>
      <w:r>
        <w:rPr>
          <w:rFonts w:eastAsia="黑体"/>
          <w:bCs/>
        </w:rPr>
        <w:t>201</w:t>
      </w:r>
      <w:r>
        <w:rPr>
          <w:rFonts w:hint="eastAsia" w:eastAsia="黑体"/>
          <w:bCs/>
        </w:rPr>
        <w:t>5</w:t>
      </w:r>
      <w:r>
        <w:rPr>
          <w:rFonts w:eastAsia="黑体"/>
          <w:bCs/>
        </w:rPr>
        <w:t>年部门预算表</w:t>
      </w:r>
    </w:p>
    <w:p>
      <w:pPr>
        <w:widowControl/>
        <w:spacing w:line="200" w:lineRule="exact"/>
        <w:jc w:val="center"/>
        <w:rPr>
          <w:rFonts w:hint="eastAsia" w:eastAsia="黑体"/>
          <w:bCs/>
        </w:rPr>
      </w:pPr>
    </w:p>
    <w:tbl>
      <w:tblPr>
        <w:tblStyle w:val="4"/>
        <w:tblW w:w="10178" w:type="dxa"/>
        <w:tblInd w:w="93" w:type="dxa"/>
        <w:tblLayout w:type="fixed"/>
        <w:tblCellMar>
          <w:top w:w="0" w:type="dxa"/>
          <w:left w:w="108" w:type="dxa"/>
          <w:bottom w:w="0" w:type="dxa"/>
          <w:right w:w="108" w:type="dxa"/>
        </w:tblCellMar>
      </w:tblPr>
      <w:tblGrid>
        <w:gridCol w:w="546"/>
        <w:gridCol w:w="538"/>
        <w:gridCol w:w="41"/>
        <w:gridCol w:w="189"/>
        <w:gridCol w:w="308"/>
        <w:gridCol w:w="43"/>
        <w:gridCol w:w="380"/>
        <w:gridCol w:w="297"/>
        <w:gridCol w:w="323"/>
        <w:gridCol w:w="138"/>
        <w:gridCol w:w="261"/>
        <w:gridCol w:w="11"/>
        <w:gridCol w:w="165"/>
        <w:gridCol w:w="179"/>
        <w:gridCol w:w="57"/>
        <w:gridCol w:w="34"/>
        <w:gridCol w:w="275"/>
        <w:gridCol w:w="10"/>
        <w:gridCol w:w="95"/>
        <w:gridCol w:w="70"/>
        <w:gridCol w:w="477"/>
        <w:gridCol w:w="69"/>
        <w:gridCol w:w="9"/>
        <w:gridCol w:w="220"/>
        <w:gridCol w:w="491"/>
        <w:gridCol w:w="174"/>
        <w:gridCol w:w="15"/>
        <w:gridCol w:w="180"/>
        <w:gridCol w:w="41"/>
        <w:gridCol w:w="265"/>
        <w:gridCol w:w="209"/>
        <w:gridCol w:w="170"/>
        <w:gridCol w:w="26"/>
        <w:gridCol w:w="9"/>
        <w:gridCol w:w="336"/>
        <w:gridCol w:w="375"/>
        <w:gridCol w:w="9"/>
        <w:gridCol w:w="85"/>
        <w:gridCol w:w="622"/>
        <w:gridCol w:w="193"/>
        <w:gridCol w:w="174"/>
        <w:gridCol w:w="366"/>
        <w:gridCol w:w="17"/>
        <w:gridCol w:w="163"/>
        <w:gridCol w:w="368"/>
        <w:gridCol w:w="172"/>
        <w:gridCol w:w="25"/>
        <w:gridCol w:w="292"/>
        <w:gridCol w:w="53"/>
        <w:gridCol w:w="130"/>
        <w:gridCol w:w="241"/>
        <w:gridCol w:w="242"/>
      </w:tblGrid>
      <w:tr>
        <w:tblPrEx>
          <w:tblCellMar>
            <w:top w:w="0" w:type="dxa"/>
            <w:left w:w="108" w:type="dxa"/>
            <w:bottom w:w="0" w:type="dxa"/>
            <w:right w:w="108" w:type="dxa"/>
          </w:tblCellMar>
        </w:tblPrEx>
        <w:trPr>
          <w:gridAfter w:val="2"/>
          <w:wAfter w:w="483" w:type="dxa"/>
          <w:trHeight w:val="402" w:hRule="atLeast"/>
        </w:trPr>
        <w:tc>
          <w:tcPr>
            <w:tcW w:w="3240" w:type="dxa"/>
            <w:gridSpan w:val="13"/>
            <w:tcBorders>
              <w:top w:val="nil"/>
              <w:left w:val="nil"/>
              <w:bottom w:val="nil"/>
              <w:right w:val="nil"/>
            </w:tcBorders>
            <w:noWrap w:val="0"/>
            <w:vAlign w:val="bottom"/>
          </w:tcPr>
          <w:p>
            <w:pPr>
              <w:widowControl/>
              <w:adjustRightInd/>
              <w:snapToGrid/>
              <w:spacing w:line="400" w:lineRule="exact"/>
              <w:jc w:val="left"/>
              <w:rPr>
                <w:rFonts w:ascii="宋体" w:hAnsi="宋体" w:eastAsia="宋体" w:cs="宋体"/>
                <w:bCs/>
                <w:snapToGrid/>
                <w:sz w:val="24"/>
                <w:szCs w:val="24"/>
              </w:rPr>
            </w:pPr>
            <w:bookmarkStart w:id="0" w:name="RANGE!A1:F29"/>
            <w:r>
              <w:rPr>
                <w:rFonts w:hint="eastAsia" w:ascii="宋体" w:hAnsi="宋体" w:eastAsia="宋体" w:cs="宋体"/>
                <w:bCs/>
                <w:snapToGrid/>
                <w:sz w:val="24"/>
                <w:szCs w:val="24"/>
              </w:rPr>
              <w:t>表一</w:t>
            </w:r>
            <w:bookmarkEnd w:id="0"/>
          </w:p>
        </w:tc>
        <w:tc>
          <w:tcPr>
            <w:tcW w:w="270" w:type="dxa"/>
            <w:gridSpan w:val="3"/>
            <w:tcBorders>
              <w:top w:val="nil"/>
              <w:left w:val="nil"/>
              <w:bottom w:val="nil"/>
              <w:right w:val="nil"/>
            </w:tcBorders>
            <w:noWrap w:val="0"/>
            <w:vAlign w:val="center"/>
          </w:tcPr>
          <w:p>
            <w:pPr>
              <w:widowControl/>
              <w:adjustRightInd/>
              <w:snapToGrid/>
              <w:spacing w:line="400" w:lineRule="exact"/>
              <w:jc w:val="left"/>
              <w:rPr>
                <w:rFonts w:ascii="宋体" w:hAnsi="宋体" w:eastAsia="宋体" w:cs="宋体"/>
                <w:bCs/>
                <w:snapToGrid/>
                <w:sz w:val="20"/>
                <w:szCs w:val="20"/>
              </w:rPr>
            </w:pPr>
          </w:p>
        </w:tc>
        <w:tc>
          <w:tcPr>
            <w:tcW w:w="2770" w:type="dxa"/>
            <w:gridSpan w:val="16"/>
            <w:tcBorders>
              <w:top w:val="nil"/>
              <w:left w:val="nil"/>
              <w:bottom w:val="nil"/>
              <w:right w:val="nil"/>
            </w:tcBorders>
            <w:noWrap w:val="0"/>
            <w:vAlign w:val="center"/>
          </w:tcPr>
          <w:p>
            <w:pPr>
              <w:widowControl/>
              <w:adjustRightInd/>
              <w:snapToGrid/>
              <w:spacing w:line="400" w:lineRule="exact"/>
              <w:jc w:val="left"/>
              <w:rPr>
                <w:rFonts w:ascii="宋体" w:hAnsi="宋体" w:eastAsia="宋体" w:cs="宋体"/>
                <w:bCs/>
                <w:snapToGrid/>
                <w:sz w:val="20"/>
                <w:szCs w:val="20"/>
              </w:rPr>
            </w:pPr>
          </w:p>
        </w:tc>
        <w:tc>
          <w:tcPr>
            <w:tcW w:w="840" w:type="dxa"/>
            <w:gridSpan w:val="6"/>
            <w:tcBorders>
              <w:top w:val="nil"/>
              <w:left w:val="nil"/>
              <w:bottom w:val="nil"/>
              <w:right w:val="nil"/>
            </w:tcBorders>
            <w:noWrap w:val="0"/>
            <w:vAlign w:val="center"/>
          </w:tcPr>
          <w:p>
            <w:pPr>
              <w:widowControl/>
              <w:adjustRightInd/>
              <w:snapToGrid/>
              <w:spacing w:line="400" w:lineRule="exact"/>
              <w:jc w:val="left"/>
              <w:rPr>
                <w:rFonts w:ascii="宋体" w:hAnsi="宋体" w:eastAsia="宋体" w:cs="宋体"/>
                <w:bCs/>
                <w:snapToGrid/>
                <w:sz w:val="20"/>
                <w:szCs w:val="20"/>
              </w:rPr>
            </w:pPr>
          </w:p>
        </w:tc>
        <w:tc>
          <w:tcPr>
            <w:tcW w:w="1903" w:type="dxa"/>
            <w:gridSpan w:val="7"/>
            <w:tcBorders>
              <w:top w:val="nil"/>
              <w:left w:val="nil"/>
              <w:bottom w:val="nil"/>
              <w:right w:val="nil"/>
            </w:tcBorders>
            <w:noWrap w:val="0"/>
            <w:vAlign w:val="center"/>
          </w:tcPr>
          <w:p>
            <w:pPr>
              <w:widowControl/>
              <w:adjustRightInd/>
              <w:snapToGrid/>
              <w:spacing w:line="400" w:lineRule="exact"/>
              <w:jc w:val="left"/>
              <w:rPr>
                <w:rFonts w:ascii="宋体" w:hAnsi="宋体" w:eastAsia="宋体" w:cs="宋体"/>
                <w:bCs/>
                <w:snapToGrid/>
                <w:sz w:val="20"/>
                <w:szCs w:val="20"/>
              </w:rPr>
            </w:pPr>
          </w:p>
        </w:tc>
        <w:tc>
          <w:tcPr>
            <w:tcW w:w="672" w:type="dxa"/>
            <w:gridSpan w:val="5"/>
            <w:tcBorders>
              <w:top w:val="nil"/>
              <w:left w:val="nil"/>
              <w:bottom w:val="nil"/>
              <w:right w:val="nil"/>
            </w:tcBorders>
            <w:noWrap w:val="0"/>
            <w:vAlign w:val="center"/>
          </w:tcPr>
          <w:p>
            <w:pPr>
              <w:widowControl/>
              <w:adjustRightInd/>
              <w:snapToGrid/>
              <w:spacing w:line="400" w:lineRule="exact"/>
              <w:jc w:val="left"/>
              <w:rPr>
                <w:rFonts w:ascii="宋体" w:hAnsi="宋体" w:eastAsia="宋体" w:cs="宋体"/>
                <w:bCs/>
                <w:snapToGrid/>
                <w:sz w:val="20"/>
                <w:szCs w:val="20"/>
              </w:rPr>
            </w:pPr>
          </w:p>
        </w:tc>
      </w:tr>
      <w:tr>
        <w:tblPrEx>
          <w:tblCellMar>
            <w:top w:w="0" w:type="dxa"/>
            <w:left w:w="108" w:type="dxa"/>
            <w:bottom w:w="0" w:type="dxa"/>
            <w:right w:w="108" w:type="dxa"/>
          </w:tblCellMar>
        </w:tblPrEx>
        <w:trPr>
          <w:gridAfter w:val="3"/>
          <w:wAfter w:w="613" w:type="dxa"/>
          <w:trHeight w:val="450" w:hRule="atLeast"/>
        </w:trPr>
        <w:tc>
          <w:tcPr>
            <w:tcW w:w="9565" w:type="dxa"/>
            <w:gridSpan w:val="49"/>
            <w:tcBorders>
              <w:top w:val="nil"/>
              <w:left w:val="nil"/>
              <w:bottom w:val="nil"/>
              <w:right w:val="nil"/>
            </w:tcBorders>
            <w:noWrap w:val="0"/>
            <w:vAlign w:val="center"/>
          </w:tcPr>
          <w:p>
            <w:pPr>
              <w:widowControl/>
              <w:adjustRightInd/>
              <w:snapToGrid/>
              <w:spacing w:line="400" w:lineRule="exact"/>
              <w:jc w:val="center"/>
              <w:rPr>
                <w:rFonts w:ascii="方正小标宋简体" w:hAnsi="宋体" w:eastAsia="方正小标宋简体" w:cs="宋体"/>
                <w:bCs/>
                <w:snapToGrid/>
                <w:sz w:val="30"/>
                <w:szCs w:val="30"/>
              </w:rPr>
            </w:pPr>
            <w:r>
              <w:rPr>
                <w:rFonts w:hint="eastAsia" w:ascii="方正小标宋简体" w:hAnsi="宋体" w:eastAsia="方正小标宋简体" w:cs="宋体"/>
                <w:bCs/>
                <w:snapToGrid/>
                <w:sz w:val="40"/>
                <w:szCs w:val="40"/>
              </w:rPr>
              <w:t xml:space="preserve"> </w:t>
            </w:r>
            <w:r>
              <w:rPr>
                <w:rFonts w:hint="eastAsia" w:ascii="方正小标宋简体" w:hAnsi="宋体" w:eastAsia="方正小标宋简体" w:cs="宋体"/>
                <w:bCs/>
                <w:snapToGrid/>
                <w:sz w:val="30"/>
                <w:szCs w:val="30"/>
              </w:rPr>
              <w:t>2015年荣成市部门预算收支总表</w:t>
            </w:r>
          </w:p>
        </w:tc>
      </w:tr>
      <w:tr>
        <w:tblPrEx>
          <w:tblCellMar>
            <w:top w:w="0" w:type="dxa"/>
            <w:left w:w="108" w:type="dxa"/>
            <w:bottom w:w="0" w:type="dxa"/>
            <w:right w:w="108" w:type="dxa"/>
          </w:tblCellMar>
        </w:tblPrEx>
        <w:trPr>
          <w:gridAfter w:val="2"/>
          <w:wAfter w:w="483" w:type="dxa"/>
          <w:trHeight w:val="402" w:hRule="atLeast"/>
        </w:trPr>
        <w:tc>
          <w:tcPr>
            <w:tcW w:w="3240" w:type="dxa"/>
            <w:gridSpan w:val="13"/>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单位名称：</w:t>
            </w:r>
          </w:p>
        </w:tc>
        <w:tc>
          <w:tcPr>
            <w:tcW w:w="236" w:type="dxa"/>
            <w:gridSpan w:val="2"/>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2804" w:type="dxa"/>
            <w:gridSpan w:val="17"/>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840" w:type="dxa"/>
            <w:gridSpan w:val="6"/>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0"/>
                <w:szCs w:val="20"/>
              </w:rPr>
            </w:pPr>
          </w:p>
        </w:tc>
        <w:tc>
          <w:tcPr>
            <w:tcW w:w="1903" w:type="dxa"/>
            <w:gridSpan w:val="7"/>
            <w:tcBorders>
              <w:top w:val="nil"/>
              <w:left w:val="nil"/>
              <w:bottom w:val="nil"/>
              <w:right w:val="nil"/>
            </w:tcBorders>
            <w:noWrap w:val="0"/>
            <w:vAlign w:val="center"/>
          </w:tcPr>
          <w:p>
            <w:pPr>
              <w:widowControl/>
              <w:adjustRightInd/>
              <w:snapToGrid/>
              <w:spacing w:line="240" w:lineRule="auto"/>
              <w:ind w:firstLine="600" w:firstLineChars="300"/>
              <w:jc w:val="left"/>
              <w:rPr>
                <w:rFonts w:hint="eastAsia" w:ascii="宋体" w:hAnsi="宋体" w:eastAsia="宋体" w:cs="宋体"/>
                <w:bCs/>
                <w:snapToGrid/>
                <w:sz w:val="20"/>
                <w:szCs w:val="20"/>
              </w:rPr>
            </w:pPr>
            <w:r>
              <w:rPr>
                <w:rFonts w:hint="eastAsia" w:ascii="宋体" w:hAnsi="宋体" w:eastAsia="宋体" w:cs="宋体"/>
                <w:bCs/>
                <w:snapToGrid/>
                <w:sz w:val="20"/>
                <w:szCs w:val="20"/>
              </w:rPr>
              <w:t>单位：千元</w:t>
            </w:r>
          </w:p>
        </w:tc>
        <w:tc>
          <w:tcPr>
            <w:tcW w:w="672" w:type="dxa"/>
            <w:gridSpan w:val="5"/>
            <w:tcBorders>
              <w:top w:val="nil"/>
              <w:left w:val="nil"/>
              <w:bottom w:val="nil"/>
              <w:right w:val="nil"/>
            </w:tcBorders>
            <w:noWrap w:val="0"/>
            <w:vAlign w:val="bottom"/>
          </w:tcPr>
          <w:p>
            <w:pPr>
              <w:widowControl/>
              <w:adjustRightInd/>
              <w:snapToGrid/>
              <w:spacing w:line="240" w:lineRule="auto"/>
              <w:ind w:right="100"/>
              <w:jc w:val="right"/>
              <w:rPr>
                <w:rFonts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402" w:hRule="atLeast"/>
        </w:trPr>
        <w:tc>
          <w:tcPr>
            <w:tcW w:w="3419" w:type="dxa"/>
            <w:gridSpan w:val="14"/>
            <w:tcBorders>
              <w:top w:val="single" w:color="auto" w:sz="4" w:space="0"/>
              <w:left w:val="single" w:color="auto" w:sz="4" w:space="0"/>
              <w:bottom w:val="single" w:color="auto" w:sz="4" w:space="0"/>
              <w:right w:val="single" w:color="000000"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收   入   部   分</w:t>
            </w:r>
          </w:p>
        </w:tc>
        <w:tc>
          <w:tcPr>
            <w:tcW w:w="5776" w:type="dxa"/>
            <w:gridSpan w:val="32"/>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  出  部  分</w:t>
            </w:r>
          </w:p>
        </w:tc>
      </w:tr>
      <w:tr>
        <w:tblPrEx>
          <w:tblCellMar>
            <w:top w:w="0" w:type="dxa"/>
            <w:left w:w="108" w:type="dxa"/>
            <w:bottom w:w="0" w:type="dxa"/>
            <w:right w:w="108" w:type="dxa"/>
          </w:tblCellMar>
        </w:tblPrEx>
        <w:trPr>
          <w:gridAfter w:val="6"/>
          <w:wAfter w:w="983" w:type="dxa"/>
          <w:trHeight w:val="402" w:hRule="atLeast"/>
        </w:trPr>
        <w:tc>
          <w:tcPr>
            <w:tcW w:w="2803" w:type="dxa"/>
            <w:gridSpan w:val="10"/>
            <w:vMerge w:val="restart"/>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收  入  来  源</w:t>
            </w:r>
          </w:p>
        </w:tc>
        <w:tc>
          <w:tcPr>
            <w:tcW w:w="616" w:type="dxa"/>
            <w:gridSpan w:val="4"/>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2015年预算数</w:t>
            </w:r>
          </w:p>
        </w:tc>
        <w:tc>
          <w:tcPr>
            <w:tcW w:w="2896" w:type="dxa"/>
            <w:gridSpan w:val="20"/>
            <w:tcBorders>
              <w:top w:val="single" w:color="auto" w:sz="4" w:space="0"/>
              <w:left w:val="nil"/>
              <w:bottom w:val="single" w:color="auto" w:sz="4" w:space="0"/>
              <w:right w:val="single" w:color="000000"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公共财政预算</w:t>
            </w:r>
          </w:p>
        </w:tc>
        <w:tc>
          <w:tcPr>
            <w:tcW w:w="2880" w:type="dxa"/>
            <w:gridSpan w:val="12"/>
            <w:tcBorders>
              <w:top w:val="single" w:color="auto" w:sz="4" w:space="0"/>
              <w:left w:val="nil"/>
              <w:bottom w:val="single" w:color="auto" w:sz="4" w:space="0"/>
              <w:right w:val="single" w:color="000000"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基金预算</w:t>
            </w:r>
          </w:p>
        </w:tc>
      </w:tr>
      <w:tr>
        <w:tblPrEx>
          <w:tblCellMar>
            <w:top w:w="0" w:type="dxa"/>
            <w:left w:w="108" w:type="dxa"/>
            <w:bottom w:w="0" w:type="dxa"/>
            <w:right w:w="108" w:type="dxa"/>
          </w:tblCellMar>
        </w:tblPrEx>
        <w:trPr>
          <w:gridAfter w:val="6"/>
          <w:wAfter w:w="983" w:type="dxa"/>
          <w:trHeight w:val="480" w:hRule="atLeast"/>
        </w:trPr>
        <w:tc>
          <w:tcPr>
            <w:tcW w:w="2803" w:type="dxa"/>
            <w:gridSpan w:val="10"/>
            <w:vMerge w:val="continue"/>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616" w:type="dxa"/>
            <w:gridSpan w:val="4"/>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2176" w:type="dxa"/>
            <w:gridSpan w:val="14"/>
            <w:tcBorders>
              <w:top w:val="nil"/>
              <w:left w:val="nil"/>
              <w:bottom w:val="nil"/>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项      目</w:t>
            </w:r>
          </w:p>
        </w:tc>
        <w:tc>
          <w:tcPr>
            <w:tcW w:w="720" w:type="dxa"/>
            <w:gridSpan w:val="6"/>
            <w:tcBorders>
              <w:top w:val="nil"/>
              <w:left w:val="nil"/>
              <w:bottom w:val="nil"/>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2015年预算数</w:t>
            </w:r>
          </w:p>
        </w:tc>
        <w:tc>
          <w:tcPr>
            <w:tcW w:w="2160" w:type="dxa"/>
            <w:gridSpan w:val="8"/>
            <w:tcBorders>
              <w:top w:val="nil"/>
              <w:left w:val="nil"/>
              <w:bottom w:val="nil"/>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项      目</w:t>
            </w:r>
          </w:p>
        </w:tc>
        <w:tc>
          <w:tcPr>
            <w:tcW w:w="720" w:type="dxa"/>
            <w:gridSpan w:val="4"/>
            <w:tcBorders>
              <w:top w:val="nil"/>
              <w:left w:val="nil"/>
              <w:bottom w:val="nil"/>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2015年预算数</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一、一般公共预算收入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2699　</w:t>
            </w:r>
          </w:p>
        </w:tc>
        <w:tc>
          <w:tcPr>
            <w:tcW w:w="2176" w:type="dxa"/>
            <w:gridSpan w:val="1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一、一般公共服务</w:t>
            </w:r>
          </w:p>
        </w:tc>
        <w:tc>
          <w:tcPr>
            <w:tcW w:w="720" w:type="dxa"/>
            <w:gridSpan w:val="6"/>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2699　</w:t>
            </w:r>
          </w:p>
        </w:tc>
        <w:tc>
          <w:tcPr>
            <w:tcW w:w="2160" w:type="dxa"/>
            <w:gridSpan w:val="8"/>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一、文化体育与传媒支出</w:t>
            </w:r>
          </w:p>
        </w:tc>
        <w:tc>
          <w:tcPr>
            <w:tcW w:w="720" w:type="dxa"/>
            <w:gridSpan w:val="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xml:space="preserve">   1、经费拨款（补助）</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2699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二、外交支出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二、社会保障和就业支出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xml:space="preserve">   2、行政事业性收费（专项收入）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三、国防支出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三、节能环保支出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xml:space="preserve">   3、罚没款收入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四、公共安全支出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四、城乡社区支出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xml:space="preserve">   4、国有资产有偿使用收入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五、教育支出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五、农林水支出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二、基金收入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六、科学技术支出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六、交通运输支出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三、财政专户资金</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七、文化体育与传媒支出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七、资源勘探信息等支出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四、事业单位经营收入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八、社会保障和就业支出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八、商业服务业等支出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五、其他收入</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九、医疗卫生与计划生育支出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九、其他支出</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六、提取水利基金</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十、节能环保支出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七、提取价格调节基金</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十一、城乡社区支出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八、政府集中</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十二、农林水支出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十三、交通运输支出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45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十四、资源勘探信息等支出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十五、商业服务业等支出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十六、金融支出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十七、援助其他地区支出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十八、国土资源气象等支出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十九、住房保障支出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二十、粮油物资储备支出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二十一、国债还本付息支出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18"/>
                <w:szCs w:val="18"/>
              </w:rPr>
            </w:pPr>
            <w:r>
              <w:rPr>
                <w:rFonts w:hint="eastAsia" w:ascii="宋体" w:hAnsi="宋体" w:eastAsia="宋体" w:cs="宋体"/>
                <w:bCs/>
                <w:snapToGrid/>
                <w:sz w:val="18"/>
                <w:szCs w:val="18"/>
              </w:rPr>
              <w:t>二十二、其他支出</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330" w:hRule="atLeast"/>
        </w:trPr>
        <w:tc>
          <w:tcPr>
            <w:tcW w:w="2803" w:type="dxa"/>
            <w:gridSpan w:val="10"/>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收入合计</w:t>
            </w:r>
          </w:p>
        </w:tc>
        <w:tc>
          <w:tcPr>
            <w:tcW w:w="616"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2699　</w:t>
            </w:r>
          </w:p>
        </w:tc>
        <w:tc>
          <w:tcPr>
            <w:tcW w:w="2176" w:type="dxa"/>
            <w:gridSpan w:val="14"/>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18"/>
                <w:szCs w:val="18"/>
              </w:rPr>
            </w:pPr>
            <w:r>
              <w:rPr>
                <w:rFonts w:hint="eastAsia" w:ascii="宋体" w:hAnsi="宋体" w:eastAsia="宋体" w:cs="宋体"/>
                <w:bCs/>
                <w:snapToGrid/>
                <w:sz w:val="18"/>
                <w:szCs w:val="18"/>
              </w:rPr>
              <w:t>支出合计</w:t>
            </w: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2699　</w:t>
            </w:r>
          </w:p>
        </w:tc>
        <w:tc>
          <w:tcPr>
            <w:tcW w:w="216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支出总计</w:t>
            </w: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4"/>
          <w:wAfter w:w="666" w:type="dxa"/>
          <w:trHeight w:val="405" w:hRule="atLeast"/>
        </w:trPr>
        <w:tc>
          <w:tcPr>
            <w:tcW w:w="1665" w:type="dxa"/>
            <w:gridSpan w:val="6"/>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r>
              <w:rPr>
                <w:rFonts w:hint="eastAsia" w:ascii="宋体" w:hAnsi="宋体" w:eastAsia="宋体" w:cs="宋体"/>
                <w:bCs/>
                <w:snapToGrid/>
                <w:sz w:val="24"/>
                <w:szCs w:val="24"/>
              </w:rPr>
              <w:t>表二</w:t>
            </w:r>
          </w:p>
        </w:tc>
        <w:tc>
          <w:tcPr>
            <w:tcW w:w="1000" w:type="dxa"/>
            <w:gridSpan w:val="3"/>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rPr>
            </w:pPr>
          </w:p>
        </w:tc>
        <w:tc>
          <w:tcPr>
            <w:tcW w:w="575" w:type="dxa"/>
            <w:gridSpan w:val="4"/>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720" w:type="dxa"/>
            <w:gridSpan w:val="7"/>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1440" w:type="dxa"/>
            <w:gridSpan w:val="6"/>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710" w:type="dxa"/>
            <w:gridSpan w:val="5"/>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916" w:type="dxa"/>
            <w:gridSpan w:val="5"/>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1449" w:type="dxa"/>
            <w:gridSpan w:val="6"/>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745" w:type="dxa"/>
            <w:gridSpan w:val="5"/>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c>
          <w:tcPr>
            <w:tcW w:w="292" w:type="dxa"/>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sz w:val="24"/>
                <w:szCs w:val="24"/>
              </w:rPr>
            </w:pPr>
          </w:p>
        </w:tc>
      </w:tr>
      <w:tr>
        <w:tblPrEx>
          <w:tblCellMar>
            <w:top w:w="0" w:type="dxa"/>
            <w:left w:w="108" w:type="dxa"/>
            <w:bottom w:w="0" w:type="dxa"/>
            <w:right w:w="108" w:type="dxa"/>
          </w:tblCellMar>
        </w:tblPrEx>
        <w:trPr>
          <w:gridAfter w:val="6"/>
          <w:wAfter w:w="983" w:type="dxa"/>
          <w:trHeight w:val="720" w:hRule="atLeast"/>
        </w:trPr>
        <w:tc>
          <w:tcPr>
            <w:tcW w:w="9195" w:type="dxa"/>
            <w:gridSpan w:val="46"/>
            <w:tcBorders>
              <w:top w:val="nil"/>
              <w:left w:val="nil"/>
              <w:bottom w:val="nil"/>
              <w:right w:val="nil"/>
            </w:tcBorders>
            <w:noWrap w:val="0"/>
            <w:vAlign w:val="center"/>
          </w:tcPr>
          <w:p>
            <w:pPr>
              <w:widowControl/>
              <w:adjustRightInd/>
              <w:snapToGrid/>
              <w:spacing w:line="400" w:lineRule="exact"/>
              <w:jc w:val="center"/>
              <w:rPr>
                <w:rFonts w:ascii="方正小标宋简体" w:hAnsi="宋体" w:eastAsia="方正小标宋简体" w:cs="宋体"/>
                <w:bCs/>
                <w:snapToGrid/>
                <w:sz w:val="30"/>
                <w:szCs w:val="30"/>
              </w:rPr>
            </w:pPr>
            <w:r>
              <w:rPr>
                <w:rFonts w:hint="eastAsia" w:ascii="方正小标宋简体" w:hAnsi="宋体" w:eastAsia="方正小标宋简体" w:cs="宋体"/>
                <w:bCs/>
                <w:snapToGrid/>
                <w:sz w:val="30"/>
                <w:szCs w:val="30"/>
              </w:rPr>
              <w:t>2015年荣成市部门预算支出明细表</w:t>
            </w:r>
          </w:p>
        </w:tc>
      </w:tr>
      <w:tr>
        <w:tblPrEx>
          <w:tblCellMar>
            <w:top w:w="0" w:type="dxa"/>
            <w:left w:w="108" w:type="dxa"/>
            <w:bottom w:w="0" w:type="dxa"/>
            <w:right w:w="108" w:type="dxa"/>
          </w:tblCellMar>
        </w:tblPrEx>
        <w:trPr>
          <w:gridAfter w:val="6"/>
          <w:wAfter w:w="983" w:type="dxa"/>
          <w:trHeight w:val="525" w:hRule="atLeast"/>
        </w:trPr>
        <w:tc>
          <w:tcPr>
            <w:tcW w:w="1125" w:type="dxa"/>
            <w:gridSpan w:val="3"/>
            <w:tcBorders>
              <w:top w:val="nil"/>
              <w:left w:val="nil"/>
              <w:bottom w:val="single" w:color="auto" w:sz="4" w:space="0"/>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单位名称：</w:t>
            </w:r>
          </w:p>
        </w:tc>
        <w:tc>
          <w:tcPr>
            <w:tcW w:w="540" w:type="dxa"/>
            <w:gridSpan w:val="3"/>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677" w:type="dxa"/>
            <w:gridSpan w:val="2"/>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2" w:type="dxa"/>
            <w:gridSpan w:val="3"/>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1" w:type="dxa"/>
            <w:gridSpan w:val="6"/>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1" w:type="dxa"/>
            <w:gridSpan w:val="5"/>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0" w:type="dxa"/>
            <w:gridSpan w:val="3"/>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1080" w:type="dxa"/>
            <w:gridSpan w:val="8"/>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0" w:type="dxa"/>
            <w:gridSpan w:val="3"/>
            <w:tcBorders>
              <w:top w:val="nil"/>
              <w:left w:val="nil"/>
              <w:bottom w:val="nil"/>
              <w:right w:val="nil"/>
            </w:tcBorders>
            <w:noWrap w:val="0"/>
            <w:vAlign w:val="center"/>
          </w:tcPr>
          <w:p>
            <w:pPr>
              <w:widowControl/>
              <w:adjustRightInd/>
              <w:snapToGrid/>
              <w:spacing w:line="240" w:lineRule="auto"/>
              <w:jc w:val="right"/>
              <w:rPr>
                <w:rFonts w:ascii="宋体" w:hAnsi="宋体" w:eastAsia="宋体" w:cs="宋体"/>
                <w:bCs/>
                <w:snapToGrid/>
                <w:sz w:val="20"/>
                <w:szCs w:val="20"/>
              </w:rPr>
            </w:pPr>
          </w:p>
        </w:tc>
        <w:tc>
          <w:tcPr>
            <w:tcW w:w="2169" w:type="dxa"/>
            <w:gridSpan w:val="10"/>
            <w:tcBorders>
              <w:top w:val="nil"/>
              <w:left w:val="nil"/>
              <w:bottom w:val="single" w:color="auto" w:sz="4" w:space="0"/>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 xml:space="preserve">  单位：千元</w:t>
            </w:r>
          </w:p>
        </w:tc>
      </w:tr>
      <w:tr>
        <w:tblPrEx>
          <w:tblCellMar>
            <w:top w:w="0" w:type="dxa"/>
            <w:left w:w="108" w:type="dxa"/>
            <w:bottom w:w="0" w:type="dxa"/>
            <w:right w:w="108" w:type="dxa"/>
          </w:tblCellMar>
        </w:tblPrEx>
        <w:trPr>
          <w:gridAfter w:val="6"/>
          <w:wAfter w:w="983" w:type="dxa"/>
          <w:trHeight w:val="510" w:hRule="atLeast"/>
        </w:trPr>
        <w:tc>
          <w:tcPr>
            <w:tcW w:w="1665" w:type="dxa"/>
            <w:gridSpan w:val="6"/>
            <w:tcBorders>
              <w:top w:val="single" w:color="auto" w:sz="4" w:space="0"/>
              <w:left w:val="single" w:color="auto" w:sz="4" w:space="0"/>
              <w:bottom w:val="nil"/>
              <w:right w:val="single" w:color="000000"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科目编码</w:t>
            </w:r>
          </w:p>
        </w:tc>
        <w:tc>
          <w:tcPr>
            <w:tcW w:w="677" w:type="dxa"/>
            <w:gridSpan w:val="2"/>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科目名称</w:t>
            </w:r>
          </w:p>
        </w:tc>
        <w:tc>
          <w:tcPr>
            <w:tcW w:w="722"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 xml:space="preserve"> 总计 </w:t>
            </w:r>
          </w:p>
        </w:tc>
        <w:tc>
          <w:tcPr>
            <w:tcW w:w="721" w:type="dxa"/>
            <w:gridSpan w:val="6"/>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基本</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721" w:type="dxa"/>
            <w:gridSpan w:val="5"/>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项目</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720" w:type="dxa"/>
            <w:gridSpan w:val="3"/>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经营</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1080" w:type="dxa"/>
            <w:gridSpan w:val="8"/>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上缴</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上级支出</w:t>
            </w:r>
          </w:p>
        </w:tc>
        <w:tc>
          <w:tcPr>
            <w:tcW w:w="720" w:type="dxa"/>
            <w:gridSpan w:val="3"/>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其他</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1083" w:type="dxa"/>
            <w:gridSpan w:val="5"/>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市级</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专项支出</w:t>
            </w:r>
          </w:p>
        </w:tc>
        <w:tc>
          <w:tcPr>
            <w:tcW w:w="1086" w:type="dxa"/>
            <w:gridSpan w:val="5"/>
            <w:vMerge w:val="restart"/>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备注</w:t>
            </w:r>
          </w:p>
        </w:tc>
      </w:tr>
      <w:tr>
        <w:tblPrEx>
          <w:tblCellMar>
            <w:top w:w="0" w:type="dxa"/>
            <w:left w:w="108" w:type="dxa"/>
            <w:bottom w:w="0" w:type="dxa"/>
            <w:right w:w="108" w:type="dxa"/>
          </w:tblCellMar>
        </w:tblPrEx>
        <w:trPr>
          <w:gridAfter w:val="6"/>
          <w:wAfter w:w="983" w:type="dxa"/>
          <w:trHeight w:val="555" w:hRule="atLeast"/>
        </w:trPr>
        <w:tc>
          <w:tcPr>
            <w:tcW w:w="546" w:type="dxa"/>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类</w:t>
            </w:r>
          </w:p>
        </w:tc>
        <w:tc>
          <w:tcPr>
            <w:tcW w:w="579" w:type="dxa"/>
            <w:gridSpan w:val="2"/>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款</w:t>
            </w:r>
          </w:p>
        </w:tc>
        <w:tc>
          <w:tcPr>
            <w:tcW w:w="540"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项</w:t>
            </w:r>
          </w:p>
        </w:tc>
        <w:tc>
          <w:tcPr>
            <w:tcW w:w="677" w:type="dxa"/>
            <w:gridSpan w:val="2"/>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2"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1" w:type="dxa"/>
            <w:gridSpan w:val="6"/>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1" w:type="dxa"/>
            <w:gridSpan w:val="5"/>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3"/>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80" w:type="dxa"/>
            <w:gridSpan w:val="8"/>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3"/>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83" w:type="dxa"/>
            <w:gridSpan w:val="5"/>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86" w:type="dxa"/>
            <w:gridSpan w:val="5"/>
            <w:vMerge w:val="continue"/>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66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201</w:t>
            </w:r>
          </w:p>
        </w:tc>
        <w:tc>
          <w:tcPr>
            <w:tcW w:w="579"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33</w:t>
            </w:r>
          </w:p>
        </w:tc>
        <w:tc>
          <w:tcPr>
            <w:tcW w:w="54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01</w:t>
            </w:r>
          </w:p>
        </w:tc>
        <w:tc>
          <w:tcPr>
            <w:tcW w:w="677"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行政运行</w:t>
            </w:r>
          </w:p>
        </w:tc>
        <w:tc>
          <w:tcPr>
            <w:tcW w:w="722"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2271</w:t>
            </w:r>
          </w:p>
        </w:tc>
        <w:tc>
          <w:tcPr>
            <w:tcW w:w="721"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2245</w:t>
            </w:r>
          </w:p>
        </w:tc>
        <w:tc>
          <w:tcPr>
            <w:tcW w:w="721"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26</w:t>
            </w:r>
          </w:p>
        </w:tc>
        <w:tc>
          <w:tcPr>
            <w:tcW w:w="1083"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6"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r>
      <w:tr>
        <w:tblPrEx>
          <w:tblCellMar>
            <w:top w:w="0" w:type="dxa"/>
            <w:left w:w="108" w:type="dxa"/>
            <w:bottom w:w="0" w:type="dxa"/>
            <w:right w:w="108" w:type="dxa"/>
          </w:tblCellMar>
        </w:tblPrEx>
        <w:trPr>
          <w:gridAfter w:val="6"/>
          <w:wAfter w:w="983" w:type="dxa"/>
          <w:trHeight w:val="66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201</w:t>
            </w:r>
          </w:p>
        </w:tc>
        <w:tc>
          <w:tcPr>
            <w:tcW w:w="579"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33</w:t>
            </w:r>
          </w:p>
        </w:tc>
        <w:tc>
          <w:tcPr>
            <w:tcW w:w="54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99</w:t>
            </w:r>
          </w:p>
        </w:tc>
        <w:tc>
          <w:tcPr>
            <w:tcW w:w="677"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其他宣传事务支出</w:t>
            </w:r>
          </w:p>
        </w:tc>
        <w:tc>
          <w:tcPr>
            <w:tcW w:w="722"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428</w:t>
            </w:r>
          </w:p>
        </w:tc>
        <w:tc>
          <w:tcPr>
            <w:tcW w:w="721"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1"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428</w:t>
            </w: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3"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6"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r>
      <w:tr>
        <w:tblPrEx>
          <w:tblCellMar>
            <w:top w:w="0" w:type="dxa"/>
            <w:left w:w="108" w:type="dxa"/>
            <w:bottom w:w="0" w:type="dxa"/>
            <w:right w:w="108" w:type="dxa"/>
          </w:tblCellMar>
        </w:tblPrEx>
        <w:trPr>
          <w:gridAfter w:val="6"/>
          <w:wAfter w:w="983" w:type="dxa"/>
          <w:trHeight w:val="66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79"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4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677"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722"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721"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1"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0" w:type="dxa"/>
            <w:gridSpan w:val="8"/>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3"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c>
          <w:tcPr>
            <w:tcW w:w="1086"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p>
        </w:tc>
      </w:tr>
      <w:tr>
        <w:tblPrEx>
          <w:tblCellMar>
            <w:top w:w="0" w:type="dxa"/>
            <w:left w:w="108" w:type="dxa"/>
            <w:bottom w:w="0" w:type="dxa"/>
            <w:right w:w="108" w:type="dxa"/>
          </w:tblCellMar>
        </w:tblPrEx>
        <w:trPr>
          <w:trHeight w:val="402" w:hRule="atLeast"/>
        </w:trPr>
        <w:tc>
          <w:tcPr>
            <w:tcW w:w="2045" w:type="dxa"/>
            <w:gridSpan w:val="7"/>
            <w:tcBorders>
              <w:top w:val="nil"/>
              <w:left w:val="nil"/>
              <w:bottom w:val="nil"/>
              <w:right w:val="nil"/>
            </w:tcBorders>
            <w:noWrap w:val="0"/>
            <w:vAlign w:val="bottom"/>
          </w:tcPr>
          <w:p>
            <w:pPr>
              <w:widowControl/>
              <w:adjustRightInd/>
              <w:snapToGrid/>
              <w:spacing w:line="240" w:lineRule="auto"/>
              <w:jc w:val="left"/>
              <w:rPr>
                <w:rFonts w:hint="eastAsia" w:ascii="宋体" w:hAnsi="宋体" w:eastAsia="宋体" w:cs="宋体"/>
                <w:bCs/>
                <w:snapToGrid/>
                <w:sz w:val="24"/>
                <w:szCs w:val="24"/>
              </w:rPr>
            </w:pPr>
          </w:p>
          <w:p>
            <w:pPr>
              <w:widowControl/>
              <w:adjustRightInd/>
              <w:snapToGrid/>
              <w:spacing w:line="240" w:lineRule="auto"/>
              <w:jc w:val="left"/>
              <w:rPr>
                <w:rFonts w:ascii="宋体" w:hAnsi="宋体" w:eastAsia="宋体" w:cs="宋体"/>
                <w:bCs/>
                <w:snapToGrid/>
                <w:sz w:val="24"/>
                <w:szCs w:val="24"/>
              </w:rPr>
            </w:pPr>
            <w:r>
              <w:rPr>
                <w:rFonts w:hint="eastAsia" w:ascii="宋体" w:hAnsi="宋体" w:eastAsia="宋体" w:cs="宋体"/>
                <w:bCs/>
                <w:snapToGrid/>
                <w:sz w:val="24"/>
                <w:szCs w:val="24"/>
              </w:rPr>
              <w:t>表三</w:t>
            </w:r>
          </w:p>
        </w:tc>
        <w:tc>
          <w:tcPr>
            <w:tcW w:w="1019" w:type="dxa"/>
            <w:gridSpan w:val="4"/>
            <w:tcBorders>
              <w:top w:val="nil"/>
              <w:left w:val="nil"/>
              <w:bottom w:val="nil"/>
              <w:right w:val="nil"/>
            </w:tcBorders>
            <w:noWrap w:val="0"/>
            <w:vAlign w:val="bottom"/>
          </w:tcPr>
          <w:p>
            <w:pPr>
              <w:widowControl/>
              <w:adjustRightInd/>
              <w:snapToGrid/>
              <w:spacing w:line="240" w:lineRule="auto"/>
              <w:jc w:val="left"/>
              <w:rPr>
                <w:rFonts w:ascii="宋体" w:hAnsi="宋体" w:eastAsia="宋体" w:cs="宋体"/>
                <w:bCs/>
                <w:snapToGrid/>
              </w:rPr>
            </w:pPr>
          </w:p>
        </w:tc>
        <w:tc>
          <w:tcPr>
            <w:tcW w:w="826" w:type="dxa"/>
            <w:gridSpan w:val="8"/>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845" w:type="dxa"/>
            <w:gridSpan w:val="5"/>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901" w:type="dxa"/>
            <w:gridSpan w:val="5"/>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15" w:type="dxa"/>
            <w:gridSpan w:val="6"/>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91" w:type="dxa"/>
            <w:gridSpan w:val="4"/>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50" w:type="dxa"/>
            <w:gridSpan w:val="4"/>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1073" w:type="dxa"/>
            <w:gridSpan w:val="6"/>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371" w:type="dxa"/>
            <w:gridSpan w:val="2"/>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242" w:type="dxa"/>
            <w:tcBorders>
              <w:top w:val="nil"/>
              <w:left w:val="nil"/>
              <w:bottom w:val="nil"/>
              <w:right w:val="nil"/>
            </w:tcBorders>
            <w:noWrap w:val="0"/>
            <w:vAlign w:val="center"/>
          </w:tcPr>
          <w:p>
            <w:pPr>
              <w:widowControl/>
              <w:adjustRightInd/>
              <w:snapToGrid/>
              <w:spacing w:line="240" w:lineRule="auto"/>
              <w:jc w:val="right"/>
              <w:rPr>
                <w:rFonts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765" w:hRule="atLeast"/>
        </w:trPr>
        <w:tc>
          <w:tcPr>
            <w:tcW w:w="9195" w:type="dxa"/>
            <w:gridSpan w:val="46"/>
            <w:tcBorders>
              <w:top w:val="nil"/>
              <w:left w:val="nil"/>
              <w:bottom w:val="nil"/>
              <w:right w:val="nil"/>
            </w:tcBorders>
            <w:noWrap w:val="0"/>
            <w:vAlign w:val="center"/>
          </w:tcPr>
          <w:p>
            <w:pPr>
              <w:widowControl/>
              <w:adjustRightInd/>
              <w:snapToGrid/>
              <w:spacing w:line="240" w:lineRule="auto"/>
              <w:jc w:val="center"/>
              <w:rPr>
                <w:rFonts w:ascii="方正小标宋简体" w:hAnsi="宋体" w:eastAsia="方正小标宋简体" w:cs="宋体"/>
                <w:bCs/>
                <w:snapToGrid/>
                <w:sz w:val="30"/>
                <w:szCs w:val="30"/>
              </w:rPr>
            </w:pPr>
            <w:r>
              <w:rPr>
                <w:rFonts w:hint="eastAsia" w:ascii="方正小标宋简体" w:hAnsi="宋体" w:eastAsia="方正小标宋简体" w:cs="宋体"/>
                <w:bCs/>
                <w:snapToGrid/>
                <w:sz w:val="30"/>
                <w:szCs w:val="30"/>
              </w:rPr>
              <w:t xml:space="preserve">  2015年荣成市部门预算支出经济分类表</w:t>
            </w:r>
          </w:p>
        </w:tc>
      </w:tr>
      <w:tr>
        <w:tblPrEx>
          <w:tblCellMar>
            <w:top w:w="0" w:type="dxa"/>
            <w:left w:w="108" w:type="dxa"/>
            <w:bottom w:w="0" w:type="dxa"/>
            <w:right w:w="108" w:type="dxa"/>
          </w:tblCellMar>
        </w:tblPrEx>
        <w:trPr>
          <w:gridAfter w:val="6"/>
          <w:wAfter w:w="983" w:type="dxa"/>
          <w:trHeight w:val="480" w:hRule="atLeast"/>
        </w:trPr>
        <w:tc>
          <w:tcPr>
            <w:tcW w:w="1314" w:type="dxa"/>
            <w:gridSpan w:val="4"/>
            <w:tcBorders>
              <w:top w:val="nil"/>
              <w:left w:val="nil"/>
              <w:bottom w:val="single" w:color="auto" w:sz="4" w:space="0"/>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单位名称：</w:t>
            </w:r>
          </w:p>
        </w:tc>
        <w:tc>
          <w:tcPr>
            <w:tcW w:w="308" w:type="dxa"/>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20" w:type="dxa"/>
            <w:gridSpan w:val="3"/>
            <w:tcBorders>
              <w:top w:val="nil"/>
              <w:left w:val="nil"/>
              <w:bottom w:val="nil"/>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p>
        </w:tc>
        <w:tc>
          <w:tcPr>
            <w:tcW w:w="733" w:type="dxa"/>
            <w:gridSpan w:val="4"/>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6"/>
            <w:tcBorders>
              <w:top w:val="nil"/>
              <w:left w:val="nil"/>
              <w:bottom w:val="single" w:color="auto" w:sz="4" w:space="0"/>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5"/>
            <w:tcBorders>
              <w:top w:val="nil"/>
              <w:left w:val="nil"/>
              <w:bottom w:val="nil"/>
              <w:right w:val="nil"/>
            </w:tcBorders>
            <w:noWrap w:val="0"/>
            <w:vAlign w:val="center"/>
          </w:tcPr>
          <w:p>
            <w:pPr>
              <w:widowControl/>
              <w:adjustRightInd/>
              <w:snapToGrid/>
              <w:spacing w:line="240" w:lineRule="auto"/>
              <w:jc w:val="right"/>
              <w:rPr>
                <w:rFonts w:ascii="宋体" w:hAnsi="宋体" w:eastAsia="宋体" w:cs="宋体"/>
                <w:bCs/>
                <w:snapToGrid/>
                <w:sz w:val="20"/>
                <w:szCs w:val="20"/>
              </w:rPr>
            </w:pPr>
          </w:p>
        </w:tc>
        <w:tc>
          <w:tcPr>
            <w:tcW w:w="900" w:type="dxa"/>
            <w:gridSpan w:val="4"/>
            <w:tcBorders>
              <w:top w:val="nil"/>
              <w:left w:val="nil"/>
              <w:bottom w:val="single" w:color="auto" w:sz="4" w:space="0"/>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7"/>
            <w:tcBorders>
              <w:top w:val="nil"/>
              <w:left w:val="nil"/>
              <w:bottom w:val="single" w:color="auto" w:sz="4" w:space="0"/>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3"/>
            <w:tcBorders>
              <w:top w:val="nil"/>
              <w:left w:val="nil"/>
              <w:bottom w:val="single" w:color="auto" w:sz="4" w:space="0"/>
              <w:right w:val="nil"/>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　</w:t>
            </w:r>
          </w:p>
        </w:tc>
        <w:tc>
          <w:tcPr>
            <w:tcW w:w="2160" w:type="dxa"/>
            <w:gridSpan w:val="9"/>
            <w:tcBorders>
              <w:top w:val="nil"/>
              <w:left w:val="nil"/>
              <w:bottom w:val="single" w:color="auto" w:sz="4" w:space="0"/>
            </w:tcBorders>
            <w:noWrap w:val="0"/>
            <w:vAlign w:val="center"/>
          </w:tcPr>
          <w:p>
            <w:pPr>
              <w:widowControl/>
              <w:adjustRightInd/>
              <w:snapToGrid/>
              <w:spacing w:line="240" w:lineRule="auto"/>
              <w:ind w:right="500"/>
              <w:rPr>
                <w:rFonts w:ascii="宋体" w:hAnsi="宋体" w:eastAsia="宋体" w:cs="宋体"/>
                <w:bCs/>
                <w:snapToGrid/>
                <w:sz w:val="20"/>
                <w:szCs w:val="20"/>
              </w:rPr>
            </w:pPr>
            <w:r>
              <w:rPr>
                <w:rFonts w:hint="eastAsia" w:ascii="宋体" w:hAnsi="宋体" w:eastAsia="宋体" w:cs="宋体"/>
                <w:bCs/>
                <w:snapToGrid/>
                <w:sz w:val="20"/>
                <w:szCs w:val="20"/>
              </w:rPr>
              <w:t>　   单位：千元</w:t>
            </w:r>
          </w:p>
        </w:tc>
      </w:tr>
      <w:tr>
        <w:tblPrEx>
          <w:tblCellMar>
            <w:top w:w="0" w:type="dxa"/>
            <w:left w:w="108" w:type="dxa"/>
            <w:bottom w:w="0" w:type="dxa"/>
            <w:right w:w="108" w:type="dxa"/>
          </w:tblCellMar>
        </w:tblPrEx>
        <w:trPr>
          <w:gridAfter w:val="6"/>
          <w:wAfter w:w="983" w:type="dxa"/>
          <w:trHeight w:val="540" w:hRule="atLeast"/>
        </w:trPr>
        <w:tc>
          <w:tcPr>
            <w:tcW w:w="1622" w:type="dxa"/>
            <w:gridSpan w:val="5"/>
            <w:tcBorders>
              <w:top w:val="single" w:color="auto" w:sz="4" w:space="0"/>
              <w:left w:val="single" w:color="auto" w:sz="4" w:space="0"/>
              <w:bottom w:val="nil"/>
              <w:right w:val="single" w:color="000000"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科目编码</w:t>
            </w:r>
          </w:p>
        </w:tc>
        <w:tc>
          <w:tcPr>
            <w:tcW w:w="720" w:type="dxa"/>
            <w:gridSpan w:val="3"/>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科目</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名称</w:t>
            </w:r>
          </w:p>
        </w:tc>
        <w:tc>
          <w:tcPr>
            <w:tcW w:w="733" w:type="dxa"/>
            <w:gridSpan w:val="4"/>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总计</w:t>
            </w:r>
          </w:p>
        </w:tc>
        <w:tc>
          <w:tcPr>
            <w:tcW w:w="720" w:type="dxa"/>
            <w:gridSpan w:val="6"/>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工资</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福利</w:t>
            </w:r>
            <w:r>
              <w:rPr>
                <w:rFonts w:hint="eastAsia" w:ascii="宋体" w:hAnsi="宋体" w:eastAsia="宋体" w:cs="宋体"/>
                <w:bCs/>
                <w:snapToGrid/>
                <w:sz w:val="20"/>
                <w:szCs w:val="20"/>
              </w:rPr>
              <w:br w:type="textWrapping"/>
            </w:r>
            <w:r>
              <w:rPr>
                <w:rFonts w:hint="eastAsia" w:ascii="宋体" w:hAnsi="宋体" w:eastAsia="宋体" w:cs="宋体"/>
                <w:bCs/>
                <w:snapToGrid/>
                <w:sz w:val="20"/>
                <w:szCs w:val="20"/>
              </w:rPr>
              <w:t>支出</w:t>
            </w:r>
          </w:p>
        </w:tc>
        <w:tc>
          <w:tcPr>
            <w:tcW w:w="720" w:type="dxa"/>
            <w:gridSpan w:val="5"/>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商品和服务</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900" w:type="dxa"/>
            <w:gridSpan w:val="4"/>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对个人和家庭的补助</w:t>
            </w:r>
          </w:p>
        </w:tc>
        <w:tc>
          <w:tcPr>
            <w:tcW w:w="900" w:type="dxa"/>
            <w:gridSpan w:val="7"/>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对企事业单位的补贴</w:t>
            </w:r>
          </w:p>
        </w:tc>
        <w:tc>
          <w:tcPr>
            <w:tcW w:w="720" w:type="dxa"/>
            <w:gridSpan w:val="3"/>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基本</w:t>
            </w:r>
          </w:p>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建设</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900" w:type="dxa"/>
            <w:gridSpan w:val="3"/>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其他</w:t>
            </w:r>
          </w:p>
          <w:p>
            <w:pPr>
              <w:widowControl/>
              <w:adjustRightInd/>
              <w:snapToGrid/>
              <w:spacing w:line="240" w:lineRule="auto"/>
              <w:jc w:val="center"/>
              <w:rPr>
                <w:rFonts w:hint="eastAsia" w:ascii="宋体" w:hAnsi="宋体" w:eastAsia="宋体" w:cs="宋体"/>
                <w:bCs/>
                <w:snapToGrid/>
                <w:sz w:val="20"/>
                <w:szCs w:val="20"/>
              </w:rPr>
            </w:pPr>
            <w:r>
              <w:rPr>
                <w:rFonts w:hint="eastAsia" w:ascii="宋体" w:hAnsi="宋体" w:eastAsia="宋体" w:cs="宋体"/>
                <w:bCs/>
                <w:snapToGrid/>
                <w:sz w:val="20"/>
                <w:szCs w:val="20"/>
              </w:rPr>
              <w:t>资本性</w:t>
            </w:r>
          </w:p>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支出</w:t>
            </w:r>
          </w:p>
        </w:tc>
        <w:tc>
          <w:tcPr>
            <w:tcW w:w="540" w:type="dxa"/>
            <w:gridSpan w:val="2"/>
            <w:vMerge w:val="restart"/>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其他</w:t>
            </w:r>
            <w:r>
              <w:rPr>
                <w:rFonts w:hint="eastAsia" w:ascii="宋体" w:hAnsi="宋体" w:eastAsia="宋体" w:cs="宋体"/>
                <w:bCs/>
                <w:snapToGrid/>
                <w:sz w:val="20"/>
                <w:szCs w:val="20"/>
              </w:rPr>
              <w:br w:type="textWrapping"/>
            </w:r>
            <w:r>
              <w:rPr>
                <w:rFonts w:hint="eastAsia" w:ascii="宋体" w:hAnsi="宋体" w:eastAsia="宋体" w:cs="宋体"/>
                <w:bCs/>
                <w:snapToGrid/>
                <w:sz w:val="20"/>
                <w:szCs w:val="20"/>
              </w:rPr>
              <w:t>支出</w:t>
            </w:r>
          </w:p>
        </w:tc>
        <w:tc>
          <w:tcPr>
            <w:tcW w:w="720" w:type="dxa"/>
            <w:gridSpan w:val="4"/>
            <w:vMerge w:val="restart"/>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备注</w:t>
            </w:r>
          </w:p>
        </w:tc>
      </w:tr>
      <w:tr>
        <w:tblPrEx>
          <w:tblCellMar>
            <w:top w:w="0" w:type="dxa"/>
            <w:left w:w="108" w:type="dxa"/>
            <w:bottom w:w="0" w:type="dxa"/>
            <w:right w:w="108" w:type="dxa"/>
          </w:tblCellMar>
        </w:tblPrEx>
        <w:trPr>
          <w:gridAfter w:val="6"/>
          <w:wAfter w:w="983" w:type="dxa"/>
          <w:trHeight w:val="495" w:hRule="atLeast"/>
        </w:trPr>
        <w:tc>
          <w:tcPr>
            <w:tcW w:w="546" w:type="dxa"/>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类</w:t>
            </w:r>
          </w:p>
        </w:tc>
        <w:tc>
          <w:tcPr>
            <w:tcW w:w="538" w:type="dxa"/>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款</w:t>
            </w:r>
          </w:p>
        </w:tc>
        <w:tc>
          <w:tcPr>
            <w:tcW w:w="538"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项</w:t>
            </w:r>
          </w:p>
        </w:tc>
        <w:tc>
          <w:tcPr>
            <w:tcW w:w="720" w:type="dxa"/>
            <w:gridSpan w:val="3"/>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33" w:type="dxa"/>
            <w:gridSpan w:val="4"/>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6"/>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5"/>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900" w:type="dxa"/>
            <w:gridSpan w:val="4"/>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900" w:type="dxa"/>
            <w:gridSpan w:val="7"/>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3"/>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900" w:type="dxa"/>
            <w:gridSpan w:val="3"/>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540" w:type="dxa"/>
            <w:gridSpan w:val="2"/>
            <w:vMerge w:val="continue"/>
            <w:tcBorders>
              <w:top w:val="nil"/>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720" w:type="dxa"/>
            <w:gridSpan w:val="4"/>
            <w:vMerge w:val="continue"/>
            <w:tcBorders>
              <w:top w:val="single" w:color="auto" w:sz="4" w:space="0"/>
              <w:left w:val="single" w:color="auto" w:sz="4" w:space="0"/>
              <w:bottom w:val="single" w:color="000000"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60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201</w:t>
            </w:r>
          </w:p>
        </w:tc>
        <w:tc>
          <w:tcPr>
            <w:tcW w:w="538" w:type="dxa"/>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33</w:t>
            </w:r>
          </w:p>
        </w:tc>
        <w:tc>
          <w:tcPr>
            <w:tcW w:w="538"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01</w:t>
            </w: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行政运行</w:t>
            </w:r>
          </w:p>
        </w:tc>
        <w:tc>
          <w:tcPr>
            <w:tcW w:w="733" w:type="dxa"/>
            <w:gridSpan w:val="4"/>
            <w:tcBorders>
              <w:top w:val="single" w:color="auto" w:sz="4" w:space="0"/>
              <w:left w:val="nil"/>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2245　</w:t>
            </w:r>
          </w:p>
        </w:tc>
        <w:tc>
          <w:tcPr>
            <w:tcW w:w="720" w:type="dxa"/>
            <w:gridSpan w:val="6"/>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1804　</w:t>
            </w:r>
          </w:p>
        </w:tc>
        <w:tc>
          <w:tcPr>
            <w:tcW w:w="720" w:type="dxa"/>
            <w:gridSpan w:val="5"/>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143　</w:t>
            </w:r>
          </w:p>
        </w:tc>
        <w:tc>
          <w:tcPr>
            <w:tcW w:w="900" w:type="dxa"/>
            <w:gridSpan w:val="4"/>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298　</w:t>
            </w:r>
          </w:p>
        </w:tc>
        <w:tc>
          <w:tcPr>
            <w:tcW w:w="900" w:type="dxa"/>
            <w:gridSpan w:val="7"/>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3"/>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3"/>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26</w:t>
            </w:r>
          </w:p>
        </w:tc>
        <w:tc>
          <w:tcPr>
            <w:tcW w:w="540" w:type="dxa"/>
            <w:gridSpan w:val="2"/>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600" w:hRule="atLeast"/>
        </w:trPr>
        <w:tc>
          <w:tcPr>
            <w:tcW w:w="546" w:type="dxa"/>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201</w:t>
            </w:r>
          </w:p>
        </w:tc>
        <w:tc>
          <w:tcPr>
            <w:tcW w:w="538" w:type="dxa"/>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33</w:t>
            </w:r>
          </w:p>
        </w:tc>
        <w:tc>
          <w:tcPr>
            <w:tcW w:w="538"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99</w:t>
            </w:r>
          </w:p>
        </w:tc>
        <w:tc>
          <w:tcPr>
            <w:tcW w:w="720"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r>
              <w:rPr>
                <w:rFonts w:hint="eastAsia" w:ascii="宋体" w:hAnsi="宋体" w:eastAsia="宋体" w:cs="宋体"/>
                <w:bCs/>
                <w:snapToGrid/>
                <w:sz w:val="22"/>
                <w:szCs w:val="22"/>
              </w:rPr>
              <w:t>其他宣传事务支出</w:t>
            </w:r>
          </w:p>
        </w:tc>
        <w:tc>
          <w:tcPr>
            <w:tcW w:w="733" w:type="dxa"/>
            <w:gridSpan w:val="4"/>
            <w:tcBorders>
              <w:top w:val="single" w:color="auto" w:sz="4" w:space="0"/>
              <w:left w:val="nil"/>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428　</w:t>
            </w:r>
          </w:p>
        </w:tc>
        <w:tc>
          <w:tcPr>
            <w:tcW w:w="720" w:type="dxa"/>
            <w:gridSpan w:val="6"/>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5"/>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428　</w:t>
            </w:r>
          </w:p>
        </w:tc>
        <w:tc>
          <w:tcPr>
            <w:tcW w:w="900" w:type="dxa"/>
            <w:gridSpan w:val="4"/>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7"/>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3"/>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3"/>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rPr>
                <w:rFonts w:ascii="宋体" w:hAnsi="宋体" w:eastAsia="宋体" w:cs="宋体"/>
                <w:bCs/>
                <w:snapToGrid/>
                <w:sz w:val="20"/>
                <w:szCs w:val="20"/>
              </w:rPr>
            </w:pPr>
            <w:r>
              <w:rPr>
                <w:rFonts w:hint="eastAsia" w:ascii="宋体" w:hAnsi="宋体" w:eastAsia="宋体" w:cs="宋体"/>
                <w:bCs/>
                <w:snapToGrid/>
                <w:sz w:val="20"/>
                <w:szCs w:val="20"/>
              </w:rPr>
              <w:t>　</w:t>
            </w:r>
          </w:p>
        </w:tc>
        <w:tc>
          <w:tcPr>
            <w:tcW w:w="540" w:type="dxa"/>
            <w:gridSpan w:val="2"/>
            <w:tcBorders>
              <w:top w:val="single" w:color="auto" w:sz="4" w:space="0"/>
              <w:left w:val="single" w:color="auto" w:sz="4" w:space="0"/>
              <w:bottom w:val="single" w:color="auto" w:sz="4" w:space="0"/>
              <w:right w:val="nil"/>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600" w:hRule="atLeast"/>
        </w:trPr>
        <w:tc>
          <w:tcPr>
            <w:tcW w:w="546" w:type="dxa"/>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r>
              <w:rPr>
                <w:rFonts w:hint="eastAsia" w:ascii="宋体" w:hAnsi="宋体" w:eastAsia="宋体" w:cs="宋体"/>
                <w:bCs/>
                <w:snapToGrid/>
                <w:sz w:val="22"/>
                <w:szCs w:val="22"/>
              </w:rPr>
              <w:t>　</w:t>
            </w:r>
          </w:p>
        </w:tc>
        <w:tc>
          <w:tcPr>
            <w:tcW w:w="538" w:type="dxa"/>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2"/>
                <w:szCs w:val="22"/>
              </w:rPr>
            </w:pPr>
            <w:r>
              <w:rPr>
                <w:rFonts w:hint="eastAsia" w:ascii="宋体" w:hAnsi="宋体" w:eastAsia="宋体" w:cs="宋体"/>
                <w:bCs/>
                <w:snapToGrid/>
                <w:sz w:val="22"/>
                <w:szCs w:val="22"/>
              </w:rPr>
              <w:t>　</w:t>
            </w:r>
          </w:p>
        </w:tc>
        <w:tc>
          <w:tcPr>
            <w:tcW w:w="538"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2"/>
                <w:szCs w:val="22"/>
              </w:rPr>
            </w:pPr>
            <w:r>
              <w:rPr>
                <w:rFonts w:hint="eastAsia" w:ascii="宋体" w:hAnsi="宋体" w:eastAsia="宋体" w:cs="宋体"/>
                <w:bCs/>
                <w:snapToGrid/>
                <w:sz w:val="22"/>
                <w:szCs w:val="22"/>
              </w:rPr>
              <w:t>　</w:t>
            </w:r>
          </w:p>
        </w:tc>
        <w:tc>
          <w:tcPr>
            <w:tcW w:w="720"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2"/>
                <w:szCs w:val="22"/>
              </w:rPr>
            </w:pPr>
            <w:r>
              <w:rPr>
                <w:rFonts w:hint="eastAsia" w:ascii="宋体" w:hAnsi="宋体" w:eastAsia="宋体" w:cs="宋体"/>
                <w:bCs/>
                <w:snapToGrid/>
                <w:sz w:val="22"/>
                <w:szCs w:val="22"/>
              </w:rPr>
              <w:t>　</w:t>
            </w:r>
          </w:p>
        </w:tc>
        <w:tc>
          <w:tcPr>
            <w:tcW w:w="733" w:type="dxa"/>
            <w:gridSpan w:val="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6"/>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5"/>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7"/>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900" w:type="dxa"/>
            <w:gridSpan w:val="3"/>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540" w:type="dxa"/>
            <w:gridSpan w:val="2"/>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720" w:type="dxa"/>
            <w:gridSpan w:val="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6"/>
          <w:wAfter w:w="983" w:type="dxa"/>
          <w:trHeight w:val="60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p>
            <w:pPr>
              <w:widowControl/>
              <w:adjustRightInd/>
              <w:snapToGrid/>
              <w:spacing w:line="240" w:lineRule="auto"/>
              <w:jc w:val="center"/>
              <w:rPr>
                <w:rFonts w:hint="eastAsia" w:ascii="宋体" w:hAnsi="宋体" w:eastAsia="宋体" w:cs="宋体"/>
                <w:bCs/>
                <w:snapToGrid/>
                <w:sz w:val="22"/>
                <w:szCs w:val="22"/>
              </w:rPr>
            </w:pPr>
          </w:p>
        </w:tc>
        <w:tc>
          <w:tcPr>
            <w:tcW w:w="538" w:type="dxa"/>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38"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33"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7"/>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540"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60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38" w:type="dxa"/>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38"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33"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7"/>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540"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r>
      <w:tr>
        <w:tblPrEx>
          <w:tblCellMar>
            <w:top w:w="0" w:type="dxa"/>
            <w:left w:w="108" w:type="dxa"/>
            <w:bottom w:w="0" w:type="dxa"/>
            <w:right w:w="108" w:type="dxa"/>
          </w:tblCellMar>
        </w:tblPrEx>
        <w:trPr>
          <w:gridAfter w:val="6"/>
          <w:wAfter w:w="983" w:type="dxa"/>
          <w:trHeight w:val="600" w:hRule="atLeast"/>
        </w:trPr>
        <w:tc>
          <w:tcPr>
            <w:tcW w:w="546" w:type="dxa"/>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38" w:type="dxa"/>
            <w:tcBorders>
              <w:top w:val="nil"/>
              <w:left w:val="nil"/>
              <w:bottom w:val="single" w:color="auto" w:sz="4" w:space="0"/>
              <w:right w:val="single" w:color="auto" w:sz="4" w:space="0"/>
            </w:tcBorders>
            <w:noWrap w:val="0"/>
            <w:vAlign w:val="center"/>
          </w:tcPr>
          <w:p>
            <w:pPr>
              <w:widowControl/>
              <w:adjustRightInd/>
              <w:snapToGrid/>
              <w:spacing w:line="240" w:lineRule="auto"/>
              <w:jc w:val="center"/>
              <w:rPr>
                <w:rFonts w:hint="eastAsia" w:ascii="宋体" w:hAnsi="宋体" w:eastAsia="宋体" w:cs="宋体"/>
                <w:bCs/>
                <w:snapToGrid/>
                <w:sz w:val="22"/>
                <w:szCs w:val="22"/>
              </w:rPr>
            </w:pPr>
          </w:p>
        </w:tc>
        <w:tc>
          <w:tcPr>
            <w:tcW w:w="538"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2"/>
                <w:szCs w:val="22"/>
              </w:rPr>
            </w:pPr>
          </w:p>
        </w:tc>
        <w:tc>
          <w:tcPr>
            <w:tcW w:w="733"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6"/>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5"/>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7"/>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900" w:type="dxa"/>
            <w:gridSpan w:val="3"/>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540" w:type="dxa"/>
            <w:gridSpan w:val="2"/>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c>
          <w:tcPr>
            <w:tcW w:w="720" w:type="dxa"/>
            <w:gridSpan w:val="4"/>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hint="eastAsia" w:ascii="宋体" w:hAnsi="宋体" w:eastAsia="宋体" w:cs="宋体"/>
                <w:bCs/>
                <w:snapToGrid/>
                <w:sz w:val="20"/>
                <w:szCs w:val="20"/>
              </w:rPr>
            </w:pPr>
          </w:p>
        </w:tc>
      </w:tr>
      <w:tr>
        <w:tblPrEx>
          <w:tblCellMar>
            <w:top w:w="0" w:type="dxa"/>
            <w:left w:w="108" w:type="dxa"/>
            <w:bottom w:w="0" w:type="dxa"/>
            <w:right w:w="108" w:type="dxa"/>
          </w:tblCellMar>
        </w:tblPrEx>
        <w:trPr>
          <w:gridAfter w:val="8"/>
          <w:wAfter w:w="1523" w:type="dxa"/>
          <w:trHeight w:val="480" w:hRule="atLeast"/>
        </w:trPr>
        <w:tc>
          <w:tcPr>
            <w:tcW w:w="8655" w:type="dxa"/>
            <w:gridSpan w:val="44"/>
            <w:tcBorders>
              <w:top w:val="nil"/>
              <w:left w:val="nil"/>
              <w:bottom w:val="nil"/>
              <w:right w:val="nil"/>
            </w:tcBorders>
            <w:noWrap w:val="0"/>
            <w:vAlign w:val="bottom"/>
          </w:tcPr>
          <w:p>
            <w:pPr>
              <w:widowControl/>
              <w:adjustRightInd/>
              <w:snapToGrid/>
              <w:spacing w:line="240" w:lineRule="auto"/>
              <w:jc w:val="left"/>
              <w:rPr>
                <w:rFonts w:hint="eastAsia" w:ascii="宋体" w:hAnsi="宋体" w:eastAsia="宋体" w:cs="宋体"/>
                <w:bCs/>
                <w:snapToGrid/>
                <w:sz w:val="24"/>
                <w:szCs w:val="24"/>
              </w:rPr>
            </w:pPr>
          </w:p>
          <w:p>
            <w:pPr>
              <w:widowControl/>
              <w:adjustRightInd/>
              <w:snapToGrid/>
              <w:spacing w:line="240" w:lineRule="auto"/>
              <w:jc w:val="left"/>
              <w:rPr>
                <w:rFonts w:ascii="宋体" w:hAnsi="宋体" w:eastAsia="宋体" w:cs="宋体"/>
                <w:bCs/>
                <w:snapToGrid/>
                <w:sz w:val="24"/>
                <w:szCs w:val="24"/>
              </w:rPr>
            </w:pPr>
            <w:r>
              <w:rPr>
                <w:rFonts w:hint="eastAsia" w:ascii="宋体" w:hAnsi="宋体" w:eastAsia="宋体" w:cs="宋体"/>
                <w:bCs/>
                <w:snapToGrid/>
                <w:sz w:val="24"/>
                <w:szCs w:val="24"/>
              </w:rPr>
              <w:t>表四</w:t>
            </w:r>
          </w:p>
        </w:tc>
      </w:tr>
      <w:tr>
        <w:tblPrEx>
          <w:tblCellMar>
            <w:top w:w="0" w:type="dxa"/>
            <w:left w:w="108" w:type="dxa"/>
            <w:bottom w:w="0" w:type="dxa"/>
            <w:right w:w="108" w:type="dxa"/>
          </w:tblCellMar>
        </w:tblPrEx>
        <w:trPr>
          <w:gridAfter w:val="8"/>
          <w:wAfter w:w="1523" w:type="dxa"/>
          <w:trHeight w:val="810" w:hRule="atLeast"/>
        </w:trPr>
        <w:tc>
          <w:tcPr>
            <w:tcW w:w="8655" w:type="dxa"/>
            <w:gridSpan w:val="44"/>
            <w:tcBorders>
              <w:top w:val="nil"/>
              <w:left w:val="nil"/>
              <w:bottom w:val="nil"/>
              <w:right w:val="nil"/>
            </w:tcBorders>
            <w:noWrap w:val="0"/>
            <w:vAlign w:val="center"/>
          </w:tcPr>
          <w:p>
            <w:pPr>
              <w:widowControl/>
              <w:adjustRightInd/>
              <w:snapToGrid/>
              <w:spacing w:line="240" w:lineRule="auto"/>
              <w:jc w:val="center"/>
              <w:rPr>
                <w:rFonts w:ascii="方正小标宋简体" w:hAnsi="宋体" w:eastAsia="方正小标宋简体" w:cs="宋体"/>
                <w:bCs/>
                <w:snapToGrid/>
                <w:sz w:val="30"/>
                <w:szCs w:val="30"/>
              </w:rPr>
            </w:pPr>
            <w:r>
              <w:rPr>
                <w:rFonts w:hint="eastAsia" w:ascii="方正小标宋简体" w:hAnsi="宋体" w:eastAsia="方正小标宋简体" w:cs="宋体"/>
                <w:bCs/>
                <w:snapToGrid/>
                <w:sz w:val="30"/>
                <w:szCs w:val="30"/>
              </w:rPr>
              <w:t>2015年荣成市部门预算“三公”经费明细表</w:t>
            </w:r>
          </w:p>
        </w:tc>
      </w:tr>
      <w:tr>
        <w:tblPrEx>
          <w:tblCellMar>
            <w:top w:w="0" w:type="dxa"/>
            <w:left w:w="108" w:type="dxa"/>
            <w:bottom w:w="0" w:type="dxa"/>
            <w:right w:w="108" w:type="dxa"/>
          </w:tblCellMar>
        </w:tblPrEx>
        <w:trPr>
          <w:gridAfter w:val="8"/>
          <w:wAfter w:w="1523" w:type="dxa"/>
          <w:trHeight w:val="570" w:hRule="atLeast"/>
        </w:trPr>
        <w:tc>
          <w:tcPr>
            <w:tcW w:w="4437" w:type="dxa"/>
            <w:gridSpan w:val="21"/>
            <w:tcBorders>
              <w:top w:val="nil"/>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单位名称：</w:t>
            </w:r>
          </w:p>
        </w:tc>
        <w:tc>
          <w:tcPr>
            <w:tcW w:w="1464" w:type="dxa"/>
            <w:gridSpan w:val="9"/>
            <w:tcBorders>
              <w:top w:val="nil"/>
              <w:left w:val="nil"/>
              <w:bottom w:val="nil"/>
              <w:right w:val="nil"/>
            </w:tcBorders>
            <w:noWrap w:val="0"/>
            <w:vAlign w:val="center"/>
          </w:tcPr>
          <w:p>
            <w:pPr>
              <w:widowControl/>
              <w:adjustRightInd/>
              <w:snapToGrid/>
              <w:spacing w:line="240" w:lineRule="auto"/>
              <w:jc w:val="right"/>
              <w:rPr>
                <w:rFonts w:ascii="宋体" w:hAnsi="宋体" w:eastAsia="宋体" w:cs="宋体"/>
                <w:bCs/>
                <w:snapToGrid/>
                <w:sz w:val="20"/>
                <w:szCs w:val="20"/>
              </w:rPr>
            </w:pPr>
          </w:p>
        </w:tc>
        <w:tc>
          <w:tcPr>
            <w:tcW w:w="2754" w:type="dxa"/>
            <w:gridSpan w:val="14"/>
            <w:tcBorders>
              <w:top w:val="nil"/>
              <w:left w:val="nil"/>
              <w:bottom w:val="nil"/>
              <w:right w:val="nil"/>
            </w:tcBorders>
            <w:noWrap w:val="0"/>
            <w:vAlign w:val="center"/>
          </w:tcPr>
          <w:p>
            <w:pPr>
              <w:widowControl/>
              <w:adjustRightInd/>
              <w:snapToGrid/>
              <w:spacing w:line="240" w:lineRule="auto"/>
              <w:jc w:val="right"/>
              <w:rPr>
                <w:rFonts w:ascii="宋体" w:hAnsi="宋体" w:eastAsia="宋体" w:cs="宋体"/>
                <w:bCs/>
                <w:snapToGrid/>
                <w:sz w:val="20"/>
                <w:szCs w:val="20"/>
              </w:rPr>
            </w:pPr>
            <w:r>
              <w:rPr>
                <w:rFonts w:hint="eastAsia" w:ascii="宋体" w:hAnsi="宋体" w:eastAsia="宋体" w:cs="宋体"/>
                <w:bCs/>
                <w:snapToGrid/>
                <w:sz w:val="20"/>
                <w:szCs w:val="20"/>
              </w:rPr>
              <w:t>单位：千元</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single" w:color="auto" w:sz="4" w:space="0"/>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项  目</w:t>
            </w:r>
          </w:p>
        </w:tc>
        <w:tc>
          <w:tcPr>
            <w:tcW w:w="1464" w:type="dxa"/>
            <w:gridSpan w:val="9"/>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2015年预算数</w:t>
            </w:r>
          </w:p>
        </w:tc>
        <w:tc>
          <w:tcPr>
            <w:tcW w:w="2754" w:type="dxa"/>
            <w:gridSpan w:val="14"/>
            <w:tcBorders>
              <w:top w:val="single" w:color="auto" w:sz="4" w:space="0"/>
              <w:left w:val="nil"/>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备  注</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合  计</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651</w:t>
            </w: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1、因公出国（境）费用</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2、公务接待费</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522</w:t>
            </w: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3、公务用车费</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129</w:t>
            </w: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center"/>
              <w:rPr>
                <w:rFonts w:ascii="宋体" w:hAnsi="宋体" w:eastAsia="宋体" w:cs="宋体"/>
                <w:bCs/>
                <w:snapToGrid/>
                <w:sz w:val="20"/>
                <w:szCs w:val="20"/>
              </w:rPr>
            </w:pPr>
            <w:r>
              <w:rPr>
                <w:rFonts w:hint="eastAsia" w:ascii="宋体" w:hAnsi="宋体" w:eastAsia="宋体" w:cs="宋体"/>
                <w:bCs/>
                <w:snapToGrid/>
                <w:sz w:val="20"/>
                <w:szCs w:val="20"/>
              </w:rPr>
              <w:t>其中：（1）公务用车运行维护费</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129</w:t>
            </w: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8"/>
          <w:wAfter w:w="1523" w:type="dxa"/>
          <w:trHeight w:val="1002" w:hRule="atLeast"/>
        </w:trPr>
        <w:tc>
          <w:tcPr>
            <w:tcW w:w="4437" w:type="dxa"/>
            <w:gridSpan w:val="21"/>
            <w:tcBorders>
              <w:top w:val="nil"/>
              <w:left w:val="single" w:color="auto" w:sz="4" w:space="0"/>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xml:space="preserve">             （2）公务用车购置费用</w:t>
            </w:r>
          </w:p>
        </w:tc>
        <w:tc>
          <w:tcPr>
            <w:tcW w:w="1464" w:type="dxa"/>
            <w:gridSpan w:val="9"/>
            <w:tcBorders>
              <w:top w:val="nil"/>
              <w:left w:val="nil"/>
              <w:bottom w:val="single" w:color="auto" w:sz="4" w:space="0"/>
              <w:right w:val="single" w:color="auto" w:sz="4" w:space="0"/>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c>
          <w:tcPr>
            <w:tcW w:w="2754" w:type="dxa"/>
            <w:gridSpan w:val="14"/>
            <w:tcBorders>
              <w:top w:val="nil"/>
              <w:left w:val="nil"/>
              <w:bottom w:val="single" w:color="auto" w:sz="4" w:space="0"/>
              <w:right w:val="single" w:color="auto" w:sz="4" w:space="0"/>
            </w:tcBorders>
            <w:noWrap w:val="0"/>
            <w:vAlign w:val="bottom"/>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t>　</w:t>
            </w:r>
          </w:p>
        </w:tc>
      </w:tr>
      <w:tr>
        <w:tblPrEx>
          <w:tblCellMar>
            <w:top w:w="0" w:type="dxa"/>
            <w:left w:w="108" w:type="dxa"/>
            <w:bottom w:w="0" w:type="dxa"/>
            <w:right w:w="108" w:type="dxa"/>
          </w:tblCellMar>
        </w:tblPrEx>
        <w:trPr>
          <w:gridAfter w:val="8"/>
          <w:wAfter w:w="1523" w:type="dxa"/>
          <w:trHeight w:val="1545" w:hRule="atLeast"/>
        </w:trPr>
        <w:tc>
          <w:tcPr>
            <w:tcW w:w="8655" w:type="dxa"/>
            <w:gridSpan w:val="44"/>
            <w:tcBorders>
              <w:top w:val="single" w:color="auto" w:sz="4" w:space="0"/>
              <w:left w:val="nil"/>
              <w:bottom w:val="nil"/>
              <w:right w:val="nil"/>
            </w:tcBorders>
            <w:noWrap w:val="0"/>
            <w:vAlign w:val="center"/>
          </w:tcPr>
          <w:p>
            <w:pPr>
              <w:widowControl/>
              <w:adjustRightInd/>
              <w:snapToGrid/>
              <w:spacing w:line="240" w:lineRule="auto"/>
              <w:jc w:val="left"/>
              <w:rPr>
                <w:rFonts w:ascii="宋体" w:hAnsi="宋体" w:eastAsia="宋体" w:cs="宋体"/>
                <w:bCs/>
                <w:snapToGrid/>
                <w:sz w:val="20"/>
                <w:szCs w:val="20"/>
              </w:rPr>
            </w:pPr>
            <w:r>
              <w:rPr>
                <w:rFonts w:hint="eastAsia" w:ascii="宋体" w:hAnsi="宋体" w:eastAsia="宋体" w:cs="宋体"/>
                <w:bCs/>
                <w:snapToGrid/>
                <w:sz w:val="20"/>
                <w:szCs w:val="20"/>
              </w:rPr>
              <w:br w:type="textWrapping"/>
            </w:r>
            <w:r>
              <w:rPr>
                <w:rFonts w:hint="eastAsia" w:ascii="宋体" w:hAnsi="宋体" w:eastAsia="宋体" w:cs="宋体"/>
                <w:bCs/>
                <w:snapToGrid/>
                <w:sz w:val="20"/>
                <w:szCs w:val="20"/>
              </w:rPr>
              <w:t xml:space="preserve">   </w:t>
            </w:r>
          </w:p>
        </w:tc>
      </w:tr>
    </w:tbl>
    <w:p>
      <w:pPr>
        <w:widowControl/>
        <w:spacing w:line="580" w:lineRule="exact"/>
        <w:jc w:val="center"/>
        <w:rPr>
          <w:rFonts w:hint="eastAsia" w:eastAsia="黑体"/>
          <w:bCs/>
        </w:rPr>
      </w:pPr>
    </w:p>
    <w:p>
      <w:pPr>
        <w:widowControl/>
        <w:spacing w:line="580" w:lineRule="exact"/>
        <w:jc w:val="center"/>
        <w:rPr>
          <w:rFonts w:hint="eastAsia" w:ascii="仿宋_GB2312" w:hAnsi="宋体" w:cs="宋体"/>
          <w:bCs/>
        </w:rPr>
      </w:pPr>
    </w:p>
    <w:p>
      <w:pPr>
        <w:widowControl/>
        <w:spacing w:line="580" w:lineRule="exact"/>
        <w:jc w:val="center"/>
        <w:rPr>
          <w:rFonts w:hint="eastAsia" w:ascii="仿宋_GB2312" w:hAnsi="宋体" w:cs="宋体"/>
          <w:bCs/>
        </w:rPr>
      </w:pPr>
    </w:p>
    <w:p>
      <w:pPr>
        <w:widowControl/>
        <w:spacing w:line="580" w:lineRule="exact"/>
        <w:jc w:val="center"/>
        <w:rPr>
          <w:rFonts w:hint="eastAsia" w:eastAsia="黑体"/>
          <w:bCs/>
        </w:rPr>
      </w:pPr>
      <w:r>
        <w:rPr>
          <w:rFonts w:eastAsia="黑体"/>
          <w:bCs/>
        </w:rPr>
        <w:t>第</w:t>
      </w:r>
      <w:r>
        <w:rPr>
          <w:rFonts w:hint="eastAsia" w:eastAsia="黑体"/>
          <w:bCs/>
        </w:rPr>
        <w:t>四</w:t>
      </w:r>
      <w:r>
        <w:rPr>
          <w:rFonts w:eastAsia="黑体"/>
          <w:bCs/>
        </w:rPr>
        <w:t xml:space="preserve">部分  </w:t>
      </w:r>
      <w:r>
        <w:rPr>
          <w:rFonts w:hint="eastAsia" w:eastAsia="黑体"/>
          <w:bCs/>
        </w:rPr>
        <w:t>名词解释</w:t>
      </w:r>
    </w:p>
    <w:p>
      <w:pPr>
        <w:widowControl/>
        <w:spacing w:line="580" w:lineRule="exact"/>
        <w:ind w:firstLine="640" w:firstLineChars="200"/>
        <w:jc w:val="left"/>
        <w:rPr>
          <w:rFonts w:hint="eastAsia" w:ascii="仿宋_GB2312" w:hAnsi="宋体" w:cs="宋体"/>
          <w:bCs/>
        </w:rPr>
      </w:pPr>
    </w:p>
    <w:p>
      <w:pPr>
        <w:ind w:firstLine="640" w:firstLineChars="200"/>
        <w:rPr>
          <w:rFonts w:hint="eastAsia" w:ascii="仿宋_GB2312"/>
          <w:bCs/>
        </w:rPr>
      </w:pPr>
      <w:r>
        <w:rPr>
          <w:rFonts w:hint="eastAsia" w:ascii="仿宋_GB2312" w:hAnsi="宋体" w:cs="宋体"/>
          <w:bCs/>
        </w:rPr>
        <w:t>1、</w:t>
      </w:r>
      <w:r>
        <w:rPr>
          <w:rFonts w:hint="eastAsia" w:ascii="仿宋_GB2312" w:hAnsi="宋体" w:cs="宋体"/>
          <w:bCs/>
          <w:snapToGrid/>
        </w:rPr>
        <w:t>一般公共预算收入：是</w:t>
      </w:r>
      <w:r>
        <w:rPr>
          <w:rFonts w:hint="eastAsia" w:ascii="仿宋_GB2312"/>
          <w:bCs/>
        </w:rPr>
        <w:t>以税收为主体的财政收入，用于安排保障和改善民生、推动经济社会发展、维护国家安全、维持国家机构正常运转等方面。</w:t>
      </w:r>
    </w:p>
    <w:p>
      <w:pPr>
        <w:ind w:firstLine="640" w:firstLineChars="200"/>
        <w:rPr>
          <w:rFonts w:hint="eastAsia" w:ascii="仿宋_GB2312"/>
          <w:bCs/>
        </w:rPr>
      </w:pPr>
      <w:r>
        <w:rPr>
          <w:rFonts w:hint="eastAsia" w:ascii="仿宋_GB2312" w:hAnsi="宋体" w:cs="宋体"/>
          <w:bCs/>
        </w:rPr>
        <w:t>2、行政事业性收费收入</w:t>
      </w:r>
      <w:r>
        <w:rPr>
          <w:rFonts w:hint="eastAsia" w:ascii="仿宋_GB2312" w:hAnsi="宋体" w:cs="宋体"/>
          <w:bCs/>
          <w:snapToGrid/>
        </w:rPr>
        <w:t>：</w:t>
      </w:r>
      <w:r>
        <w:rPr>
          <w:rFonts w:hint="eastAsia" w:ascii="仿宋_GB2312" w:hAnsi="宋体" w:cs="宋体"/>
          <w:bCs/>
        </w:rPr>
        <w:t>指依据法律、</w:t>
      </w:r>
      <w:r>
        <w:rPr>
          <w:rFonts w:hint="eastAsia" w:ascii="仿宋_GB2312" w:hAnsi="宋体" w:cs="宋体"/>
          <w:bCs/>
          <w:lang w:val="en-US" w:eastAsia="zh-CN"/>
        </w:rPr>
        <w:t>行政法规</w:t>
      </w:r>
      <w:r>
        <w:rPr>
          <w:rFonts w:hint="eastAsia" w:ascii="仿宋_GB2312" w:hAnsi="宋体" w:cs="宋体"/>
          <w:bCs/>
        </w:rPr>
        <w:t>、国务院有关规定、国务院</w:t>
      </w:r>
      <w:r>
        <w:rPr>
          <w:rFonts w:hint="eastAsia" w:ascii="仿宋_GB2312" w:hAnsi="宋体" w:cs="宋体"/>
          <w:bCs/>
          <w:lang w:val="en-US" w:eastAsia="zh-CN"/>
        </w:rPr>
        <w:t>财政部</w:t>
      </w:r>
      <w:r>
        <w:rPr>
          <w:rFonts w:hint="eastAsia" w:ascii="仿宋_GB2312" w:hAnsi="宋体" w:cs="宋体"/>
          <w:bCs/>
        </w:rPr>
        <w:t>门会同价格主管部门共同发布的规章或者规定，省、自治区、直辖市人民政府</w:t>
      </w:r>
      <w:r>
        <w:rPr>
          <w:rFonts w:hint="eastAsia" w:ascii="仿宋_GB2312" w:hAnsi="宋体" w:cs="宋体"/>
          <w:bCs/>
          <w:lang w:val="en-US" w:eastAsia="zh-CN"/>
        </w:rPr>
        <w:t>财政部</w:t>
      </w:r>
      <w:r>
        <w:rPr>
          <w:rFonts w:hint="eastAsia" w:ascii="仿宋_GB2312" w:hAnsi="宋体" w:cs="宋体"/>
          <w:bCs/>
        </w:rPr>
        <w:t>门会同价格主管部门共同发布的规定所收取的各项收费收入。</w:t>
      </w:r>
    </w:p>
    <w:p>
      <w:pPr>
        <w:ind w:firstLine="640" w:firstLineChars="200"/>
        <w:rPr>
          <w:rFonts w:hint="eastAsia" w:ascii="仿宋_GB2312"/>
          <w:bCs/>
        </w:rPr>
      </w:pPr>
      <w:r>
        <w:rPr>
          <w:rFonts w:hint="eastAsia" w:ascii="仿宋_GB2312"/>
          <w:bCs/>
        </w:rPr>
        <w:t>3、政府性基金收入</w:t>
      </w:r>
      <w:r>
        <w:rPr>
          <w:rFonts w:hint="eastAsia" w:ascii="仿宋_GB2312" w:hAnsi="宋体" w:cs="宋体"/>
          <w:bCs/>
          <w:snapToGrid/>
        </w:rPr>
        <w:t>：</w:t>
      </w:r>
      <w:r>
        <w:rPr>
          <w:rFonts w:hint="eastAsia" w:ascii="仿宋_GB2312"/>
          <w:bCs/>
        </w:rPr>
        <w:t>是依照法律、</w:t>
      </w:r>
      <w:r>
        <w:rPr>
          <w:rFonts w:hint="eastAsia" w:ascii="仿宋_GB2312"/>
          <w:bCs/>
          <w:lang w:val="en-US" w:eastAsia="zh-CN"/>
        </w:rPr>
        <w:t>行政法规</w:t>
      </w:r>
      <w:r>
        <w:rPr>
          <w:rFonts w:hint="eastAsia" w:ascii="仿宋_GB2312"/>
          <w:bCs/>
        </w:rPr>
        <w:t>的规定在一定期限内向特定对象征收、收取或者以其他方式筹集的资金，专项用于特定公共事业发展。</w:t>
      </w:r>
      <w:r>
        <w:rPr>
          <w:rFonts w:hint="eastAsia" w:ascii="仿宋_GB2312" w:hAnsi="宋体" w:cs="宋体"/>
          <w:bCs/>
          <w:szCs w:val="21"/>
        </w:rPr>
        <w:t>　</w:t>
      </w:r>
    </w:p>
    <w:p>
      <w:pPr>
        <w:ind w:firstLine="640" w:firstLineChars="200"/>
        <w:rPr>
          <w:rFonts w:hint="eastAsia" w:ascii="仿宋_GB2312"/>
          <w:bCs/>
        </w:rPr>
      </w:pPr>
      <w:r>
        <w:rPr>
          <w:rFonts w:hint="eastAsia" w:ascii="仿宋_GB2312" w:hAnsi="宋体" w:cs="宋体"/>
          <w:bCs/>
          <w:szCs w:val="21"/>
        </w:rPr>
        <w:t>4、基本支出</w:t>
      </w:r>
      <w:r>
        <w:rPr>
          <w:rFonts w:hint="eastAsia" w:ascii="仿宋_GB2312" w:hAnsi="宋体" w:cs="宋体"/>
          <w:bCs/>
          <w:snapToGrid/>
        </w:rPr>
        <w:t>：</w:t>
      </w:r>
      <w:r>
        <w:rPr>
          <w:rFonts w:hint="eastAsia" w:ascii="仿宋_GB2312" w:hAnsi="宋体" w:cs="宋体"/>
          <w:bCs/>
          <w:szCs w:val="21"/>
        </w:rPr>
        <w:t>指保障机构正常运转、完成日常工作任务而发生的人员支出和公用支出。</w:t>
      </w:r>
    </w:p>
    <w:p>
      <w:pPr>
        <w:ind w:firstLine="640" w:firstLineChars="200"/>
        <w:rPr>
          <w:rFonts w:hint="eastAsia" w:ascii="仿宋_GB2312" w:hAnsi="宋体" w:cs="宋体"/>
          <w:bCs/>
          <w:szCs w:val="21"/>
        </w:rPr>
      </w:pPr>
      <w:r>
        <w:rPr>
          <w:rFonts w:hint="eastAsia" w:ascii="仿宋_GB2312" w:hAnsi="宋体" w:cs="宋体"/>
          <w:bCs/>
          <w:szCs w:val="21"/>
        </w:rPr>
        <w:t>5、项目支出</w:t>
      </w:r>
      <w:r>
        <w:rPr>
          <w:rFonts w:hint="eastAsia" w:ascii="仿宋_GB2312" w:hAnsi="宋体" w:cs="宋体"/>
          <w:bCs/>
          <w:snapToGrid/>
        </w:rPr>
        <w:t>：</w:t>
      </w:r>
      <w:r>
        <w:rPr>
          <w:rFonts w:hint="eastAsia" w:ascii="仿宋_GB2312" w:hAnsi="宋体" w:cs="宋体"/>
          <w:bCs/>
          <w:szCs w:val="21"/>
        </w:rPr>
        <w:t>指在基本支出之外为完成特定行政任务和事业发展目标所发生的支出。</w:t>
      </w:r>
    </w:p>
    <w:p>
      <w:pPr>
        <w:ind w:firstLine="640" w:firstLineChars="200"/>
        <w:rPr>
          <w:rFonts w:hint="eastAsia" w:ascii="仿宋_GB2312" w:hAnsi="宋体" w:cs="宋体"/>
          <w:bCs/>
          <w:szCs w:val="21"/>
        </w:rPr>
      </w:pPr>
      <w:r>
        <w:rPr>
          <w:rFonts w:hint="eastAsia" w:ascii="仿宋_GB2312" w:hAnsi="宋体" w:cs="宋体"/>
          <w:bCs/>
          <w:szCs w:val="21"/>
        </w:rPr>
        <w:t>6、“三公”经费：包括因公出国（境）费、公务接待费、公务用车购置及运行维护费。</w:t>
      </w:r>
    </w:p>
    <w:p>
      <w:pPr>
        <w:ind w:firstLine="640" w:firstLineChars="200"/>
        <w:rPr>
          <w:rFonts w:hint="eastAsia" w:ascii="仿宋_GB2312" w:hAnsi="宋体" w:cs="宋体"/>
          <w:bCs/>
          <w:szCs w:val="21"/>
        </w:rPr>
      </w:pPr>
      <w:r>
        <w:rPr>
          <w:rFonts w:hint="eastAsia" w:ascii="仿宋_GB2312" w:hAnsi="宋体" w:cs="宋体"/>
          <w:bCs/>
          <w:szCs w:val="21"/>
        </w:rPr>
        <w:t>7、因公出国（境）费用</w:t>
      </w:r>
      <w:r>
        <w:rPr>
          <w:rFonts w:hint="eastAsia" w:ascii="仿宋_GB2312" w:hAnsi="宋体" w:cs="宋体"/>
          <w:bCs/>
          <w:snapToGrid/>
        </w:rPr>
        <w:t>：</w:t>
      </w:r>
      <w:r>
        <w:rPr>
          <w:rFonts w:hint="eastAsia" w:ascii="仿宋_GB2312" w:hAnsi="宋体" w:cs="宋体"/>
          <w:bCs/>
          <w:szCs w:val="21"/>
        </w:rPr>
        <w:t>指单位按照《山东省因公临时出国经费管理实施办法》和《山东省因公短期出国培训费用管理实施办法》开支的公务出国（境）的培训费、国际旅费、国外城市间交通费、住宿费、伙食费、公杂费和其他费用。</w:t>
      </w:r>
    </w:p>
    <w:p>
      <w:pPr>
        <w:ind w:firstLine="640" w:firstLineChars="200"/>
        <w:rPr>
          <w:rFonts w:hint="eastAsia" w:ascii="仿宋_GB2312" w:hAnsi="宋体" w:cs="宋体"/>
          <w:bCs/>
          <w:szCs w:val="21"/>
        </w:rPr>
      </w:pPr>
      <w:r>
        <w:rPr>
          <w:rFonts w:hint="eastAsia" w:ascii="仿宋_GB2312" w:hAnsi="宋体" w:cs="宋体"/>
          <w:bCs/>
          <w:szCs w:val="21"/>
        </w:rPr>
        <w:t>8、公务接待费</w:t>
      </w:r>
      <w:r>
        <w:rPr>
          <w:rFonts w:hint="eastAsia" w:ascii="仿宋_GB2312" w:hAnsi="宋体" w:cs="宋体"/>
          <w:bCs/>
          <w:snapToGrid/>
        </w:rPr>
        <w:t>：</w:t>
      </w:r>
      <w:r>
        <w:rPr>
          <w:rFonts w:hint="eastAsia" w:ascii="仿宋_GB2312" w:hAnsi="宋体" w:cs="宋体"/>
          <w:bCs/>
          <w:szCs w:val="21"/>
        </w:rPr>
        <w:t>指单位按照《荣成市党政机关国内公务接待管理办法》和《荣成市党政机关外宾接待经费管理办法》开支的各类公务接待支出</w:t>
      </w:r>
      <w:bookmarkStart w:id="1" w:name="_GoBack"/>
      <w:bookmarkEnd w:id="1"/>
      <w:r>
        <w:rPr>
          <w:rFonts w:hint="eastAsia" w:ascii="仿宋_GB2312" w:hAnsi="宋体" w:cs="宋体"/>
          <w:bCs/>
          <w:szCs w:val="21"/>
        </w:rPr>
        <w:t>。</w:t>
      </w:r>
    </w:p>
    <w:p>
      <w:pPr>
        <w:ind w:firstLine="640" w:firstLineChars="200"/>
        <w:rPr>
          <w:rFonts w:hint="eastAsia" w:ascii="仿宋_GB2312" w:hAnsi="宋体" w:cs="宋体"/>
          <w:bCs/>
          <w:szCs w:val="21"/>
        </w:rPr>
      </w:pPr>
      <w:r>
        <w:rPr>
          <w:rFonts w:hint="eastAsia" w:ascii="仿宋_GB2312" w:hAnsi="宋体" w:cs="宋体"/>
          <w:bCs/>
          <w:szCs w:val="21"/>
        </w:rPr>
        <w:t>9、公务用车购置及运行费</w:t>
      </w:r>
      <w:r>
        <w:rPr>
          <w:rFonts w:hint="eastAsia" w:ascii="仿宋_GB2312" w:hAnsi="宋体" w:cs="宋体"/>
          <w:bCs/>
          <w:snapToGrid/>
        </w:rPr>
        <w:t>：</w:t>
      </w:r>
      <w:r>
        <w:rPr>
          <w:rFonts w:hint="eastAsia" w:ascii="仿宋_GB2312" w:hAnsi="宋体" w:cs="宋体"/>
          <w:bCs/>
          <w:szCs w:val="21"/>
        </w:rPr>
        <w:t>指单位公务用车购置费及租用费、燃料费、维修费、过路过桥费、保险费、安全奖励费用等支出。公务用车指用于履行公务的机动车辆，包括一般公务用车和执法执勤用车。</w:t>
      </w:r>
    </w:p>
    <w:p>
      <w:pPr>
        <w:widowControl/>
        <w:snapToGrid/>
        <w:spacing w:line="580" w:lineRule="exact"/>
        <w:ind w:firstLine="645"/>
        <w:jc w:val="left"/>
        <w:rPr>
          <w:rFonts w:hint="eastAsia" w:ascii="仿宋_GB2312" w:hAnsi="宋体" w:cs="宋体"/>
          <w:bCs/>
        </w:rPr>
      </w:pPr>
    </w:p>
    <w:p/>
    <w:sectPr>
      <w:headerReference r:id="rId7" w:type="first"/>
      <w:footerReference r:id="rId10" w:type="first"/>
      <w:headerReference r:id="rId5" w:type="default"/>
      <w:footerReference r:id="rId8" w:type="default"/>
      <w:headerReference r:id="rId6" w:type="even"/>
      <w:footerReference r:id="rId9" w:type="even"/>
      <w:pgSz w:w="11906" w:h="16838"/>
      <w:pgMar w:top="2098" w:right="1588" w:bottom="1985" w:left="1588" w:header="0" w:footer="1588"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rPr>
        <w:rFonts w:hint="eastAsia" w:ascii="宋体" w:hAnsi="宋体" w:eastAsia="宋体"/>
        <w:sz w:val="28"/>
        <w:szCs w:val="28"/>
      </w:rPr>
    </w:pPr>
    <w:r>
      <w:rPr>
        <w:rFonts w:ascii="宋体" w:hAnsi="宋体"/>
        <w:sz w:val="28"/>
        <w:szCs w:val="28"/>
      </w:rPr>
      <w:tab/>
    </w:r>
    <w:r>
      <w:rPr>
        <w:rFonts w:ascii="宋体" w:hAnsi="宋体"/>
        <w:sz w:val="28"/>
        <w:szCs w:val="28"/>
      </w:rPr>
      <w:t xml:space="preserve"> </w:t>
    </w:r>
    <w:r>
      <w:rPr>
        <w:rFonts w:ascii="宋体" w:hAnsi="宋体"/>
        <w:sz w:val="28"/>
        <w:szCs w:val="28"/>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宋体" w:hAnsi="宋体" w:eastAsia="宋体"/>
        <w:sz w:val="28"/>
        <w:szCs w:val="28"/>
      </w:rPr>
    </w:pP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14</w:t>
    </w:r>
    <w:r>
      <w:rPr>
        <w:rFonts w:ascii="宋体" w:hAnsi="宋体"/>
        <w:sz w:val="28"/>
        <w:szCs w:val="28"/>
      </w:rPr>
      <w:fldChar w:fldCharType="end"/>
    </w:r>
    <w:r>
      <w:rPr>
        <w:rFonts w:ascii="宋体" w:hAnsi="宋体"/>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I1Mzk2Y2NlNjM1OTcxN2Y4NmE5NTlmNDgyZDMxNGUifQ=="/>
  </w:docVars>
  <w:rsids>
    <w:rsidRoot w:val="181F7BF8"/>
    <w:rsid w:val="05CF2AD8"/>
    <w:rsid w:val="181F7B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jc w:val="both"/>
    </w:pPr>
    <w:rPr>
      <w:rFonts w:ascii="Times New Roman" w:hAnsi="Times New Roman" w:eastAsia="仿宋_GB2312" w:cs="Times New Roman"/>
      <w:snapToGrid w:val="0"/>
      <w:sz w:val="32"/>
      <w:szCs w:val="32"/>
      <w:lang w:val="en-US" w:eastAsia="zh-CN" w:bidi="ar-SA"/>
    </w:rPr>
  </w:style>
  <w:style w:type="character" w:default="1" w:styleId="5">
    <w:name w:val="Default Paragraph Font"/>
    <w:semiHidden/>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unhideWhenUsed/>
    <w:qFormat/>
    <w:uiPriority w:val="0"/>
    <w:pPr>
      <w:tabs>
        <w:tab w:val="center" w:pos="4153"/>
        <w:tab w:val="right" w:pos="8306"/>
      </w:tabs>
      <w:jc w:val="left"/>
    </w:pPr>
    <w:rPr>
      <w:sz w:val="18"/>
      <w:szCs w:val="18"/>
    </w:rPr>
  </w:style>
  <w:style w:type="paragraph" w:styleId="3">
    <w:name w:val="header"/>
    <w:basedOn w:val="1"/>
    <w:unhideWhenUsed/>
    <w:qFormat/>
    <w:uiPriority w:val="0"/>
    <w:pPr>
      <w:pBdr>
        <w:bottom w:val="single" w:color="auto" w:sz="6" w:space="1"/>
      </w:pBdr>
      <w:tabs>
        <w:tab w:val="center" w:pos="4153"/>
        <w:tab w:val="right" w:pos="8306"/>
      </w:tabs>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2024-01-26T05:54:00Z</dcterms:created>
  <dc:creator>Administrator</dc:creator>
  <cp:lastModifiedBy>Administrator</cp:lastModifiedBy>
  <dcterms:modified xsi:type="dcterms:W3CDTF">2024-02-05T01:40:02Z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D62BD89F51074BFC8949E93850F79CC5_11</vt:lpwstr>
  </property>
</Properties>
</file>