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FC7237">
      <w:pPr>
        <w:keepNext w:val="0"/>
        <w:keepLines w:val="0"/>
        <w:widowControl w:val="0"/>
        <w:suppressLineNumbers w:val="0"/>
        <w:spacing w:before="0" w:beforeAutospacing="0" w:after="0" w:afterAutospacing="0" w:line="0" w:lineRule="atLeast"/>
        <w:ind w:left="0" w:right="0"/>
        <w:jc w:val="center"/>
        <w:rPr>
          <w:rFonts w:hint="eastAsia" w:ascii="宋体" w:hAnsi="宋体" w:eastAsia="方正小标宋简体" w:cs="方正小标宋简体"/>
          <w:sz w:val="44"/>
          <w:szCs w:val="44"/>
          <w:lang w:val="en-US"/>
        </w:rPr>
      </w:pPr>
      <w:r>
        <w:rPr>
          <w:rFonts w:hint="eastAsia" w:ascii="宋体" w:hAnsi="宋体" w:eastAsia="方正小标宋简体" w:cs="方正小标宋简体"/>
          <w:kern w:val="2"/>
          <w:sz w:val="44"/>
          <w:szCs w:val="44"/>
          <w:u w:val="single"/>
          <w:lang w:val="en-US" w:eastAsia="zh-CN" w:bidi="ar"/>
        </w:rPr>
        <w:t xml:space="preserve">    荣成市市场监督管理局   </w:t>
      </w:r>
      <w:r>
        <w:rPr>
          <w:rFonts w:hint="eastAsia" w:ascii="宋体" w:hAnsi="宋体" w:eastAsia="方正小标宋简体" w:cs="方正小标宋简体"/>
          <w:kern w:val="2"/>
          <w:sz w:val="44"/>
          <w:szCs w:val="44"/>
          <w:lang w:val="en-US" w:eastAsia="zh-CN" w:bidi="ar"/>
        </w:rPr>
        <w:t>证明事项实施清单</w:t>
      </w:r>
    </w:p>
    <w:p w14:paraId="1521B744">
      <w:pPr>
        <w:keepNext w:val="0"/>
        <w:keepLines w:val="0"/>
        <w:widowControl w:val="0"/>
        <w:suppressLineNumbers w:val="0"/>
        <w:spacing w:before="0" w:beforeAutospacing="0" w:after="0" w:afterAutospacing="0" w:line="0" w:lineRule="atLeast"/>
        <w:ind w:left="0" w:right="0"/>
        <w:jc w:val="center"/>
        <w:rPr>
          <w:rFonts w:hint="eastAsia" w:ascii="黑体" w:hAnsi="黑体" w:eastAsia="黑体" w:cs="黑体"/>
          <w:sz w:val="48"/>
          <w:szCs w:val="48"/>
          <w:lang w:val="en-US"/>
        </w:rPr>
      </w:pPr>
    </w:p>
    <w:tbl>
      <w:tblPr>
        <w:tblStyle w:val="2"/>
        <w:tblW w:w="150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34" w:type="dxa"/>
          <w:bottom w:w="0" w:type="dxa"/>
          <w:right w:w="34" w:type="dxa"/>
        </w:tblCellMar>
      </w:tblPr>
      <w:tblGrid>
        <w:gridCol w:w="920"/>
        <w:gridCol w:w="1467"/>
        <w:gridCol w:w="1825"/>
        <w:gridCol w:w="2232"/>
        <w:gridCol w:w="5587"/>
        <w:gridCol w:w="1671"/>
        <w:gridCol w:w="1374"/>
      </w:tblGrid>
      <w:tr w14:paraId="5DB015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1000" w:hRule="atLeast"/>
          <w:jc w:val="center"/>
        </w:trPr>
        <w:tc>
          <w:tcPr>
            <w:tcW w:w="920" w:type="dxa"/>
            <w:noWrap/>
            <w:vAlign w:val="center"/>
          </w:tcPr>
          <w:p w14:paraId="7E8FC48A">
            <w:pPr>
              <w:widowControl/>
              <w:jc w:val="center"/>
              <w:textAlignment w:val="center"/>
              <w:rPr>
                <w:rFonts w:hint="eastAsia" w:ascii="黑体" w:hAnsi="黑体" w:eastAsia="黑体" w:cs="黑体"/>
                <w:color w:val="000000"/>
                <w:kern w:val="0"/>
                <w:sz w:val="28"/>
                <w:szCs w:val="28"/>
                <w:lang w:eastAsia="zh-CN" w:bidi="ar"/>
              </w:rPr>
            </w:pPr>
            <w:r>
              <w:rPr>
                <w:rFonts w:hint="eastAsia" w:ascii="黑体" w:hAnsi="黑体" w:eastAsia="黑体" w:cs="黑体"/>
                <w:color w:val="000000"/>
                <w:kern w:val="0"/>
                <w:sz w:val="28"/>
                <w:szCs w:val="28"/>
                <w:lang w:eastAsia="zh-CN" w:bidi="ar"/>
              </w:rPr>
              <w:t>序号</w:t>
            </w:r>
          </w:p>
        </w:tc>
        <w:tc>
          <w:tcPr>
            <w:tcW w:w="1467" w:type="dxa"/>
            <w:noWrap w:val="0"/>
            <w:vAlign w:val="center"/>
          </w:tcPr>
          <w:p w14:paraId="10A52F5C">
            <w:pPr>
              <w:widowControl/>
              <w:jc w:val="center"/>
              <w:textAlignment w:val="center"/>
              <w:rPr>
                <w:rFonts w:hint="eastAsia" w:ascii="黑体" w:hAnsi="黑体" w:eastAsia="黑体" w:cs="黑体"/>
                <w:color w:val="000000"/>
                <w:kern w:val="0"/>
                <w:sz w:val="28"/>
                <w:szCs w:val="28"/>
                <w:lang w:eastAsia="zh-CN" w:bidi="ar"/>
              </w:rPr>
            </w:pPr>
            <w:r>
              <w:rPr>
                <w:rFonts w:hint="eastAsia" w:ascii="黑体" w:hAnsi="黑体" w:eastAsia="黑体" w:cs="黑体"/>
                <w:color w:val="000000"/>
                <w:kern w:val="0"/>
                <w:sz w:val="28"/>
                <w:szCs w:val="28"/>
                <w:lang w:eastAsia="zh-CN" w:bidi="ar"/>
              </w:rPr>
              <w:t>部门名称</w:t>
            </w:r>
          </w:p>
        </w:tc>
        <w:tc>
          <w:tcPr>
            <w:tcW w:w="1825" w:type="dxa"/>
            <w:noWrap w:val="0"/>
            <w:vAlign w:val="center"/>
          </w:tcPr>
          <w:p w14:paraId="3A0FB3C1">
            <w:pPr>
              <w:widowControl/>
              <w:jc w:val="center"/>
              <w:textAlignment w:val="center"/>
              <w:rPr>
                <w:rFonts w:hint="eastAsia" w:ascii="黑体" w:hAnsi="黑体" w:eastAsia="黑体" w:cs="黑体"/>
                <w:color w:val="000000"/>
                <w:kern w:val="0"/>
                <w:sz w:val="28"/>
                <w:szCs w:val="28"/>
                <w:lang w:eastAsia="zh-CN" w:bidi="ar"/>
              </w:rPr>
            </w:pPr>
            <w:r>
              <w:rPr>
                <w:rFonts w:hint="eastAsia" w:ascii="黑体" w:hAnsi="黑体" w:eastAsia="黑体" w:cs="黑体"/>
                <w:color w:val="000000"/>
                <w:kern w:val="0"/>
                <w:sz w:val="28"/>
                <w:szCs w:val="28"/>
                <w:lang w:eastAsia="zh-CN" w:bidi="ar"/>
              </w:rPr>
              <w:t>证明事项</w:t>
            </w:r>
          </w:p>
        </w:tc>
        <w:tc>
          <w:tcPr>
            <w:tcW w:w="2232" w:type="dxa"/>
            <w:noWrap w:val="0"/>
            <w:vAlign w:val="center"/>
          </w:tcPr>
          <w:p w14:paraId="36D55E8D">
            <w:pPr>
              <w:widowControl/>
              <w:jc w:val="center"/>
              <w:textAlignment w:val="center"/>
              <w:rPr>
                <w:rFonts w:hint="eastAsia" w:ascii="黑体" w:hAnsi="黑体" w:eastAsia="黑体" w:cs="黑体"/>
                <w:color w:val="000000"/>
                <w:kern w:val="0"/>
                <w:sz w:val="28"/>
                <w:szCs w:val="28"/>
                <w:lang w:eastAsia="zh-CN" w:bidi="ar"/>
              </w:rPr>
            </w:pPr>
            <w:r>
              <w:rPr>
                <w:rFonts w:hint="eastAsia" w:ascii="黑体" w:hAnsi="黑体" w:eastAsia="黑体" w:cs="黑体"/>
                <w:color w:val="000000"/>
                <w:kern w:val="0"/>
                <w:sz w:val="28"/>
                <w:szCs w:val="28"/>
                <w:lang w:eastAsia="zh-CN" w:bidi="ar"/>
              </w:rPr>
              <w:t>政务服务</w:t>
            </w:r>
          </w:p>
          <w:p w14:paraId="6D0F5034">
            <w:pPr>
              <w:widowControl/>
              <w:jc w:val="center"/>
              <w:textAlignment w:val="center"/>
              <w:rPr>
                <w:rFonts w:hint="eastAsia" w:ascii="黑体" w:hAnsi="黑体" w:eastAsia="黑体" w:cs="黑体"/>
                <w:color w:val="000000"/>
                <w:kern w:val="0"/>
                <w:sz w:val="28"/>
                <w:szCs w:val="28"/>
                <w:lang w:eastAsia="zh-CN" w:bidi="ar"/>
              </w:rPr>
            </w:pPr>
            <w:r>
              <w:rPr>
                <w:rFonts w:hint="eastAsia" w:ascii="黑体" w:hAnsi="黑体" w:eastAsia="黑体" w:cs="黑体"/>
                <w:color w:val="000000"/>
                <w:kern w:val="0"/>
                <w:sz w:val="28"/>
                <w:szCs w:val="28"/>
                <w:lang w:eastAsia="zh-CN" w:bidi="ar"/>
              </w:rPr>
              <w:t>事项名称</w:t>
            </w:r>
          </w:p>
        </w:tc>
        <w:tc>
          <w:tcPr>
            <w:tcW w:w="5587" w:type="dxa"/>
            <w:noWrap w:val="0"/>
            <w:vAlign w:val="center"/>
          </w:tcPr>
          <w:p w14:paraId="580AF7F5">
            <w:pPr>
              <w:widowControl/>
              <w:jc w:val="center"/>
              <w:textAlignment w:val="center"/>
              <w:rPr>
                <w:rFonts w:hint="eastAsia" w:ascii="黑体" w:hAnsi="黑体" w:eastAsia="黑体" w:cs="黑体"/>
                <w:color w:val="000000"/>
                <w:kern w:val="0"/>
                <w:sz w:val="28"/>
                <w:szCs w:val="28"/>
                <w:lang w:eastAsia="zh-CN" w:bidi="ar"/>
              </w:rPr>
            </w:pPr>
            <w:r>
              <w:rPr>
                <w:rFonts w:hint="eastAsia" w:ascii="黑体" w:hAnsi="黑体" w:eastAsia="黑体" w:cs="黑体"/>
                <w:color w:val="000000"/>
                <w:kern w:val="0"/>
                <w:sz w:val="28"/>
                <w:szCs w:val="28"/>
                <w:lang w:eastAsia="zh-CN" w:bidi="ar"/>
              </w:rPr>
              <w:t>设定和实施依据</w:t>
            </w:r>
          </w:p>
        </w:tc>
        <w:tc>
          <w:tcPr>
            <w:tcW w:w="1671" w:type="dxa"/>
            <w:noWrap w:val="0"/>
            <w:vAlign w:val="center"/>
          </w:tcPr>
          <w:p w14:paraId="06DCC52B">
            <w:pPr>
              <w:widowControl/>
              <w:snapToGrid w:val="0"/>
              <w:spacing w:line="300" w:lineRule="exact"/>
              <w:jc w:val="center"/>
              <w:textAlignment w:val="center"/>
              <w:rPr>
                <w:rFonts w:hint="eastAsia" w:ascii="黑体" w:hAnsi="黑体" w:eastAsia="黑体" w:cs="黑体"/>
                <w:color w:val="000000"/>
                <w:kern w:val="0"/>
                <w:sz w:val="28"/>
                <w:szCs w:val="28"/>
                <w:lang w:eastAsia="zh-CN" w:bidi="ar"/>
              </w:rPr>
            </w:pPr>
            <w:r>
              <w:rPr>
                <w:rFonts w:hint="eastAsia" w:ascii="黑体" w:hAnsi="黑体" w:eastAsia="黑体" w:cs="黑体"/>
                <w:color w:val="000000"/>
                <w:kern w:val="0"/>
                <w:sz w:val="28"/>
                <w:szCs w:val="28"/>
                <w:lang w:eastAsia="zh-CN" w:bidi="ar"/>
              </w:rPr>
              <w:t>开具单位</w:t>
            </w:r>
          </w:p>
        </w:tc>
        <w:tc>
          <w:tcPr>
            <w:tcW w:w="1374" w:type="dxa"/>
            <w:noWrap/>
            <w:vAlign w:val="center"/>
          </w:tcPr>
          <w:p w14:paraId="51E21C9E">
            <w:pPr>
              <w:jc w:val="center"/>
              <w:rPr>
                <w:rFonts w:hint="eastAsia" w:ascii="黑体" w:hAnsi="黑体" w:eastAsia="黑体" w:cs="黑体"/>
                <w:color w:val="000000"/>
                <w:sz w:val="28"/>
                <w:szCs w:val="28"/>
                <w:lang w:val="en-US" w:eastAsia="zh-CN"/>
              </w:rPr>
            </w:pPr>
            <w:r>
              <w:rPr>
                <w:rFonts w:hint="eastAsia" w:ascii="黑体" w:hAnsi="黑体" w:eastAsia="黑体" w:cs="黑体"/>
                <w:color w:val="000000"/>
                <w:sz w:val="28"/>
                <w:szCs w:val="28"/>
                <w:lang w:val="en-US" w:eastAsia="zh-CN"/>
              </w:rPr>
              <w:t>备注</w:t>
            </w:r>
          </w:p>
        </w:tc>
      </w:tr>
      <w:tr w14:paraId="48E502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3000" w:hRule="atLeast"/>
          <w:jc w:val="center"/>
        </w:trPr>
        <w:tc>
          <w:tcPr>
            <w:tcW w:w="920" w:type="dxa"/>
            <w:noWrap/>
            <w:vAlign w:val="center"/>
          </w:tcPr>
          <w:p w14:paraId="6C59C664">
            <w:pPr>
              <w:widowControl/>
              <w:jc w:val="center"/>
              <w:textAlignment w:val="center"/>
              <w:rPr>
                <w:rFonts w:hint="eastAsia" w:ascii="宋体" w:hAnsi="宋体" w:cs="宋体" w:eastAsiaTheme="minorEastAsia"/>
                <w:color w:val="000000"/>
                <w:sz w:val="24"/>
                <w:lang w:eastAsia="zh-CN"/>
              </w:rPr>
            </w:pPr>
            <w:r>
              <w:rPr>
                <w:rFonts w:hint="eastAsia" w:ascii="宋体" w:hAnsi="宋体" w:cs="宋体"/>
                <w:color w:val="000000"/>
                <w:kern w:val="0"/>
                <w:sz w:val="24"/>
                <w:lang w:val="en-US" w:eastAsia="zh-CN" w:bidi="ar"/>
              </w:rPr>
              <w:t>1</w:t>
            </w:r>
          </w:p>
        </w:tc>
        <w:tc>
          <w:tcPr>
            <w:tcW w:w="1467" w:type="dxa"/>
            <w:noWrap w:val="0"/>
            <w:vAlign w:val="center"/>
          </w:tcPr>
          <w:p w14:paraId="2CFD3597">
            <w:pPr>
              <w:widowControl/>
              <w:jc w:val="center"/>
              <w:textAlignment w:val="center"/>
              <w:rPr>
                <w:rFonts w:hint="eastAsia" w:ascii="宋体" w:hAnsi="宋体" w:cs="宋体" w:eastAsiaTheme="minorEastAsia"/>
                <w:color w:val="000000"/>
                <w:sz w:val="24"/>
                <w:lang w:eastAsia="zh-CN"/>
              </w:rPr>
            </w:pPr>
            <w:r>
              <w:rPr>
                <w:rFonts w:hint="eastAsia" w:ascii="宋体" w:hAnsi="宋体" w:cs="宋体"/>
                <w:color w:val="000000"/>
                <w:kern w:val="0"/>
                <w:sz w:val="24"/>
                <w:lang w:eastAsia="zh-CN" w:bidi="ar"/>
              </w:rPr>
              <w:t>荣成市市场监督管理局</w:t>
            </w:r>
          </w:p>
        </w:tc>
        <w:tc>
          <w:tcPr>
            <w:tcW w:w="1825" w:type="dxa"/>
            <w:noWrap w:val="0"/>
            <w:vAlign w:val="center"/>
          </w:tcPr>
          <w:p w14:paraId="01271BE4">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身份证明或主体资格证明</w:t>
            </w:r>
          </w:p>
        </w:tc>
        <w:tc>
          <w:tcPr>
            <w:tcW w:w="2232" w:type="dxa"/>
            <w:noWrap w:val="0"/>
            <w:vAlign w:val="center"/>
          </w:tcPr>
          <w:p w14:paraId="1BD84FBB">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企业登记注册</w:t>
            </w:r>
          </w:p>
        </w:tc>
        <w:tc>
          <w:tcPr>
            <w:tcW w:w="5587" w:type="dxa"/>
            <w:noWrap w:val="0"/>
            <w:vAlign w:val="center"/>
          </w:tcPr>
          <w:p w14:paraId="139A472A">
            <w:pPr>
              <w:widowControl/>
              <w:textAlignment w:val="center"/>
              <w:rPr>
                <w:rFonts w:hint="eastAsia" w:ascii="宋体" w:hAnsi="宋体" w:cs="宋体"/>
                <w:color w:val="000000"/>
                <w:sz w:val="24"/>
              </w:rPr>
            </w:pPr>
            <w:r>
              <w:rPr>
                <w:rFonts w:hint="eastAsia" w:ascii="宋体" w:hAnsi="宋体" w:cs="宋体"/>
                <w:color w:val="000000"/>
                <w:kern w:val="0"/>
                <w:sz w:val="24"/>
                <w:lang w:bidi="ar"/>
              </w:rPr>
              <w:t>【行政法规】《</w:t>
            </w:r>
            <w:r>
              <w:rPr>
                <w:rFonts w:hint="eastAsia" w:ascii="宋体" w:hAnsi="宋体" w:cs="宋体"/>
                <w:color w:val="000000"/>
                <w:kern w:val="0"/>
                <w:sz w:val="24"/>
                <w:lang w:eastAsia="zh-CN" w:bidi="ar"/>
              </w:rPr>
              <w:t>中华人民共和国市场主体登记管理条例</w:t>
            </w:r>
            <w:r>
              <w:rPr>
                <w:rFonts w:hint="eastAsia" w:ascii="宋体" w:hAnsi="宋体" w:cs="宋体"/>
                <w:color w:val="000000"/>
                <w:kern w:val="0"/>
                <w:sz w:val="24"/>
                <w:lang w:bidi="ar"/>
              </w:rPr>
              <w:t>》（2021年7月27日中华人民共和国国务院令第746号公布）第二条：“本条例所称市场主体，是指在中华人民共和国境内以营利为目的从事经营活动的下列自然人、法人及非法人组织：（一）公司、非公司企业法人及其分支机构；（二）个人独资企业、合伙企业及其分支机构；（五）外国公司分支机构；（六）法律、行政法规规定的其他市场主体。”第十六条第一款：“申请办理市场主体登记，应当提交下列材料：（二）申请人资格文件、自然人身份证明。”</w:t>
            </w:r>
          </w:p>
        </w:tc>
        <w:tc>
          <w:tcPr>
            <w:tcW w:w="1671" w:type="dxa"/>
            <w:noWrap w:val="0"/>
            <w:vAlign w:val="center"/>
          </w:tcPr>
          <w:p w14:paraId="55D48E1A">
            <w:pPr>
              <w:widowControl/>
              <w:snapToGrid w:val="0"/>
              <w:spacing w:line="300" w:lineRule="exact"/>
              <w:textAlignment w:val="center"/>
              <w:rPr>
                <w:rFonts w:hint="eastAsia" w:ascii="宋体" w:hAnsi="宋体" w:cs="宋体"/>
                <w:color w:val="000000"/>
                <w:sz w:val="24"/>
              </w:rPr>
            </w:pPr>
            <w:r>
              <w:rPr>
                <w:rFonts w:hint="eastAsia" w:ascii="宋体" w:hAnsi="宋体" w:cs="宋体"/>
                <w:color w:val="000000"/>
                <w:kern w:val="0"/>
                <w:sz w:val="24"/>
                <w:lang w:bidi="ar"/>
              </w:rPr>
              <w:t>公</w:t>
            </w:r>
            <w:r>
              <w:rPr>
                <w:rFonts w:hint="eastAsia" w:ascii="宋体" w:hAnsi="宋体" w:cs="宋体"/>
                <w:color w:val="000000"/>
                <w:spacing w:val="-11"/>
                <w:kern w:val="0"/>
                <w:sz w:val="24"/>
                <w:lang w:bidi="ar"/>
              </w:rPr>
              <w:t>安部门、市场监管部门、行政审批服务部门、事业单位登记管理部门、民政部门、外国（地区）企业所在国家或者地区有关部门</w:t>
            </w:r>
          </w:p>
        </w:tc>
        <w:tc>
          <w:tcPr>
            <w:tcW w:w="1374" w:type="dxa"/>
            <w:noWrap/>
            <w:vAlign w:val="center"/>
          </w:tcPr>
          <w:p w14:paraId="7F4811BD">
            <w:pPr>
              <w:rPr>
                <w:rFonts w:hint="eastAsia" w:ascii="宋体" w:hAnsi="宋体" w:cs="宋体" w:eastAsiaTheme="minorEastAsia"/>
                <w:color w:val="000000"/>
                <w:sz w:val="24"/>
                <w:lang w:val="en-US" w:eastAsia="zh-CN"/>
              </w:rPr>
            </w:pPr>
          </w:p>
        </w:tc>
      </w:tr>
      <w:tr w14:paraId="157908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4139" w:hRule="atLeast"/>
          <w:jc w:val="center"/>
        </w:trPr>
        <w:tc>
          <w:tcPr>
            <w:tcW w:w="920" w:type="dxa"/>
            <w:noWrap/>
            <w:vAlign w:val="center"/>
          </w:tcPr>
          <w:p w14:paraId="561F9898">
            <w:pPr>
              <w:widowControl/>
              <w:jc w:val="center"/>
              <w:textAlignment w:val="center"/>
              <w:rPr>
                <w:rFonts w:hint="eastAsia" w:ascii="宋体" w:hAnsi="宋体" w:cs="宋体" w:eastAsiaTheme="minorEastAsia"/>
                <w:color w:val="000000"/>
                <w:kern w:val="2"/>
                <w:sz w:val="24"/>
                <w:szCs w:val="24"/>
                <w:lang w:val="en-US" w:eastAsia="zh-CN" w:bidi="ar-SA"/>
              </w:rPr>
            </w:pPr>
            <w:r>
              <w:rPr>
                <w:rFonts w:hint="eastAsia" w:ascii="宋体" w:hAnsi="宋体" w:cs="宋体"/>
                <w:color w:val="000000"/>
                <w:kern w:val="0"/>
                <w:sz w:val="24"/>
                <w:lang w:val="en-US" w:eastAsia="zh-CN" w:bidi="ar"/>
              </w:rPr>
              <w:t>2</w:t>
            </w:r>
          </w:p>
        </w:tc>
        <w:tc>
          <w:tcPr>
            <w:tcW w:w="1467" w:type="dxa"/>
            <w:noWrap w:val="0"/>
            <w:vAlign w:val="center"/>
          </w:tcPr>
          <w:p w14:paraId="110E0A56">
            <w:pPr>
              <w:widowControl/>
              <w:jc w:val="center"/>
              <w:textAlignment w:val="center"/>
              <w:rPr>
                <w:rFonts w:hint="eastAsia" w:ascii="宋体" w:hAnsi="宋体" w:cs="宋体" w:eastAsiaTheme="minorEastAsia"/>
                <w:color w:val="000000"/>
                <w:kern w:val="2"/>
                <w:sz w:val="24"/>
                <w:szCs w:val="24"/>
                <w:lang w:val="en-US" w:eastAsia="zh-CN" w:bidi="ar-SA"/>
              </w:rPr>
            </w:pPr>
            <w:r>
              <w:rPr>
                <w:rFonts w:hint="eastAsia" w:ascii="宋体" w:hAnsi="宋体" w:cs="宋体"/>
                <w:color w:val="000000"/>
                <w:kern w:val="0"/>
                <w:sz w:val="24"/>
                <w:lang w:eastAsia="zh-CN" w:bidi="ar"/>
              </w:rPr>
              <w:t>荣成市市场监督管理局</w:t>
            </w:r>
          </w:p>
        </w:tc>
        <w:tc>
          <w:tcPr>
            <w:tcW w:w="1825" w:type="dxa"/>
            <w:noWrap w:val="0"/>
            <w:vAlign w:val="center"/>
          </w:tcPr>
          <w:p w14:paraId="787DF143">
            <w:pPr>
              <w:widowControl/>
              <w:jc w:val="center"/>
              <w:textAlignment w:val="center"/>
              <w:rPr>
                <w:rFonts w:hint="eastAsia" w:ascii="宋体" w:hAnsi="宋体" w:cs="宋体" w:eastAsiaTheme="minorEastAsia"/>
                <w:color w:val="000000"/>
                <w:kern w:val="2"/>
                <w:sz w:val="24"/>
                <w:szCs w:val="24"/>
                <w:lang w:val="en-US" w:eastAsia="zh-CN" w:bidi="ar-SA"/>
              </w:rPr>
            </w:pPr>
            <w:r>
              <w:rPr>
                <w:rFonts w:hint="eastAsia" w:ascii="宋体" w:hAnsi="宋体" w:cs="宋体"/>
                <w:color w:val="000000"/>
                <w:kern w:val="0"/>
                <w:sz w:val="24"/>
                <w:lang w:bidi="ar"/>
              </w:rPr>
              <w:t>身份证明或主体资格证明</w:t>
            </w:r>
          </w:p>
        </w:tc>
        <w:tc>
          <w:tcPr>
            <w:tcW w:w="2232" w:type="dxa"/>
            <w:noWrap w:val="0"/>
            <w:vAlign w:val="center"/>
          </w:tcPr>
          <w:p w14:paraId="0286A9BE">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股权出质登记</w:t>
            </w:r>
          </w:p>
        </w:tc>
        <w:tc>
          <w:tcPr>
            <w:tcW w:w="5587" w:type="dxa"/>
            <w:noWrap w:val="0"/>
            <w:vAlign w:val="center"/>
          </w:tcPr>
          <w:p w14:paraId="2A465C2D">
            <w:pPr>
              <w:widowControl/>
              <w:textAlignment w:val="center"/>
              <w:rPr>
                <w:rFonts w:hint="eastAsia" w:ascii="宋体" w:hAnsi="宋体" w:cs="宋体"/>
                <w:color w:val="000000"/>
                <w:sz w:val="24"/>
              </w:rPr>
            </w:pPr>
            <w:r>
              <w:rPr>
                <w:rFonts w:hint="eastAsia" w:ascii="宋体" w:hAnsi="宋体" w:cs="宋体"/>
                <w:color w:val="000000"/>
                <w:kern w:val="0"/>
                <w:sz w:val="24"/>
                <w:lang w:bidi="ar"/>
              </w:rPr>
              <w:t>1.【法律】《民法典》（2020年5月28日第十三届全国人民代表大会第三次会议通过）第四百四十三条：“以基金份额、股权出质的，质权自办理出质登记时设立。”</w:t>
            </w:r>
            <w:r>
              <w:rPr>
                <w:rFonts w:hint="eastAsia" w:ascii="宋体" w:hAnsi="宋体" w:cs="宋体"/>
                <w:color w:val="000000"/>
                <w:kern w:val="0"/>
                <w:sz w:val="24"/>
                <w:lang w:bidi="ar"/>
              </w:rPr>
              <w:br w:type="textWrapping"/>
            </w:r>
            <w:r>
              <w:rPr>
                <w:rFonts w:hint="eastAsia" w:ascii="宋体" w:hAnsi="宋体" w:cs="宋体"/>
                <w:color w:val="000000"/>
                <w:kern w:val="0"/>
                <w:sz w:val="24"/>
                <w:lang w:bidi="ar"/>
              </w:rPr>
              <w:t>2.【部门规章】《股权出质登记办法》（2008年9月1日国家工商行政管理总局令第32号公布根据2016年4月29日国家工商行政管理总局令第86号修订根据2020年12月31日国家市场监督管理总局令第34号修改）第七条：“申请股权出质设立登记，应当提交下列材料：（四）出质人、质权人的主体资格证明或者自然人身份证明复印件（出质人、质权人属于自然人的由本人签名，属于法人的加盖法人印章，下同）。”</w:t>
            </w:r>
          </w:p>
        </w:tc>
        <w:tc>
          <w:tcPr>
            <w:tcW w:w="1671" w:type="dxa"/>
            <w:noWrap w:val="0"/>
            <w:vAlign w:val="center"/>
          </w:tcPr>
          <w:p w14:paraId="013862E4">
            <w:pPr>
              <w:widowControl/>
              <w:textAlignment w:val="center"/>
              <w:rPr>
                <w:rFonts w:hint="eastAsia" w:ascii="宋体" w:hAnsi="宋体" w:cs="宋体"/>
                <w:color w:val="000000"/>
                <w:sz w:val="24"/>
              </w:rPr>
            </w:pPr>
            <w:r>
              <w:rPr>
                <w:rFonts w:hint="eastAsia" w:ascii="宋体" w:hAnsi="宋体" w:cs="宋体"/>
                <w:color w:val="000000"/>
                <w:kern w:val="0"/>
                <w:sz w:val="24"/>
                <w:lang w:bidi="ar"/>
              </w:rPr>
              <w:t>公安部门、市场监管部门、行政审批服务部门、事业单位登记管理部门、民政部门、外国（地区）企业所在国家或者地区有关部门</w:t>
            </w:r>
          </w:p>
        </w:tc>
        <w:tc>
          <w:tcPr>
            <w:tcW w:w="1374" w:type="dxa"/>
            <w:noWrap/>
            <w:vAlign w:val="center"/>
          </w:tcPr>
          <w:p w14:paraId="0BBC1484">
            <w:pPr>
              <w:rPr>
                <w:rFonts w:hint="eastAsia" w:ascii="宋体" w:hAnsi="宋体" w:cs="宋体" w:eastAsiaTheme="minorEastAsia"/>
                <w:color w:val="000000"/>
                <w:sz w:val="24"/>
                <w:lang w:eastAsia="zh-CN"/>
              </w:rPr>
            </w:pPr>
            <w:r>
              <w:rPr>
                <w:rFonts w:hint="eastAsia" w:ascii="宋体" w:hAnsi="宋体" w:cs="宋体"/>
                <w:color w:val="000000"/>
                <w:sz w:val="24"/>
                <w:lang w:val="en-US" w:eastAsia="zh-CN"/>
              </w:rPr>
              <w:t xml:space="preserve"> </w:t>
            </w:r>
          </w:p>
        </w:tc>
      </w:tr>
      <w:tr w14:paraId="58280C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2778" w:hRule="atLeast"/>
          <w:jc w:val="center"/>
        </w:trPr>
        <w:tc>
          <w:tcPr>
            <w:tcW w:w="920" w:type="dxa"/>
            <w:noWrap/>
            <w:vAlign w:val="center"/>
          </w:tcPr>
          <w:p w14:paraId="76951BE5">
            <w:pPr>
              <w:widowControl/>
              <w:jc w:val="center"/>
              <w:textAlignment w:val="center"/>
              <w:rPr>
                <w:rFonts w:hint="eastAsia" w:ascii="宋体" w:hAnsi="宋体" w:cs="宋体" w:eastAsiaTheme="minorEastAsia"/>
                <w:color w:val="000000"/>
                <w:sz w:val="24"/>
                <w:lang w:eastAsia="zh-CN"/>
              </w:rPr>
            </w:pPr>
            <w:r>
              <w:rPr>
                <w:rFonts w:hint="eastAsia" w:ascii="宋体" w:hAnsi="宋体" w:cs="宋体"/>
                <w:color w:val="000000"/>
                <w:kern w:val="0"/>
                <w:sz w:val="24"/>
                <w:lang w:val="en-US" w:eastAsia="zh-CN" w:bidi="ar"/>
              </w:rPr>
              <w:t>3</w:t>
            </w:r>
          </w:p>
        </w:tc>
        <w:tc>
          <w:tcPr>
            <w:tcW w:w="1467" w:type="dxa"/>
            <w:noWrap w:val="0"/>
            <w:vAlign w:val="center"/>
          </w:tcPr>
          <w:p w14:paraId="2491D6D1">
            <w:pPr>
              <w:widowControl/>
              <w:jc w:val="center"/>
              <w:textAlignment w:val="center"/>
              <w:rPr>
                <w:rFonts w:hint="eastAsia" w:ascii="宋体" w:hAnsi="宋体" w:cs="宋体"/>
                <w:color w:val="000000"/>
                <w:sz w:val="24"/>
              </w:rPr>
            </w:pPr>
            <w:r>
              <w:rPr>
                <w:rFonts w:hint="eastAsia" w:ascii="宋体" w:hAnsi="宋体" w:cs="宋体"/>
                <w:color w:val="000000"/>
                <w:kern w:val="0"/>
                <w:sz w:val="24"/>
                <w:lang w:eastAsia="zh-CN" w:bidi="ar"/>
              </w:rPr>
              <w:t>荣成市市场监督管理局</w:t>
            </w:r>
          </w:p>
        </w:tc>
        <w:tc>
          <w:tcPr>
            <w:tcW w:w="1825" w:type="dxa"/>
            <w:noWrap w:val="0"/>
            <w:vAlign w:val="center"/>
          </w:tcPr>
          <w:p w14:paraId="0D8306CB">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住所（主要经验场所）使用相关文件</w:t>
            </w:r>
          </w:p>
        </w:tc>
        <w:tc>
          <w:tcPr>
            <w:tcW w:w="2232" w:type="dxa"/>
            <w:noWrap w:val="0"/>
            <w:vAlign w:val="center"/>
          </w:tcPr>
          <w:p w14:paraId="43847B9B">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企业登记注册</w:t>
            </w:r>
          </w:p>
        </w:tc>
        <w:tc>
          <w:tcPr>
            <w:tcW w:w="5587" w:type="dxa"/>
            <w:noWrap w:val="0"/>
            <w:vAlign w:val="center"/>
          </w:tcPr>
          <w:p w14:paraId="37377420">
            <w:pPr>
              <w:widowControl/>
              <w:textAlignment w:val="center"/>
              <w:rPr>
                <w:rFonts w:hint="eastAsia" w:ascii="宋体" w:hAnsi="宋体" w:cs="宋体"/>
                <w:color w:val="000000"/>
                <w:sz w:val="24"/>
              </w:rPr>
            </w:pPr>
            <w:r>
              <w:rPr>
                <w:rFonts w:hint="eastAsia" w:ascii="宋体" w:hAnsi="宋体" w:cs="宋体"/>
                <w:color w:val="000000"/>
                <w:kern w:val="0"/>
                <w:sz w:val="24"/>
                <w:lang w:bidi="ar"/>
              </w:rPr>
              <w:t>【行政法规】《</w:t>
            </w:r>
            <w:r>
              <w:rPr>
                <w:rFonts w:hint="eastAsia" w:ascii="宋体" w:hAnsi="宋体" w:cs="宋体"/>
                <w:color w:val="000000"/>
                <w:kern w:val="0"/>
                <w:sz w:val="24"/>
                <w:lang w:eastAsia="zh-CN" w:bidi="ar"/>
              </w:rPr>
              <w:t>中华人民共和国</w:t>
            </w:r>
            <w:bookmarkStart w:id="0" w:name="_GoBack"/>
            <w:bookmarkEnd w:id="0"/>
            <w:r>
              <w:rPr>
                <w:rFonts w:hint="eastAsia" w:ascii="宋体" w:hAnsi="宋体" w:cs="宋体"/>
                <w:color w:val="000000"/>
                <w:kern w:val="0"/>
                <w:sz w:val="24"/>
                <w:lang w:eastAsia="zh-CN" w:bidi="ar"/>
              </w:rPr>
              <w:t>市场主体登记管理条例</w:t>
            </w:r>
            <w:r>
              <w:rPr>
                <w:rFonts w:hint="eastAsia" w:ascii="宋体" w:hAnsi="宋体" w:cs="宋体"/>
                <w:color w:val="000000"/>
                <w:kern w:val="0"/>
                <w:sz w:val="24"/>
                <w:lang w:bidi="ar"/>
              </w:rPr>
              <w:t>》（2021年7月27日中华人民共和国国务院令第746号公布）第二条：“本条例所称市场主体，是指在中华人民共和国境内以营利为目的从事经营活动的下列自然人、法人及非法人组织：（一）公司、非公司企业法人及其分支机构；（二）个人独资企业、合伙企业及其分支机构；（五）外国公司分支机构；（六）法律、行政法规规定的其他市场主体。”第十六条第一款：“申请办理市场主体登记，应当提交下列材料：（三）住所或者主要经营场所相关文件。”</w:t>
            </w:r>
          </w:p>
        </w:tc>
        <w:tc>
          <w:tcPr>
            <w:tcW w:w="1671" w:type="dxa"/>
            <w:noWrap w:val="0"/>
            <w:vAlign w:val="center"/>
          </w:tcPr>
          <w:p w14:paraId="249A68D8">
            <w:pPr>
              <w:widowControl/>
              <w:textAlignment w:val="center"/>
              <w:rPr>
                <w:rFonts w:hint="eastAsia" w:ascii="宋体" w:hAnsi="宋体" w:cs="宋体"/>
                <w:color w:val="000000"/>
                <w:sz w:val="24"/>
              </w:rPr>
            </w:pPr>
            <w:r>
              <w:rPr>
                <w:rFonts w:hint="eastAsia" w:ascii="宋体" w:hAnsi="宋体" w:cs="宋体"/>
                <w:color w:val="000000"/>
                <w:kern w:val="0"/>
                <w:sz w:val="24"/>
                <w:lang w:bidi="ar"/>
              </w:rPr>
              <w:t>不动产登记管理部门等</w:t>
            </w:r>
          </w:p>
        </w:tc>
        <w:tc>
          <w:tcPr>
            <w:tcW w:w="1374" w:type="dxa"/>
            <w:noWrap/>
            <w:vAlign w:val="center"/>
          </w:tcPr>
          <w:p w14:paraId="2E51265F">
            <w:pPr>
              <w:rPr>
                <w:rFonts w:hint="eastAsia" w:ascii="宋体" w:hAnsi="宋体" w:cs="宋体" w:eastAsiaTheme="minorEastAsia"/>
                <w:color w:val="000000"/>
                <w:sz w:val="24"/>
                <w:lang w:eastAsia="zh-CN"/>
              </w:rPr>
            </w:pPr>
            <w:r>
              <w:rPr>
                <w:rFonts w:hint="eastAsia" w:ascii="宋体" w:hAnsi="宋体" w:cs="宋体"/>
                <w:color w:val="000000"/>
                <w:sz w:val="24"/>
                <w:lang w:val="en-US" w:eastAsia="zh-CN"/>
              </w:rPr>
              <w:t xml:space="preserve"> </w:t>
            </w:r>
          </w:p>
        </w:tc>
      </w:tr>
      <w:tr w14:paraId="2E73C5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2744" w:hRule="atLeast"/>
          <w:jc w:val="center"/>
        </w:trPr>
        <w:tc>
          <w:tcPr>
            <w:tcW w:w="920" w:type="dxa"/>
            <w:noWrap/>
            <w:vAlign w:val="center"/>
          </w:tcPr>
          <w:p w14:paraId="57B84404">
            <w:pPr>
              <w:widowControl/>
              <w:jc w:val="center"/>
              <w:textAlignment w:val="center"/>
              <w:rPr>
                <w:rFonts w:hint="eastAsia" w:ascii="宋体" w:hAnsi="宋体" w:cs="宋体" w:eastAsiaTheme="minorEastAsia"/>
                <w:color w:val="000000"/>
                <w:sz w:val="24"/>
                <w:lang w:eastAsia="zh-CN"/>
              </w:rPr>
            </w:pPr>
            <w:r>
              <w:rPr>
                <w:rFonts w:hint="eastAsia" w:ascii="宋体" w:hAnsi="宋体" w:cs="宋体"/>
                <w:color w:val="000000"/>
                <w:kern w:val="0"/>
                <w:sz w:val="24"/>
                <w:lang w:val="en-US" w:eastAsia="zh-CN" w:bidi="ar"/>
              </w:rPr>
              <w:t>4</w:t>
            </w:r>
          </w:p>
        </w:tc>
        <w:tc>
          <w:tcPr>
            <w:tcW w:w="1467" w:type="dxa"/>
            <w:noWrap w:val="0"/>
            <w:vAlign w:val="center"/>
          </w:tcPr>
          <w:p w14:paraId="25164516">
            <w:pPr>
              <w:widowControl/>
              <w:jc w:val="center"/>
              <w:textAlignment w:val="center"/>
              <w:rPr>
                <w:rFonts w:hint="eastAsia" w:ascii="宋体" w:hAnsi="宋体" w:cs="宋体"/>
                <w:color w:val="000000"/>
                <w:sz w:val="24"/>
              </w:rPr>
            </w:pPr>
            <w:r>
              <w:rPr>
                <w:rFonts w:hint="eastAsia" w:ascii="宋体" w:hAnsi="宋体" w:cs="宋体"/>
                <w:color w:val="000000"/>
                <w:kern w:val="0"/>
                <w:sz w:val="24"/>
                <w:lang w:eastAsia="zh-CN" w:bidi="ar"/>
              </w:rPr>
              <w:t>荣成市市场监督管理局</w:t>
            </w:r>
          </w:p>
        </w:tc>
        <w:tc>
          <w:tcPr>
            <w:tcW w:w="1825" w:type="dxa"/>
            <w:noWrap w:val="0"/>
            <w:vAlign w:val="center"/>
          </w:tcPr>
          <w:p w14:paraId="378CE474">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有关批准文件或者许可证件</w:t>
            </w:r>
          </w:p>
        </w:tc>
        <w:tc>
          <w:tcPr>
            <w:tcW w:w="2232" w:type="dxa"/>
            <w:noWrap w:val="0"/>
            <w:vAlign w:val="center"/>
          </w:tcPr>
          <w:p w14:paraId="5A96A9E5">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企业登记注册</w:t>
            </w:r>
          </w:p>
        </w:tc>
        <w:tc>
          <w:tcPr>
            <w:tcW w:w="5587" w:type="dxa"/>
            <w:noWrap w:val="0"/>
            <w:vAlign w:val="center"/>
          </w:tcPr>
          <w:p w14:paraId="1B1B5C28">
            <w:pPr>
              <w:widowControl/>
              <w:textAlignment w:val="center"/>
              <w:rPr>
                <w:rFonts w:hint="eastAsia" w:ascii="宋体" w:hAnsi="宋体" w:cs="宋体"/>
                <w:color w:val="000000"/>
                <w:sz w:val="24"/>
              </w:rPr>
            </w:pPr>
            <w:r>
              <w:rPr>
                <w:rFonts w:hint="eastAsia" w:ascii="宋体" w:hAnsi="宋体" w:cs="宋体"/>
                <w:color w:val="000000"/>
                <w:kern w:val="0"/>
                <w:sz w:val="24"/>
                <w:lang w:bidi="ar"/>
              </w:rPr>
              <w:t>【行政法规】《</w:t>
            </w:r>
            <w:r>
              <w:rPr>
                <w:rFonts w:hint="eastAsia" w:ascii="宋体" w:hAnsi="宋体" w:cs="宋体"/>
                <w:color w:val="000000"/>
                <w:kern w:val="0"/>
                <w:sz w:val="24"/>
                <w:lang w:eastAsia="zh-CN" w:bidi="ar"/>
              </w:rPr>
              <w:t>中华人民共和国市场主体登记管理条例</w:t>
            </w:r>
            <w:r>
              <w:rPr>
                <w:rFonts w:hint="eastAsia" w:ascii="宋体" w:hAnsi="宋体" w:cs="宋体"/>
                <w:color w:val="000000"/>
                <w:kern w:val="0"/>
                <w:sz w:val="24"/>
                <w:lang w:bidi="ar"/>
              </w:rPr>
              <w:t>》（2021年7月27日中华人民共和国国务院令第746号公布）第二条：“本条例所称市场主体，是指在中华人民共和国境内以营利为目的从事经营活动的下列自然人、法人及非法人组织：（一）公司、非公司企业法人及其分支机构；（二）个人独资企业、合伙企业及其分支机构；（五）外国公司分支机构；（六）法律、行政法规规定的其他市场主体。”第十四条：“市场主体的经营范围包括一般经营项目和许可经营项目。经营范围中属于在登记前依法须经批准的许可经营项目，市场主体应当在申请登记时提交有关批准文件。”</w:t>
            </w:r>
          </w:p>
        </w:tc>
        <w:tc>
          <w:tcPr>
            <w:tcW w:w="1671" w:type="dxa"/>
            <w:noWrap w:val="0"/>
            <w:vAlign w:val="center"/>
          </w:tcPr>
          <w:p w14:paraId="6538189D">
            <w:pPr>
              <w:widowControl/>
              <w:textAlignment w:val="center"/>
              <w:rPr>
                <w:rFonts w:hint="eastAsia" w:ascii="宋体" w:hAnsi="宋体" w:cs="宋体"/>
                <w:color w:val="000000"/>
                <w:sz w:val="24"/>
              </w:rPr>
            </w:pPr>
            <w:r>
              <w:rPr>
                <w:rFonts w:hint="eastAsia" w:ascii="宋体" w:hAnsi="宋体" w:cs="宋体"/>
                <w:color w:val="000000"/>
                <w:kern w:val="0"/>
                <w:sz w:val="24"/>
                <w:lang w:bidi="ar"/>
              </w:rPr>
              <w:t>相关审批部门</w:t>
            </w:r>
          </w:p>
        </w:tc>
        <w:tc>
          <w:tcPr>
            <w:tcW w:w="1374" w:type="dxa"/>
            <w:noWrap/>
            <w:vAlign w:val="center"/>
          </w:tcPr>
          <w:p w14:paraId="454F8196">
            <w:pPr>
              <w:rPr>
                <w:rFonts w:hint="eastAsia" w:ascii="宋体" w:hAnsi="宋体" w:cs="宋体" w:eastAsiaTheme="minorEastAsia"/>
                <w:color w:val="000000"/>
                <w:sz w:val="24"/>
                <w:lang w:eastAsia="zh-CN"/>
              </w:rPr>
            </w:pPr>
            <w:r>
              <w:rPr>
                <w:rFonts w:hint="eastAsia" w:ascii="宋体" w:hAnsi="宋体" w:cs="宋体"/>
                <w:color w:val="000000"/>
                <w:sz w:val="24"/>
                <w:lang w:val="en-US" w:eastAsia="zh-CN"/>
              </w:rPr>
              <w:t xml:space="preserve"> </w:t>
            </w:r>
          </w:p>
        </w:tc>
      </w:tr>
      <w:tr w14:paraId="6E9CAA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2154" w:hRule="atLeast"/>
          <w:jc w:val="center"/>
        </w:trPr>
        <w:tc>
          <w:tcPr>
            <w:tcW w:w="920" w:type="dxa"/>
            <w:noWrap/>
            <w:vAlign w:val="center"/>
          </w:tcPr>
          <w:p w14:paraId="0E7617A5">
            <w:pPr>
              <w:widowControl/>
              <w:jc w:val="center"/>
              <w:textAlignment w:val="center"/>
              <w:rPr>
                <w:rFonts w:hint="eastAsia" w:ascii="宋体" w:hAnsi="宋体" w:cs="宋体" w:eastAsiaTheme="minorEastAsia"/>
                <w:color w:val="000000"/>
                <w:sz w:val="24"/>
                <w:lang w:eastAsia="zh-CN"/>
              </w:rPr>
            </w:pPr>
            <w:r>
              <w:rPr>
                <w:rFonts w:hint="eastAsia" w:ascii="宋体" w:hAnsi="宋体" w:cs="宋体"/>
                <w:color w:val="000000"/>
                <w:kern w:val="0"/>
                <w:sz w:val="24"/>
                <w:lang w:val="en-US" w:eastAsia="zh-CN" w:bidi="ar"/>
              </w:rPr>
              <w:t>5</w:t>
            </w:r>
          </w:p>
        </w:tc>
        <w:tc>
          <w:tcPr>
            <w:tcW w:w="1467" w:type="dxa"/>
            <w:noWrap w:val="0"/>
            <w:vAlign w:val="center"/>
          </w:tcPr>
          <w:p w14:paraId="0C5D6EC0">
            <w:pPr>
              <w:widowControl/>
              <w:jc w:val="center"/>
              <w:textAlignment w:val="center"/>
              <w:rPr>
                <w:rFonts w:hint="eastAsia" w:ascii="宋体" w:hAnsi="宋体" w:cs="宋体"/>
                <w:color w:val="000000"/>
                <w:sz w:val="24"/>
              </w:rPr>
            </w:pPr>
            <w:r>
              <w:rPr>
                <w:rFonts w:hint="eastAsia" w:ascii="宋体" w:hAnsi="宋体" w:cs="宋体"/>
                <w:color w:val="000000"/>
                <w:kern w:val="0"/>
                <w:sz w:val="24"/>
                <w:lang w:eastAsia="zh-CN" w:bidi="ar"/>
              </w:rPr>
              <w:t>荣成市市场监督管理局</w:t>
            </w:r>
          </w:p>
        </w:tc>
        <w:tc>
          <w:tcPr>
            <w:tcW w:w="1825" w:type="dxa"/>
            <w:noWrap w:val="0"/>
            <w:vAlign w:val="center"/>
          </w:tcPr>
          <w:p w14:paraId="2B499275">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国务院证券监督管理机构的核准文件</w:t>
            </w:r>
          </w:p>
        </w:tc>
        <w:tc>
          <w:tcPr>
            <w:tcW w:w="2232" w:type="dxa"/>
            <w:noWrap w:val="0"/>
            <w:vAlign w:val="center"/>
          </w:tcPr>
          <w:p w14:paraId="41224A95">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企业登记注册</w:t>
            </w:r>
          </w:p>
        </w:tc>
        <w:tc>
          <w:tcPr>
            <w:tcW w:w="5587" w:type="dxa"/>
            <w:noWrap w:val="0"/>
            <w:vAlign w:val="center"/>
          </w:tcPr>
          <w:p w14:paraId="69749816">
            <w:pPr>
              <w:widowControl/>
              <w:textAlignment w:val="center"/>
              <w:rPr>
                <w:rFonts w:hint="eastAsia" w:ascii="宋体" w:hAnsi="宋体" w:cs="宋体"/>
                <w:color w:val="000000"/>
                <w:sz w:val="24"/>
              </w:rPr>
            </w:pPr>
            <w:r>
              <w:rPr>
                <w:rFonts w:hint="eastAsia" w:ascii="宋体" w:hAnsi="宋体" w:cs="宋体"/>
                <w:color w:val="000000"/>
                <w:kern w:val="0"/>
                <w:sz w:val="24"/>
                <w:lang w:bidi="ar"/>
              </w:rPr>
              <w:t>1.【行政法规】《</w:t>
            </w:r>
            <w:r>
              <w:rPr>
                <w:rFonts w:hint="eastAsia" w:ascii="宋体" w:hAnsi="宋体" w:cs="宋体"/>
                <w:color w:val="000000"/>
                <w:kern w:val="0"/>
                <w:sz w:val="24"/>
                <w:lang w:eastAsia="zh-CN" w:bidi="ar"/>
              </w:rPr>
              <w:t>中华人民共和国市场主体登记管理条例</w:t>
            </w:r>
            <w:r>
              <w:rPr>
                <w:rFonts w:hint="eastAsia" w:ascii="宋体" w:hAnsi="宋体" w:cs="宋体"/>
                <w:color w:val="000000"/>
                <w:kern w:val="0"/>
                <w:sz w:val="24"/>
                <w:lang w:bidi="ar"/>
              </w:rPr>
              <w:t>》（2021年7月27日中华人民共和国国务院令第746号公布）第十六条第一款：“申请办理市场主体登记，应当提交下列材料：（五）法律、行政法规和国务院市场监督管理部门规定提交的其他材料。”</w:t>
            </w:r>
            <w:r>
              <w:rPr>
                <w:rFonts w:hint="eastAsia" w:ascii="宋体" w:hAnsi="宋体" w:cs="宋体"/>
                <w:color w:val="000000"/>
                <w:kern w:val="0"/>
                <w:sz w:val="24"/>
                <w:lang w:bidi="ar"/>
              </w:rPr>
              <w:br w:type="textWrapping"/>
            </w:r>
            <w:r>
              <w:rPr>
                <w:rFonts w:hint="eastAsia" w:ascii="宋体" w:hAnsi="宋体" w:cs="宋体"/>
                <w:color w:val="000000"/>
                <w:kern w:val="0"/>
                <w:sz w:val="24"/>
                <w:lang w:bidi="ar"/>
              </w:rPr>
              <w:t>2.【部门规章】《</w:t>
            </w:r>
            <w:r>
              <w:rPr>
                <w:rFonts w:hint="eastAsia" w:ascii="宋体" w:hAnsi="宋体" w:cs="宋体"/>
                <w:color w:val="000000"/>
                <w:kern w:val="0"/>
                <w:sz w:val="24"/>
                <w:lang w:eastAsia="zh-CN" w:bidi="ar"/>
              </w:rPr>
              <w:t>中华人民共和国市场主体登记管理条例</w:t>
            </w:r>
            <w:r>
              <w:rPr>
                <w:rFonts w:hint="eastAsia" w:ascii="宋体" w:hAnsi="宋体" w:cs="宋体"/>
                <w:color w:val="000000"/>
                <w:kern w:val="0"/>
                <w:sz w:val="24"/>
                <w:lang w:bidi="ar"/>
              </w:rPr>
              <w:t>实施细则》（2022年3月1日公布）第二十六条第二款：“公开发行股票的，还应当提交国务院证券监督管理机构的核准或者注册文件。”</w:t>
            </w:r>
          </w:p>
        </w:tc>
        <w:tc>
          <w:tcPr>
            <w:tcW w:w="1671" w:type="dxa"/>
            <w:noWrap w:val="0"/>
            <w:vAlign w:val="center"/>
          </w:tcPr>
          <w:p w14:paraId="03D955B0">
            <w:pPr>
              <w:widowControl/>
              <w:textAlignment w:val="center"/>
              <w:rPr>
                <w:rFonts w:hint="eastAsia" w:ascii="宋体" w:hAnsi="宋体" w:cs="宋体"/>
                <w:color w:val="000000"/>
                <w:sz w:val="24"/>
              </w:rPr>
            </w:pPr>
            <w:r>
              <w:rPr>
                <w:rFonts w:hint="eastAsia" w:ascii="宋体" w:hAnsi="宋体" w:cs="宋体"/>
                <w:color w:val="000000"/>
                <w:kern w:val="0"/>
                <w:sz w:val="24"/>
                <w:lang w:bidi="ar"/>
              </w:rPr>
              <w:t>国务院证券监督管理机构</w:t>
            </w:r>
          </w:p>
        </w:tc>
        <w:tc>
          <w:tcPr>
            <w:tcW w:w="1374" w:type="dxa"/>
            <w:noWrap/>
            <w:vAlign w:val="center"/>
          </w:tcPr>
          <w:p w14:paraId="43AFE93F">
            <w:pPr>
              <w:rPr>
                <w:rFonts w:hint="eastAsia" w:ascii="宋体" w:hAnsi="宋体" w:cs="宋体"/>
                <w:color w:val="000000"/>
                <w:sz w:val="24"/>
              </w:rPr>
            </w:pPr>
            <w:r>
              <w:rPr>
                <w:rFonts w:hint="eastAsia" w:ascii="宋体" w:hAnsi="宋体" w:cs="宋体"/>
                <w:color w:val="000000"/>
                <w:sz w:val="24"/>
              </w:rPr>
              <w:t>有前置许可要求的企业需提供。</w:t>
            </w:r>
          </w:p>
        </w:tc>
      </w:tr>
      <w:tr w14:paraId="56BEBE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2744" w:hRule="atLeast"/>
          <w:jc w:val="center"/>
        </w:trPr>
        <w:tc>
          <w:tcPr>
            <w:tcW w:w="920" w:type="dxa"/>
            <w:noWrap/>
            <w:vAlign w:val="center"/>
          </w:tcPr>
          <w:p w14:paraId="22935D0D">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6</w:t>
            </w:r>
          </w:p>
        </w:tc>
        <w:tc>
          <w:tcPr>
            <w:tcW w:w="1467" w:type="dxa"/>
            <w:noWrap w:val="0"/>
            <w:vAlign w:val="center"/>
          </w:tcPr>
          <w:p w14:paraId="2D0165C6">
            <w:pPr>
              <w:widowControl/>
              <w:jc w:val="center"/>
              <w:textAlignment w:val="center"/>
              <w:rPr>
                <w:rFonts w:hint="eastAsia" w:ascii="宋体" w:hAnsi="宋体" w:cs="宋体"/>
                <w:color w:val="000000"/>
                <w:sz w:val="24"/>
              </w:rPr>
            </w:pPr>
            <w:r>
              <w:rPr>
                <w:rFonts w:hint="eastAsia" w:ascii="宋体" w:hAnsi="宋体" w:cs="宋体"/>
                <w:color w:val="000000"/>
                <w:kern w:val="0"/>
                <w:sz w:val="24"/>
                <w:lang w:eastAsia="zh-CN" w:bidi="ar"/>
              </w:rPr>
              <w:t>荣成市市场监督管理局</w:t>
            </w:r>
          </w:p>
        </w:tc>
        <w:tc>
          <w:tcPr>
            <w:tcW w:w="1825" w:type="dxa"/>
            <w:noWrap w:val="0"/>
            <w:vAlign w:val="center"/>
          </w:tcPr>
          <w:p w14:paraId="658C4D65">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报纸刊登公告证明</w:t>
            </w:r>
          </w:p>
        </w:tc>
        <w:tc>
          <w:tcPr>
            <w:tcW w:w="2232" w:type="dxa"/>
            <w:noWrap w:val="0"/>
            <w:vAlign w:val="center"/>
          </w:tcPr>
          <w:p w14:paraId="02192F3A">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企业登记注册</w:t>
            </w:r>
          </w:p>
        </w:tc>
        <w:tc>
          <w:tcPr>
            <w:tcW w:w="5587" w:type="dxa"/>
            <w:noWrap w:val="0"/>
            <w:vAlign w:val="center"/>
          </w:tcPr>
          <w:p w14:paraId="4624C3D6">
            <w:pPr>
              <w:widowControl/>
              <w:textAlignment w:val="center"/>
              <w:rPr>
                <w:rFonts w:hint="eastAsia" w:ascii="宋体" w:hAnsi="宋体" w:cs="宋体"/>
                <w:color w:val="000000"/>
                <w:sz w:val="24"/>
              </w:rPr>
            </w:pPr>
            <w:r>
              <w:rPr>
                <w:rFonts w:hint="eastAsia" w:ascii="宋体" w:hAnsi="宋体" w:cs="宋体"/>
                <w:color w:val="000000"/>
                <w:kern w:val="0"/>
                <w:sz w:val="24"/>
                <w:lang w:bidi="ar"/>
              </w:rPr>
              <w:t>1.【行政法规】《</w:t>
            </w:r>
            <w:r>
              <w:rPr>
                <w:rFonts w:hint="eastAsia" w:ascii="宋体" w:hAnsi="宋体" w:cs="宋体"/>
                <w:color w:val="000000"/>
                <w:kern w:val="0"/>
                <w:sz w:val="24"/>
                <w:lang w:eastAsia="zh-CN" w:bidi="ar"/>
              </w:rPr>
              <w:t>中华人民共和国市场主体登记管理条例</w:t>
            </w:r>
            <w:r>
              <w:rPr>
                <w:rFonts w:hint="eastAsia" w:ascii="宋体" w:hAnsi="宋体" w:cs="宋体"/>
                <w:color w:val="000000"/>
                <w:kern w:val="0"/>
                <w:sz w:val="24"/>
                <w:lang w:bidi="ar"/>
              </w:rPr>
              <w:t>》（2021年7月27日中华人民共和国国务院令第746号公布）第十六条第一款：“申请办理市场主体登记，应当提交下列材料：（五）法律、行政法规和国务院市场监督管理部门规定提交的其他材料。”</w:t>
            </w:r>
            <w:r>
              <w:rPr>
                <w:rFonts w:hint="eastAsia" w:ascii="宋体" w:hAnsi="宋体" w:cs="宋体"/>
                <w:color w:val="000000"/>
                <w:kern w:val="0"/>
                <w:sz w:val="24"/>
                <w:lang w:bidi="ar"/>
              </w:rPr>
              <w:br w:type="textWrapping"/>
            </w:r>
            <w:r>
              <w:rPr>
                <w:rFonts w:hint="eastAsia" w:ascii="宋体" w:hAnsi="宋体" w:cs="宋体"/>
                <w:color w:val="000000"/>
                <w:kern w:val="0"/>
                <w:sz w:val="24"/>
                <w:lang w:bidi="ar"/>
              </w:rPr>
              <w:t>2.【文件】《市场监管总局关于印发&lt;市场主体登记文书规范&gt;&lt;市场主体登记提交材料规范&gt;的通知》（国市监注发〔2022〕24号）“减少注册资本的,提交在报纸上刊登公司减少注册资本公告样报和公司债务清偿或者债务担保情况的说明。因合并（分立）申请设立、变更或注销登记的公司,除按照本规范提交设立、变更或注销登记材料外，还应当提交以下材料：通过报纸公告的提交刊登公告的报纸样张。”</w:t>
            </w:r>
          </w:p>
        </w:tc>
        <w:tc>
          <w:tcPr>
            <w:tcW w:w="1671" w:type="dxa"/>
            <w:noWrap w:val="0"/>
            <w:vAlign w:val="center"/>
          </w:tcPr>
          <w:p w14:paraId="138B0528">
            <w:pPr>
              <w:widowControl/>
              <w:textAlignment w:val="center"/>
              <w:rPr>
                <w:rFonts w:hint="eastAsia" w:ascii="宋体" w:hAnsi="宋体" w:cs="宋体"/>
                <w:color w:val="000000"/>
                <w:sz w:val="24"/>
              </w:rPr>
            </w:pPr>
            <w:r>
              <w:rPr>
                <w:rFonts w:hint="eastAsia" w:ascii="宋体" w:hAnsi="宋体" w:cs="宋体"/>
                <w:color w:val="000000"/>
                <w:kern w:val="0"/>
                <w:sz w:val="24"/>
                <w:lang w:bidi="ar"/>
              </w:rPr>
              <w:t>依法公开发行报纸的出版单位</w:t>
            </w:r>
          </w:p>
        </w:tc>
        <w:tc>
          <w:tcPr>
            <w:tcW w:w="1374" w:type="dxa"/>
            <w:noWrap/>
            <w:vAlign w:val="center"/>
          </w:tcPr>
          <w:p w14:paraId="4DEFEC52">
            <w:pPr>
              <w:rPr>
                <w:rFonts w:hint="eastAsia" w:ascii="宋体" w:hAnsi="宋体" w:cs="宋体" w:eastAsiaTheme="minorEastAsia"/>
                <w:color w:val="000000"/>
                <w:sz w:val="24"/>
                <w:lang w:eastAsia="zh-CN"/>
              </w:rPr>
            </w:pPr>
            <w:r>
              <w:rPr>
                <w:rFonts w:hint="eastAsia" w:ascii="宋体" w:hAnsi="宋体" w:cs="宋体"/>
                <w:color w:val="000000"/>
                <w:sz w:val="24"/>
                <w:lang w:val="en-US" w:eastAsia="zh-CN"/>
              </w:rPr>
              <w:t xml:space="preserve"> </w:t>
            </w:r>
          </w:p>
        </w:tc>
      </w:tr>
      <w:tr w14:paraId="3ACA81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2563" w:hRule="atLeast"/>
          <w:jc w:val="center"/>
        </w:trPr>
        <w:tc>
          <w:tcPr>
            <w:tcW w:w="920" w:type="dxa"/>
            <w:noWrap/>
            <w:vAlign w:val="center"/>
          </w:tcPr>
          <w:p w14:paraId="169BBAF7">
            <w:pPr>
              <w:widowControl/>
              <w:jc w:val="center"/>
              <w:textAlignment w:val="center"/>
              <w:rPr>
                <w:rFonts w:hint="eastAsia" w:ascii="宋体" w:hAnsi="宋体" w:cs="宋体" w:eastAsiaTheme="minorEastAsia"/>
                <w:color w:val="000000"/>
                <w:sz w:val="24"/>
                <w:lang w:eastAsia="zh-CN"/>
              </w:rPr>
            </w:pPr>
            <w:r>
              <w:rPr>
                <w:rFonts w:hint="eastAsia" w:ascii="宋体" w:hAnsi="宋体" w:cs="宋体"/>
                <w:color w:val="000000"/>
                <w:kern w:val="0"/>
                <w:sz w:val="24"/>
                <w:lang w:val="en-US" w:eastAsia="zh-CN" w:bidi="ar"/>
              </w:rPr>
              <w:t>7</w:t>
            </w:r>
          </w:p>
        </w:tc>
        <w:tc>
          <w:tcPr>
            <w:tcW w:w="1467" w:type="dxa"/>
            <w:noWrap w:val="0"/>
            <w:vAlign w:val="center"/>
          </w:tcPr>
          <w:p w14:paraId="64F22091">
            <w:pPr>
              <w:widowControl/>
              <w:jc w:val="center"/>
              <w:textAlignment w:val="center"/>
              <w:rPr>
                <w:rFonts w:hint="eastAsia" w:ascii="宋体" w:hAnsi="宋体" w:cs="宋体"/>
                <w:color w:val="000000"/>
                <w:sz w:val="24"/>
              </w:rPr>
            </w:pPr>
            <w:r>
              <w:rPr>
                <w:rFonts w:hint="eastAsia" w:ascii="宋体" w:hAnsi="宋体" w:cs="宋体"/>
                <w:color w:val="000000"/>
                <w:kern w:val="0"/>
                <w:sz w:val="24"/>
                <w:lang w:eastAsia="zh-CN" w:bidi="ar"/>
              </w:rPr>
              <w:t>荣成市市场监督管理局</w:t>
            </w:r>
          </w:p>
        </w:tc>
        <w:tc>
          <w:tcPr>
            <w:tcW w:w="1825" w:type="dxa"/>
            <w:noWrap w:val="0"/>
            <w:vAlign w:val="center"/>
          </w:tcPr>
          <w:p w14:paraId="1BE6671D">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清税证明</w:t>
            </w:r>
          </w:p>
        </w:tc>
        <w:tc>
          <w:tcPr>
            <w:tcW w:w="2232" w:type="dxa"/>
            <w:noWrap w:val="0"/>
            <w:vAlign w:val="center"/>
          </w:tcPr>
          <w:p w14:paraId="78D10C67">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企业登记注册</w:t>
            </w:r>
          </w:p>
        </w:tc>
        <w:tc>
          <w:tcPr>
            <w:tcW w:w="5587" w:type="dxa"/>
            <w:noWrap w:val="0"/>
            <w:vAlign w:val="center"/>
          </w:tcPr>
          <w:p w14:paraId="42466518">
            <w:pPr>
              <w:widowControl/>
              <w:textAlignment w:val="center"/>
              <w:rPr>
                <w:rFonts w:hint="eastAsia" w:ascii="宋体" w:hAnsi="宋体" w:cs="宋体"/>
                <w:color w:val="000000"/>
                <w:sz w:val="24"/>
              </w:rPr>
            </w:pPr>
            <w:r>
              <w:rPr>
                <w:rFonts w:hint="eastAsia" w:ascii="宋体" w:hAnsi="宋体" w:cs="宋体"/>
                <w:color w:val="000000"/>
                <w:kern w:val="0"/>
                <w:sz w:val="24"/>
                <w:lang w:bidi="ar"/>
              </w:rPr>
              <w:t>1.【行政法规】《</w:t>
            </w:r>
            <w:r>
              <w:rPr>
                <w:rFonts w:hint="eastAsia" w:ascii="宋体" w:hAnsi="宋体" w:cs="宋体"/>
                <w:color w:val="000000"/>
                <w:kern w:val="0"/>
                <w:sz w:val="24"/>
                <w:lang w:eastAsia="zh-CN" w:bidi="ar"/>
              </w:rPr>
              <w:t>中华人民共和国市场主体登记管理条例</w:t>
            </w:r>
            <w:r>
              <w:rPr>
                <w:rFonts w:hint="eastAsia" w:ascii="宋体" w:hAnsi="宋体" w:cs="宋体"/>
                <w:color w:val="000000"/>
                <w:kern w:val="0"/>
                <w:sz w:val="24"/>
                <w:lang w:bidi="ar"/>
              </w:rPr>
              <w:t>》（2021年7月27日中华人民共和国国务院令第746号公布）第十六条第一款：“申请办理市场主体登记，应当提交下列材料：（五）法律、行政法规和国务院市场监督管理部门规定提交的其他材料。”</w:t>
            </w:r>
            <w:r>
              <w:rPr>
                <w:rFonts w:hint="eastAsia" w:ascii="宋体" w:hAnsi="宋体" w:cs="宋体"/>
                <w:color w:val="000000"/>
                <w:kern w:val="0"/>
                <w:sz w:val="24"/>
                <w:lang w:bidi="ar"/>
              </w:rPr>
              <w:br w:type="textWrapping"/>
            </w:r>
            <w:r>
              <w:rPr>
                <w:rFonts w:hint="eastAsia" w:ascii="宋体" w:hAnsi="宋体" w:cs="宋体"/>
                <w:color w:val="000000"/>
                <w:kern w:val="0"/>
                <w:sz w:val="24"/>
                <w:lang w:bidi="ar"/>
              </w:rPr>
              <w:t>2.【部门规章】《</w:t>
            </w:r>
            <w:r>
              <w:rPr>
                <w:rFonts w:hint="eastAsia" w:ascii="宋体" w:hAnsi="宋体" w:cs="宋体"/>
                <w:color w:val="000000"/>
                <w:kern w:val="0"/>
                <w:sz w:val="24"/>
                <w:lang w:eastAsia="zh-CN" w:bidi="ar"/>
              </w:rPr>
              <w:t>中华人民共和国市场主体登记管理条例</w:t>
            </w:r>
            <w:r>
              <w:rPr>
                <w:rFonts w:hint="eastAsia" w:ascii="宋体" w:hAnsi="宋体" w:cs="宋体"/>
                <w:color w:val="000000"/>
                <w:kern w:val="0"/>
                <w:sz w:val="24"/>
                <w:lang w:bidi="ar"/>
              </w:rPr>
              <w:t>实施细则》（2022年3月1日公布）第四十六条：“申请办理注销登记，应当提交下列材料：（四）税务部门出具的清税证明。”</w:t>
            </w:r>
          </w:p>
        </w:tc>
        <w:tc>
          <w:tcPr>
            <w:tcW w:w="1671" w:type="dxa"/>
            <w:noWrap w:val="0"/>
            <w:vAlign w:val="center"/>
          </w:tcPr>
          <w:p w14:paraId="2BED63B7">
            <w:pPr>
              <w:widowControl/>
              <w:textAlignment w:val="center"/>
              <w:rPr>
                <w:rFonts w:hint="eastAsia" w:ascii="宋体" w:hAnsi="宋体" w:cs="宋体"/>
                <w:color w:val="000000"/>
                <w:sz w:val="24"/>
              </w:rPr>
            </w:pPr>
            <w:r>
              <w:rPr>
                <w:rFonts w:hint="eastAsia" w:ascii="宋体" w:hAnsi="宋体" w:cs="宋体"/>
                <w:color w:val="000000"/>
                <w:kern w:val="0"/>
                <w:sz w:val="24"/>
                <w:lang w:bidi="ar"/>
              </w:rPr>
              <w:t>税务部门</w:t>
            </w:r>
          </w:p>
        </w:tc>
        <w:tc>
          <w:tcPr>
            <w:tcW w:w="1374" w:type="dxa"/>
            <w:noWrap/>
            <w:vAlign w:val="center"/>
          </w:tcPr>
          <w:p w14:paraId="5D4C313C">
            <w:pPr>
              <w:rPr>
                <w:rFonts w:hint="eastAsia" w:ascii="宋体" w:hAnsi="宋体" w:cs="宋体" w:eastAsiaTheme="minorEastAsia"/>
                <w:color w:val="000000"/>
                <w:sz w:val="24"/>
                <w:lang w:eastAsia="zh-CN"/>
              </w:rPr>
            </w:pPr>
          </w:p>
        </w:tc>
      </w:tr>
      <w:tr w14:paraId="6CA1D1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2744" w:hRule="atLeast"/>
          <w:jc w:val="center"/>
        </w:trPr>
        <w:tc>
          <w:tcPr>
            <w:tcW w:w="920" w:type="dxa"/>
            <w:noWrap/>
            <w:vAlign w:val="center"/>
          </w:tcPr>
          <w:p w14:paraId="572C72E2">
            <w:pPr>
              <w:widowControl/>
              <w:jc w:val="center"/>
              <w:textAlignment w:val="center"/>
              <w:rPr>
                <w:rFonts w:hint="eastAsia" w:ascii="宋体" w:hAnsi="宋体" w:cs="宋体" w:eastAsiaTheme="minorEastAsia"/>
                <w:color w:val="000000"/>
                <w:sz w:val="24"/>
                <w:lang w:eastAsia="zh-CN"/>
              </w:rPr>
            </w:pPr>
            <w:r>
              <w:rPr>
                <w:rFonts w:hint="eastAsia" w:ascii="宋体" w:hAnsi="宋体" w:cs="宋体"/>
                <w:color w:val="000000"/>
                <w:kern w:val="0"/>
                <w:sz w:val="24"/>
                <w:lang w:val="en-US" w:eastAsia="zh-CN" w:bidi="ar"/>
              </w:rPr>
              <w:t>8</w:t>
            </w:r>
          </w:p>
        </w:tc>
        <w:tc>
          <w:tcPr>
            <w:tcW w:w="1467" w:type="dxa"/>
            <w:noWrap w:val="0"/>
            <w:vAlign w:val="center"/>
          </w:tcPr>
          <w:p w14:paraId="6A6A9E94">
            <w:pPr>
              <w:widowControl/>
              <w:jc w:val="center"/>
              <w:textAlignment w:val="center"/>
              <w:rPr>
                <w:rFonts w:hint="eastAsia" w:ascii="宋体" w:hAnsi="宋体" w:cs="宋体"/>
                <w:color w:val="000000"/>
                <w:sz w:val="24"/>
              </w:rPr>
            </w:pPr>
            <w:r>
              <w:rPr>
                <w:rFonts w:hint="eastAsia" w:ascii="宋体" w:hAnsi="宋体" w:cs="宋体"/>
                <w:color w:val="000000"/>
                <w:kern w:val="0"/>
                <w:sz w:val="24"/>
                <w:lang w:eastAsia="zh-CN" w:bidi="ar"/>
              </w:rPr>
              <w:t>荣成市市场监督管理局</w:t>
            </w:r>
          </w:p>
        </w:tc>
        <w:tc>
          <w:tcPr>
            <w:tcW w:w="1825" w:type="dxa"/>
            <w:noWrap w:val="0"/>
            <w:vAlign w:val="center"/>
          </w:tcPr>
          <w:p w14:paraId="3C14ABEC">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职业资格证明</w:t>
            </w:r>
          </w:p>
        </w:tc>
        <w:tc>
          <w:tcPr>
            <w:tcW w:w="2232" w:type="dxa"/>
            <w:noWrap w:val="0"/>
            <w:vAlign w:val="center"/>
          </w:tcPr>
          <w:p w14:paraId="796EE147">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企业登记注册</w:t>
            </w:r>
          </w:p>
        </w:tc>
        <w:tc>
          <w:tcPr>
            <w:tcW w:w="5587" w:type="dxa"/>
            <w:noWrap w:val="0"/>
            <w:vAlign w:val="center"/>
          </w:tcPr>
          <w:p w14:paraId="1F95501D">
            <w:pPr>
              <w:widowControl/>
              <w:textAlignment w:val="center"/>
              <w:rPr>
                <w:rFonts w:hint="eastAsia" w:ascii="宋体" w:hAnsi="宋体" w:cs="宋体"/>
                <w:color w:val="000000"/>
                <w:sz w:val="24"/>
              </w:rPr>
            </w:pPr>
            <w:r>
              <w:rPr>
                <w:rFonts w:hint="eastAsia" w:ascii="宋体" w:hAnsi="宋体" w:cs="宋体"/>
                <w:color w:val="000000"/>
                <w:kern w:val="0"/>
                <w:sz w:val="24"/>
                <w:lang w:bidi="ar"/>
              </w:rPr>
              <w:t>1.【行政法规】《</w:t>
            </w:r>
            <w:r>
              <w:rPr>
                <w:rFonts w:hint="eastAsia" w:ascii="宋体" w:hAnsi="宋体" w:cs="宋体"/>
                <w:color w:val="000000"/>
                <w:kern w:val="0"/>
                <w:sz w:val="24"/>
                <w:lang w:eastAsia="zh-CN" w:bidi="ar"/>
              </w:rPr>
              <w:t>中华人民共和国市场主体登记管理条例</w:t>
            </w:r>
            <w:r>
              <w:rPr>
                <w:rFonts w:hint="eastAsia" w:ascii="宋体" w:hAnsi="宋体" w:cs="宋体"/>
                <w:color w:val="000000"/>
                <w:kern w:val="0"/>
                <w:sz w:val="24"/>
                <w:lang w:bidi="ar"/>
              </w:rPr>
              <w:t>》（2021年7月27日中华人民共和国国务院令第746号公布）第十六条第一款：“申请办理市场主体登记，应当提交下列材料：（五）法律、行政法规和国务院市场监督管理部门规定提交的其他材料。”</w:t>
            </w:r>
            <w:r>
              <w:rPr>
                <w:rFonts w:hint="eastAsia" w:ascii="宋体" w:hAnsi="宋体" w:cs="宋体"/>
                <w:color w:val="000000"/>
                <w:kern w:val="0"/>
                <w:sz w:val="24"/>
                <w:lang w:bidi="ar"/>
              </w:rPr>
              <w:br w:type="textWrapping"/>
            </w:r>
            <w:r>
              <w:rPr>
                <w:rFonts w:hint="eastAsia" w:ascii="宋体" w:hAnsi="宋体" w:cs="宋体"/>
                <w:color w:val="000000"/>
                <w:kern w:val="0"/>
                <w:sz w:val="24"/>
                <w:lang w:bidi="ar"/>
              </w:rPr>
              <w:t>2.【部门规章】《</w:t>
            </w:r>
            <w:r>
              <w:rPr>
                <w:rFonts w:hint="eastAsia" w:ascii="宋体" w:hAnsi="宋体" w:cs="宋体"/>
                <w:color w:val="000000"/>
                <w:kern w:val="0"/>
                <w:sz w:val="24"/>
                <w:lang w:eastAsia="zh-CN" w:bidi="ar"/>
              </w:rPr>
              <w:t>中华人民共和国市场主体登记管理条例</w:t>
            </w:r>
            <w:r>
              <w:rPr>
                <w:rFonts w:hint="eastAsia" w:ascii="宋体" w:hAnsi="宋体" w:cs="宋体"/>
                <w:color w:val="000000"/>
                <w:kern w:val="0"/>
                <w:sz w:val="24"/>
                <w:lang w:bidi="ar"/>
              </w:rPr>
              <w:t>实施细则》（2022年3月1日公布）第二十八条：“申请设立合伙企业，还应当提交下列材料：（一）法律、行政法规规定设立特殊的普通合伙企业需要提交合伙人的职业资格文件的，提交相应材料。”</w:t>
            </w:r>
          </w:p>
        </w:tc>
        <w:tc>
          <w:tcPr>
            <w:tcW w:w="1671" w:type="dxa"/>
            <w:noWrap w:val="0"/>
            <w:vAlign w:val="center"/>
          </w:tcPr>
          <w:p w14:paraId="40CDFB3D">
            <w:pPr>
              <w:widowControl/>
              <w:textAlignment w:val="center"/>
              <w:rPr>
                <w:rFonts w:hint="eastAsia" w:ascii="宋体" w:hAnsi="宋体" w:cs="宋体"/>
                <w:color w:val="000000"/>
                <w:sz w:val="24"/>
              </w:rPr>
            </w:pPr>
            <w:r>
              <w:rPr>
                <w:rFonts w:hint="eastAsia" w:ascii="宋体" w:hAnsi="宋体" w:cs="宋体"/>
                <w:color w:val="000000"/>
                <w:kern w:val="0"/>
                <w:sz w:val="24"/>
                <w:lang w:bidi="ar"/>
              </w:rPr>
              <w:t>职业资格证书颁发部门</w:t>
            </w:r>
          </w:p>
        </w:tc>
        <w:tc>
          <w:tcPr>
            <w:tcW w:w="1374" w:type="dxa"/>
            <w:noWrap/>
            <w:vAlign w:val="center"/>
          </w:tcPr>
          <w:p w14:paraId="1EF29356">
            <w:pPr>
              <w:rPr>
                <w:rFonts w:hint="eastAsia" w:ascii="宋体" w:hAnsi="宋体" w:cs="宋体" w:eastAsiaTheme="minorEastAsia"/>
                <w:color w:val="000000"/>
                <w:sz w:val="24"/>
                <w:lang w:eastAsia="zh-CN"/>
              </w:rPr>
            </w:pPr>
            <w:r>
              <w:rPr>
                <w:rFonts w:hint="eastAsia" w:ascii="宋体" w:hAnsi="宋体" w:cs="宋体"/>
                <w:color w:val="000000"/>
                <w:sz w:val="24"/>
                <w:lang w:val="en-US" w:eastAsia="zh-CN"/>
              </w:rPr>
              <w:t xml:space="preserve"> </w:t>
            </w:r>
          </w:p>
        </w:tc>
      </w:tr>
      <w:tr w14:paraId="1C14E6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4139" w:hRule="atLeast"/>
          <w:jc w:val="center"/>
        </w:trPr>
        <w:tc>
          <w:tcPr>
            <w:tcW w:w="920" w:type="dxa"/>
            <w:noWrap/>
            <w:vAlign w:val="center"/>
          </w:tcPr>
          <w:p w14:paraId="553B991D">
            <w:pPr>
              <w:widowControl/>
              <w:jc w:val="center"/>
              <w:textAlignment w:val="center"/>
              <w:rPr>
                <w:rFonts w:hint="eastAsia" w:ascii="宋体" w:hAnsi="宋体" w:cs="宋体" w:eastAsiaTheme="minorEastAsia"/>
                <w:color w:val="000000"/>
                <w:sz w:val="24"/>
                <w:lang w:eastAsia="zh-CN"/>
              </w:rPr>
            </w:pPr>
            <w:r>
              <w:rPr>
                <w:rFonts w:hint="eastAsia" w:ascii="宋体" w:hAnsi="宋体" w:cs="宋体"/>
                <w:color w:val="000000"/>
                <w:kern w:val="0"/>
                <w:sz w:val="24"/>
                <w:lang w:val="en-US" w:eastAsia="zh-CN" w:bidi="ar"/>
              </w:rPr>
              <w:t>9</w:t>
            </w:r>
          </w:p>
        </w:tc>
        <w:tc>
          <w:tcPr>
            <w:tcW w:w="1467" w:type="dxa"/>
            <w:noWrap w:val="0"/>
            <w:vAlign w:val="center"/>
          </w:tcPr>
          <w:p w14:paraId="58E40DB5">
            <w:pPr>
              <w:widowControl/>
              <w:jc w:val="center"/>
              <w:textAlignment w:val="center"/>
              <w:rPr>
                <w:rFonts w:hint="eastAsia" w:ascii="宋体" w:hAnsi="宋体" w:cs="宋体"/>
                <w:color w:val="000000"/>
                <w:sz w:val="24"/>
              </w:rPr>
            </w:pPr>
            <w:r>
              <w:rPr>
                <w:rFonts w:hint="eastAsia" w:ascii="宋体" w:hAnsi="宋体" w:cs="宋体"/>
                <w:color w:val="000000"/>
                <w:kern w:val="0"/>
                <w:sz w:val="24"/>
                <w:lang w:eastAsia="zh-CN" w:bidi="ar"/>
              </w:rPr>
              <w:t>荣成市市场监督管理局</w:t>
            </w:r>
          </w:p>
        </w:tc>
        <w:tc>
          <w:tcPr>
            <w:tcW w:w="1825" w:type="dxa"/>
            <w:noWrap w:val="0"/>
            <w:vAlign w:val="center"/>
          </w:tcPr>
          <w:p w14:paraId="47274A3D">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名称（姓名）变更证明</w:t>
            </w:r>
          </w:p>
        </w:tc>
        <w:tc>
          <w:tcPr>
            <w:tcW w:w="2232" w:type="dxa"/>
            <w:noWrap w:val="0"/>
            <w:vAlign w:val="center"/>
          </w:tcPr>
          <w:p w14:paraId="52A04203">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企业登记注册</w:t>
            </w:r>
          </w:p>
        </w:tc>
        <w:tc>
          <w:tcPr>
            <w:tcW w:w="5587" w:type="dxa"/>
            <w:noWrap w:val="0"/>
            <w:vAlign w:val="center"/>
          </w:tcPr>
          <w:p w14:paraId="419345B9">
            <w:pPr>
              <w:widowControl/>
              <w:textAlignment w:val="center"/>
              <w:rPr>
                <w:rFonts w:hint="eastAsia" w:ascii="宋体" w:hAnsi="宋体" w:cs="宋体"/>
                <w:color w:val="000000"/>
                <w:sz w:val="24"/>
              </w:rPr>
            </w:pPr>
            <w:r>
              <w:rPr>
                <w:rFonts w:hint="eastAsia" w:ascii="宋体" w:hAnsi="宋体" w:cs="宋体"/>
                <w:color w:val="000000"/>
                <w:kern w:val="0"/>
                <w:sz w:val="24"/>
                <w:lang w:bidi="ar"/>
              </w:rPr>
              <w:t>1.【行政法规】《</w:t>
            </w:r>
            <w:r>
              <w:rPr>
                <w:rFonts w:hint="eastAsia" w:ascii="宋体" w:hAnsi="宋体" w:cs="宋体"/>
                <w:color w:val="000000"/>
                <w:kern w:val="0"/>
                <w:sz w:val="24"/>
                <w:lang w:eastAsia="zh-CN" w:bidi="ar"/>
              </w:rPr>
              <w:t>中华人民共和国市场主体登记管理条例</w:t>
            </w:r>
            <w:r>
              <w:rPr>
                <w:rFonts w:hint="eastAsia" w:ascii="宋体" w:hAnsi="宋体" w:cs="宋体"/>
                <w:color w:val="000000"/>
                <w:kern w:val="0"/>
                <w:sz w:val="24"/>
                <w:lang w:bidi="ar"/>
              </w:rPr>
              <w:t>》（2021年7月27日中华人民共和国国务院令第746号公布）第十六条第一款：“申请办理市场主体登记，应当提交下列材料：（五）法律、行政法规和国务院市场监督管理部门规定提交的其他材料。”</w:t>
            </w:r>
            <w:r>
              <w:rPr>
                <w:rFonts w:hint="eastAsia" w:ascii="宋体" w:hAnsi="宋体" w:cs="宋体"/>
                <w:color w:val="000000"/>
                <w:kern w:val="0"/>
                <w:sz w:val="24"/>
                <w:lang w:bidi="ar"/>
              </w:rPr>
              <w:br w:type="textWrapping"/>
            </w:r>
            <w:r>
              <w:rPr>
                <w:rFonts w:hint="eastAsia" w:ascii="宋体" w:hAnsi="宋体" w:cs="宋体"/>
                <w:color w:val="000000"/>
                <w:kern w:val="0"/>
                <w:sz w:val="24"/>
                <w:lang w:bidi="ar"/>
              </w:rPr>
              <w:t>2.【文件】《市场监管总局关于印发&lt;市场主体登记文书规范&gt;&lt;市场主体登记提交材料规范&gt;的通知》（国市监注发〔2022〕24号）：“变更登记提交材料规范”“变更股东或发起人名称或姓名的，提交股东或发起人名称或姓名变更证明。”</w:t>
            </w:r>
          </w:p>
        </w:tc>
        <w:tc>
          <w:tcPr>
            <w:tcW w:w="1671" w:type="dxa"/>
            <w:noWrap w:val="0"/>
            <w:vAlign w:val="center"/>
          </w:tcPr>
          <w:p w14:paraId="752B2678">
            <w:pPr>
              <w:widowControl/>
              <w:textAlignment w:val="center"/>
              <w:rPr>
                <w:rFonts w:hint="eastAsia" w:ascii="宋体" w:hAnsi="宋体" w:cs="宋体"/>
                <w:color w:val="000000"/>
                <w:sz w:val="24"/>
              </w:rPr>
            </w:pPr>
            <w:r>
              <w:rPr>
                <w:rFonts w:hint="eastAsia" w:ascii="宋体" w:hAnsi="宋体" w:cs="宋体"/>
                <w:color w:val="000000"/>
                <w:kern w:val="0"/>
                <w:sz w:val="24"/>
                <w:lang w:bidi="ar"/>
              </w:rPr>
              <w:t>公安部门、市场监管部门、行政审批服务部门、事业单位登记管理部门、民政部门、外国（地区）企业所在国家或者地区有关部门</w:t>
            </w:r>
          </w:p>
        </w:tc>
        <w:tc>
          <w:tcPr>
            <w:tcW w:w="1374" w:type="dxa"/>
            <w:noWrap/>
            <w:vAlign w:val="center"/>
          </w:tcPr>
          <w:p w14:paraId="63CC7B99">
            <w:pPr>
              <w:rPr>
                <w:rFonts w:hint="eastAsia" w:ascii="宋体" w:hAnsi="宋体" w:cs="宋体" w:eastAsiaTheme="minorEastAsia"/>
                <w:color w:val="000000"/>
                <w:sz w:val="24"/>
                <w:lang w:eastAsia="zh-CN"/>
              </w:rPr>
            </w:pPr>
            <w:r>
              <w:rPr>
                <w:rFonts w:hint="eastAsia" w:ascii="宋体" w:hAnsi="宋体" w:cs="宋体"/>
                <w:color w:val="000000"/>
                <w:sz w:val="24"/>
                <w:lang w:val="en-US" w:eastAsia="zh-CN"/>
              </w:rPr>
              <w:t xml:space="preserve"> </w:t>
            </w:r>
          </w:p>
        </w:tc>
      </w:tr>
      <w:tr w14:paraId="23925E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4139" w:hRule="atLeast"/>
          <w:jc w:val="center"/>
        </w:trPr>
        <w:tc>
          <w:tcPr>
            <w:tcW w:w="920" w:type="dxa"/>
            <w:noWrap/>
            <w:vAlign w:val="center"/>
          </w:tcPr>
          <w:p w14:paraId="05850731">
            <w:pPr>
              <w:widowControl/>
              <w:jc w:val="center"/>
              <w:textAlignment w:val="center"/>
              <w:rPr>
                <w:rFonts w:hint="default" w:ascii="宋体" w:hAnsi="宋体" w:cs="宋体" w:eastAsiaTheme="minorEastAsia"/>
                <w:color w:val="000000"/>
                <w:sz w:val="24"/>
                <w:lang w:val="en-US" w:eastAsia="zh-CN"/>
              </w:rPr>
            </w:pPr>
            <w:r>
              <w:rPr>
                <w:rFonts w:hint="eastAsia" w:ascii="宋体" w:hAnsi="宋体" w:cs="宋体"/>
                <w:color w:val="000000"/>
                <w:kern w:val="0"/>
                <w:sz w:val="24"/>
                <w:lang w:val="en-US" w:eastAsia="zh-CN" w:bidi="ar"/>
              </w:rPr>
              <w:t>10</w:t>
            </w:r>
          </w:p>
        </w:tc>
        <w:tc>
          <w:tcPr>
            <w:tcW w:w="1467" w:type="dxa"/>
            <w:noWrap w:val="0"/>
            <w:vAlign w:val="center"/>
          </w:tcPr>
          <w:p w14:paraId="233EF62A">
            <w:pPr>
              <w:widowControl/>
              <w:jc w:val="center"/>
              <w:textAlignment w:val="center"/>
              <w:rPr>
                <w:rFonts w:hint="eastAsia" w:ascii="宋体" w:hAnsi="宋体" w:cs="宋体"/>
                <w:color w:val="000000"/>
                <w:sz w:val="24"/>
              </w:rPr>
            </w:pPr>
            <w:r>
              <w:rPr>
                <w:rFonts w:hint="eastAsia" w:ascii="宋体" w:hAnsi="宋体" w:cs="宋体"/>
                <w:color w:val="000000"/>
                <w:kern w:val="0"/>
                <w:sz w:val="24"/>
                <w:lang w:eastAsia="zh-CN" w:bidi="ar"/>
              </w:rPr>
              <w:t>荣成市市场监督管理局</w:t>
            </w:r>
          </w:p>
        </w:tc>
        <w:tc>
          <w:tcPr>
            <w:tcW w:w="1825" w:type="dxa"/>
            <w:noWrap w:val="0"/>
            <w:vAlign w:val="center"/>
          </w:tcPr>
          <w:p w14:paraId="0586E202">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住所（经营场所）使用证明</w:t>
            </w:r>
          </w:p>
        </w:tc>
        <w:tc>
          <w:tcPr>
            <w:tcW w:w="2232" w:type="dxa"/>
            <w:noWrap w:val="0"/>
            <w:vAlign w:val="center"/>
          </w:tcPr>
          <w:p w14:paraId="79270AAB">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外国（地区）企业在中国境内从事生产经营活动核准</w:t>
            </w:r>
          </w:p>
        </w:tc>
        <w:tc>
          <w:tcPr>
            <w:tcW w:w="5587" w:type="dxa"/>
            <w:noWrap w:val="0"/>
            <w:vAlign w:val="center"/>
          </w:tcPr>
          <w:p w14:paraId="7BD74017">
            <w:pPr>
              <w:widowControl/>
              <w:snapToGrid w:val="0"/>
              <w:spacing w:line="280" w:lineRule="exact"/>
              <w:textAlignment w:val="center"/>
              <w:rPr>
                <w:rFonts w:hint="eastAsia" w:ascii="宋体" w:hAnsi="宋体" w:cs="宋体"/>
                <w:color w:val="000000"/>
                <w:sz w:val="24"/>
              </w:rPr>
            </w:pPr>
            <w:r>
              <w:rPr>
                <w:rFonts w:hint="eastAsia" w:ascii="宋体" w:hAnsi="宋体" w:cs="宋体"/>
                <w:color w:val="000000"/>
                <w:kern w:val="0"/>
                <w:sz w:val="24"/>
                <w:lang w:bidi="ar"/>
              </w:rPr>
              <w:t>1.【行政法规】《</w:t>
            </w:r>
            <w:r>
              <w:rPr>
                <w:rFonts w:hint="eastAsia" w:ascii="宋体" w:hAnsi="宋体" w:cs="宋体"/>
                <w:color w:val="000000"/>
                <w:kern w:val="0"/>
                <w:sz w:val="24"/>
                <w:lang w:eastAsia="zh-CN" w:bidi="ar"/>
              </w:rPr>
              <w:t>中华人民共和国市场主体登记管理条例</w:t>
            </w:r>
            <w:r>
              <w:rPr>
                <w:rFonts w:hint="eastAsia" w:ascii="宋体" w:hAnsi="宋体" w:cs="宋体"/>
                <w:color w:val="000000"/>
                <w:kern w:val="0"/>
                <w:sz w:val="24"/>
                <w:lang w:bidi="ar"/>
              </w:rPr>
              <w:t>》（2021年7月27日中华人民共和国国务院令第746号公布）第二条：“本条例所称市场主体，是指在中华人民共和国境内以营利为目的从事经营活动的下列自然人、法人及非法人组织：（五）外国公司分支机构；第十六条第一款：“申请办理市场主体登记，应当提交下列材料：（三）住所或者主要经营场所相关文件。”</w:t>
            </w:r>
            <w:r>
              <w:rPr>
                <w:rFonts w:hint="eastAsia" w:ascii="宋体" w:hAnsi="宋体" w:cs="宋体"/>
                <w:color w:val="000000"/>
                <w:kern w:val="0"/>
                <w:sz w:val="24"/>
                <w:lang w:bidi="ar"/>
              </w:rPr>
              <w:br w:type="textWrapping"/>
            </w:r>
            <w:r>
              <w:rPr>
                <w:rFonts w:hint="eastAsia" w:ascii="宋体" w:hAnsi="宋体" w:cs="宋体"/>
                <w:color w:val="000000"/>
                <w:kern w:val="0"/>
                <w:sz w:val="24"/>
                <w:lang w:bidi="ar"/>
              </w:rPr>
              <w:t>2.【部门规章】《外国（地区）企业在中国境内从事生产经营活动登记管理办法》（</w:t>
            </w:r>
            <w:r>
              <w:rPr>
                <w:rFonts w:hint="eastAsia" w:ascii="宋体" w:hAnsi="宋体" w:cs="宋体"/>
                <w:color w:val="000000"/>
                <w:spacing w:val="-6"/>
                <w:kern w:val="0"/>
                <w:sz w:val="24"/>
                <w:lang w:bidi="ar"/>
              </w:rPr>
              <w:t>1992年8月15日国家工商行政管理局令第10号公布根据2016年4月29日国家工商行政管理总局令第86号第一次修订根据2017年10月27日国家工商行政管理总局令第92号第二次修订根据2020年10月23日国家市场监督管理总局令第31号第三次修订）第二条：“根据国家有关法律、法规的规定，经国务院及国务院授权的主管机关（以下简称审批机关）批准，在中国境内从事生产经营活动的外国企业，应向省级工商行政管理部门（以下简称登记主管机关）申请登记注册。外国企业经登记主管机关核准登记注册，领取</w:t>
            </w:r>
            <w:r>
              <w:rPr>
                <w:rFonts w:hint="eastAsia" w:ascii="宋体" w:hAnsi="宋体" w:cs="宋体"/>
                <w:color w:val="000000"/>
                <w:kern w:val="0"/>
                <w:sz w:val="24"/>
                <w:lang w:bidi="ar"/>
              </w:rPr>
              <w:t>营业执照后，方可开展生产经营活动。未经审批机关批准和登记主管机关核准登记注册，外国企业不得在中国境内从事生产经营活动。”</w:t>
            </w:r>
          </w:p>
        </w:tc>
        <w:tc>
          <w:tcPr>
            <w:tcW w:w="1671" w:type="dxa"/>
            <w:noWrap w:val="0"/>
            <w:vAlign w:val="center"/>
          </w:tcPr>
          <w:p w14:paraId="632E213E">
            <w:pPr>
              <w:widowControl/>
              <w:textAlignment w:val="center"/>
              <w:rPr>
                <w:rFonts w:hint="eastAsia" w:ascii="宋体" w:hAnsi="宋体" w:cs="宋体"/>
                <w:color w:val="000000"/>
                <w:sz w:val="24"/>
              </w:rPr>
            </w:pPr>
            <w:r>
              <w:rPr>
                <w:rFonts w:hint="eastAsia" w:ascii="宋体" w:hAnsi="宋体" w:cs="宋体"/>
                <w:color w:val="000000"/>
                <w:kern w:val="0"/>
                <w:sz w:val="24"/>
                <w:lang w:bidi="ar"/>
              </w:rPr>
              <w:t>不动产登记管理部门等</w:t>
            </w:r>
          </w:p>
        </w:tc>
        <w:tc>
          <w:tcPr>
            <w:tcW w:w="1374" w:type="dxa"/>
            <w:noWrap/>
            <w:vAlign w:val="center"/>
          </w:tcPr>
          <w:p w14:paraId="0CF4E73E">
            <w:pPr>
              <w:rPr>
                <w:rFonts w:hint="eastAsia" w:ascii="宋体" w:hAnsi="宋体" w:cs="宋体" w:eastAsiaTheme="minorEastAsia"/>
                <w:color w:val="000000"/>
                <w:sz w:val="24"/>
                <w:lang w:eastAsia="zh-CN"/>
              </w:rPr>
            </w:pPr>
            <w:r>
              <w:rPr>
                <w:rFonts w:hint="eastAsia" w:ascii="宋体" w:hAnsi="宋体" w:cs="宋体"/>
                <w:color w:val="000000"/>
                <w:sz w:val="24"/>
                <w:lang w:val="en-US" w:eastAsia="zh-CN"/>
              </w:rPr>
              <w:t xml:space="preserve"> </w:t>
            </w:r>
          </w:p>
        </w:tc>
      </w:tr>
      <w:tr w14:paraId="7E2897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4025" w:hRule="atLeast"/>
          <w:jc w:val="center"/>
        </w:trPr>
        <w:tc>
          <w:tcPr>
            <w:tcW w:w="920" w:type="dxa"/>
            <w:noWrap/>
            <w:vAlign w:val="center"/>
          </w:tcPr>
          <w:p w14:paraId="1934A982">
            <w:pPr>
              <w:widowControl/>
              <w:jc w:val="center"/>
              <w:textAlignment w:val="center"/>
              <w:rPr>
                <w:rFonts w:hint="default" w:ascii="宋体" w:hAnsi="宋体" w:cs="宋体" w:eastAsiaTheme="minorEastAsia"/>
                <w:color w:val="000000"/>
                <w:sz w:val="24"/>
                <w:lang w:val="en-US" w:eastAsia="zh-CN"/>
              </w:rPr>
            </w:pPr>
            <w:r>
              <w:rPr>
                <w:rFonts w:hint="eastAsia" w:ascii="宋体" w:hAnsi="宋体" w:cs="宋体"/>
                <w:color w:val="000000"/>
                <w:kern w:val="0"/>
                <w:sz w:val="24"/>
                <w:lang w:val="en-US" w:eastAsia="zh-CN" w:bidi="ar"/>
              </w:rPr>
              <w:t>11</w:t>
            </w:r>
          </w:p>
        </w:tc>
        <w:tc>
          <w:tcPr>
            <w:tcW w:w="1467" w:type="dxa"/>
            <w:noWrap w:val="0"/>
            <w:vAlign w:val="center"/>
          </w:tcPr>
          <w:p w14:paraId="5FA75FDC">
            <w:pPr>
              <w:widowControl/>
              <w:jc w:val="center"/>
              <w:textAlignment w:val="center"/>
              <w:rPr>
                <w:rFonts w:hint="eastAsia" w:ascii="宋体" w:hAnsi="宋体" w:cs="宋体"/>
                <w:color w:val="000000"/>
                <w:sz w:val="24"/>
              </w:rPr>
            </w:pPr>
            <w:r>
              <w:rPr>
                <w:rFonts w:hint="eastAsia" w:ascii="宋体" w:hAnsi="宋体" w:cs="宋体"/>
                <w:color w:val="000000"/>
                <w:kern w:val="0"/>
                <w:sz w:val="24"/>
                <w:lang w:eastAsia="zh-CN" w:bidi="ar"/>
              </w:rPr>
              <w:t>荣成市市场监督管理局</w:t>
            </w:r>
          </w:p>
        </w:tc>
        <w:tc>
          <w:tcPr>
            <w:tcW w:w="1825" w:type="dxa"/>
            <w:noWrap w:val="0"/>
            <w:vAlign w:val="center"/>
          </w:tcPr>
          <w:p w14:paraId="47A7284E">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资金信用证明</w:t>
            </w:r>
          </w:p>
        </w:tc>
        <w:tc>
          <w:tcPr>
            <w:tcW w:w="2232" w:type="dxa"/>
            <w:noWrap w:val="0"/>
            <w:vAlign w:val="center"/>
          </w:tcPr>
          <w:p w14:paraId="36271BB4">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外国（地区）企业在中国境内从事生产经营活动核准</w:t>
            </w:r>
          </w:p>
        </w:tc>
        <w:tc>
          <w:tcPr>
            <w:tcW w:w="5587" w:type="dxa"/>
            <w:noWrap w:val="0"/>
            <w:vAlign w:val="center"/>
          </w:tcPr>
          <w:p w14:paraId="6509098A">
            <w:pPr>
              <w:widowControl/>
              <w:snapToGrid w:val="0"/>
              <w:spacing w:line="280" w:lineRule="exact"/>
              <w:textAlignment w:val="center"/>
              <w:rPr>
                <w:rFonts w:hint="eastAsia" w:ascii="宋体" w:hAnsi="宋体" w:cs="宋体"/>
                <w:color w:val="000000"/>
                <w:sz w:val="24"/>
              </w:rPr>
            </w:pPr>
            <w:r>
              <w:rPr>
                <w:rFonts w:hint="eastAsia" w:ascii="宋体" w:hAnsi="宋体" w:cs="宋体"/>
                <w:color w:val="000000"/>
                <w:kern w:val="0"/>
                <w:sz w:val="24"/>
                <w:lang w:bidi="ar"/>
              </w:rPr>
              <w:t>1.【行政法规】《</w:t>
            </w:r>
            <w:r>
              <w:rPr>
                <w:rFonts w:hint="eastAsia" w:ascii="宋体" w:hAnsi="宋体" w:cs="宋体"/>
                <w:color w:val="000000"/>
                <w:kern w:val="0"/>
                <w:sz w:val="24"/>
                <w:lang w:eastAsia="zh-CN" w:bidi="ar"/>
              </w:rPr>
              <w:t>中华人民共和国市场主体登记管理条例</w:t>
            </w:r>
            <w:r>
              <w:rPr>
                <w:rFonts w:hint="eastAsia" w:ascii="宋体" w:hAnsi="宋体" w:cs="宋体"/>
                <w:color w:val="000000"/>
                <w:kern w:val="0"/>
                <w:sz w:val="24"/>
                <w:lang w:bidi="ar"/>
              </w:rPr>
              <w:t>》（2021年7月27日中华人民共和国国务院令第746号公布）第二条：“本条例所称市场主体，是指在中华人民共和国境内以营利为目的从事经营活动的下列自然人、法人及非法人组织：（五）外国公司分支机构；”第十六条第一款：“申请办理市场主体登记，应当提交下列材料：（五）法律、行政法规和国务院市场监督管理部门规定提交的其他材料。”</w:t>
            </w:r>
            <w:r>
              <w:rPr>
                <w:rFonts w:hint="eastAsia" w:ascii="宋体" w:hAnsi="宋体" w:cs="宋体"/>
                <w:color w:val="000000"/>
                <w:kern w:val="0"/>
                <w:sz w:val="24"/>
                <w:lang w:bidi="ar"/>
              </w:rPr>
              <w:br w:type="textWrapping"/>
            </w:r>
            <w:r>
              <w:rPr>
                <w:rFonts w:hint="eastAsia" w:ascii="宋体" w:hAnsi="宋体" w:cs="宋体"/>
                <w:color w:val="000000"/>
                <w:kern w:val="0"/>
                <w:sz w:val="24"/>
                <w:lang w:bidi="ar"/>
              </w:rPr>
              <w:t>2.【部门规章】《外国（地区）企业在中国境内从事生产经营活动登记管理办法》（1992年8月15日国家工商行政管理局令第10号公布根据2016年4月29日国家工商行政管理总局令第86号第一次修订根据2017年10月27日国家工商行政管理总局令第92号第二次修订根据2020年10月23日国家市场监督管理总局令第31号第三次修订）第四条：“外国企业从事生产经营的项目经审批机关批准后，应在批准之日起三十日内向登记主管机关申请办理登记注册。”第五条：“外国企业申请办理登记注册时应提交下列文件或证件：（五）外国企业的资金信用证明。”</w:t>
            </w:r>
          </w:p>
        </w:tc>
        <w:tc>
          <w:tcPr>
            <w:tcW w:w="1671" w:type="dxa"/>
            <w:noWrap w:val="0"/>
            <w:vAlign w:val="center"/>
          </w:tcPr>
          <w:p w14:paraId="190AE448">
            <w:pPr>
              <w:widowControl/>
              <w:textAlignment w:val="center"/>
              <w:rPr>
                <w:rFonts w:hint="eastAsia" w:ascii="宋体" w:hAnsi="宋体" w:cs="宋体"/>
                <w:color w:val="000000"/>
                <w:sz w:val="24"/>
              </w:rPr>
            </w:pPr>
            <w:r>
              <w:rPr>
                <w:rFonts w:hint="eastAsia" w:ascii="宋体" w:hAnsi="宋体" w:cs="宋体"/>
                <w:color w:val="000000"/>
                <w:kern w:val="0"/>
                <w:sz w:val="24"/>
                <w:lang w:bidi="ar"/>
              </w:rPr>
              <w:t>与本企业有业务往来的金融机构出具</w:t>
            </w:r>
          </w:p>
        </w:tc>
        <w:tc>
          <w:tcPr>
            <w:tcW w:w="1374" w:type="dxa"/>
            <w:noWrap/>
            <w:vAlign w:val="center"/>
          </w:tcPr>
          <w:p w14:paraId="531944C0">
            <w:pPr>
              <w:rPr>
                <w:rFonts w:hint="eastAsia" w:ascii="宋体" w:hAnsi="宋体" w:cs="宋体" w:eastAsiaTheme="minorEastAsia"/>
                <w:color w:val="000000"/>
                <w:sz w:val="24"/>
                <w:lang w:eastAsia="zh-CN"/>
              </w:rPr>
            </w:pPr>
            <w:r>
              <w:rPr>
                <w:rFonts w:hint="eastAsia" w:ascii="宋体" w:hAnsi="宋体" w:cs="宋体"/>
                <w:color w:val="000000"/>
                <w:sz w:val="24"/>
                <w:lang w:val="en-US" w:eastAsia="zh-CN"/>
              </w:rPr>
              <w:t xml:space="preserve"> </w:t>
            </w:r>
          </w:p>
        </w:tc>
      </w:tr>
      <w:tr w14:paraId="426D48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8334" w:hRule="atLeast"/>
          <w:jc w:val="center"/>
        </w:trPr>
        <w:tc>
          <w:tcPr>
            <w:tcW w:w="920" w:type="dxa"/>
            <w:noWrap/>
            <w:vAlign w:val="center"/>
          </w:tcPr>
          <w:p w14:paraId="63F8F4D8">
            <w:pPr>
              <w:widowControl/>
              <w:jc w:val="center"/>
              <w:textAlignment w:val="center"/>
              <w:rPr>
                <w:rFonts w:hint="default" w:ascii="宋体" w:hAnsi="宋体" w:cs="宋体" w:eastAsiaTheme="minorEastAsia"/>
                <w:color w:val="000000"/>
                <w:sz w:val="24"/>
                <w:lang w:val="en-US" w:eastAsia="zh-CN"/>
              </w:rPr>
            </w:pPr>
            <w:r>
              <w:rPr>
                <w:rFonts w:hint="eastAsia" w:ascii="宋体" w:hAnsi="宋体" w:cs="宋体"/>
                <w:color w:val="000000"/>
                <w:kern w:val="0"/>
                <w:sz w:val="24"/>
                <w:lang w:val="en-US" w:eastAsia="zh-CN" w:bidi="ar"/>
              </w:rPr>
              <w:t>12</w:t>
            </w:r>
          </w:p>
        </w:tc>
        <w:tc>
          <w:tcPr>
            <w:tcW w:w="1467" w:type="dxa"/>
            <w:noWrap w:val="0"/>
            <w:vAlign w:val="center"/>
          </w:tcPr>
          <w:p w14:paraId="785AC08F">
            <w:pPr>
              <w:widowControl/>
              <w:jc w:val="center"/>
              <w:textAlignment w:val="center"/>
              <w:rPr>
                <w:rFonts w:hint="eastAsia" w:ascii="宋体" w:hAnsi="宋体" w:cs="宋体"/>
                <w:color w:val="000000"/>
                <w:sz w:val="24"/>
              </w:rPr>
            </w:pPr>
            <w:r>
              <w:rPr>
                <w:rFonts w:hint="eastAsia" w:ascii="宋体" w:hAnsi="宋体" w:cs="宋体"/>
                <w:color w:val="000000"/>
                <w:kern w:val="0"/>
                <w:sz w:val="24"/>
                <w:lang w:eastAsia="zh-CN" w:bidi="ar"/>
              </w:rPr>
              <w:t>荣成市市场监督管理局</w:t>
            </w:r>
          </w:p>
        </w:tc>
        <w:tc>
          <w:tcPr>
            <w:tcW w:w="1825" w:type="dxa"/>
            <w:noWrap w:val="0"/>
            <w:vAlign w:val="center"/>
          </w:tcPr>
          <w:p w14:paraId="237143A0">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有关批准文件或者许可证件</w:t>
            </w:r>
          </w:p>
        </w:tc>
        <w:tc>
          <w:tcPr>
            <w:tcW w:w="2232" w:type="dxa"/>
            <w:noWrap w:val="0"/>
            <w:vAlign w:val="center"/>
          </w:tcPr>
          <w:p w14:paraId="05FA04E4">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外国（地区）企业在中国境内从事生产经营活动核准</w:t>
            </w:r>
          </w:p>
        </w:tc>
        <w:tc>
          <w:tcPr>
            <w:tcW w:w="5587" w:type="dxa"/>
            <w:noWrap w:val="0"/>
            <w:vAlign w:val="center"/>
          </w:tcPr>
          <w:p w14:paraId="51A3B148">
            <w:pPr>
              <w:widowControl/>
              <w:textAlignment w:val="center"/>
              <w:rPr>
                <w:rFonts w:hint="eastAsia" w:ascii="宋体" w:hAnsi="宋体" w:cs="宋体"/>
                <w:color w:val="000000"/>
                <w:sz w:val="24"/>
              </w:rPr>
            </w:pPr>
            <w:r>
              <w:rPr>
                <w:rFonts w:hint="eastAsia" w:ascii="宋体" w:hAnsi="宋体" w:cs="宋体"/>
                <w:color w:val="000000"/>
                <w:kern w:val="0"/>
                <w:sz w:val="24"/>
                <w:lang w:bidi="ar"/>
              </w:rPr>
              <w:t>1.【行政法规】《</w:t>
            </w:r>
            <w:r>
              <w:rPr>
                <w:rFonts w:hint="eastAsia" w:ascii="宋体" w:hAnsi="宋体" w:cs="宋体"/>
                <w:color w:val="000000"/>
                <w:kern w:val="0"/>
                <w:sz w:val="24"/>
                <w:lang w:eastAsia="zh-CN" w:bidi="ar"/>
              </w:rPr>
              <w:t>中华人民共和国市场主体登记管理条例</w:t>
            </w:r>
            <w:r>
              <w:rPr>
                <w:rFonts w:hint="eastAsia" w:ascii="宋体" w:hAnsi="宋体" w:cs="宋体"/>
                <w:color w:val="000000"/>
                <w:kern w:val="0"/>
                <w:sz w:val="24"/>
                <w:lang w:bidi="ar"/>
              </w:rPr>
              <w:t>》（2021年7月27日中华人民共和国国务院令第746号公布）第二条：“本条例所称市场主体，是指在中华人民共和国境内以营利为目的从事经营活动的下列自然人、法人及非法人组织：（五）外国公司分支机构；”第十六条第一款：“申请办理市场主体登记，应当提交下列材料：（五）法律、行政法规和国务院市场监督管理部门规定提交的其他材料。”</w:t>
            </w:r>
            <w:r>
              <w:rPr>
                <w:rFonts w:hint="eastAsia" w:ascii="宋体" w:hAnsi="宋体" w:cs="宋体"/>
                <w:color w:val="000000"/>
                <w:kern w:val="0"/>
                <w:sz w:val="24"/>
                <w:lang w:bidi="ar"/>
              </w:rPr>
              <w:br w:type="textWrapping"/>
            </w:r>
            <w:r>
              <w:rPr>
                <w:rFonts w:hint="eastAsia" w:ascii="宋体" w:hAnsi="宋体" w:cs="宋体"/>
                <w:color w:val="000000"/>
                <w:kern w:val="0"/>
                <w:sz w:val="24"/>
                <w:lang w:bidi="ar"/>
              </w:rPr>
              <w:t>2.【部门规章】《外国（地区）企业在中国境内从事生产经营活动登记管理办法》（1992年8月15日国家工商行政管理局令第10号公布根据2016年4月29日国家工商行政管理总局令第86号第一次修订根据2017年10月27日国家工商行政管理总局令第92号第二次修订根据2020年10月23日国家市场监督管理总局令第31号第三次修订）第四条：“外国企业从事生产经营的项目经审批机关批准后，应在批准之日起三十日内向登记主管机关申请办理登记注册。”第五条：“外国企业申请办理登记注册时应提交下列文件或证件：（二）审批机关的批准文件或证件。”</w:t>
            </w:r>
          </w:p>
        </w:tc>
        <w:tc>
          <w:tcPr>
            <w:tcW w:w="1671" w:type="dxa"/>
            <w:noWrap w:val="0"/>
            <w:vAlign w:val="center"/>
          </w:tcPr>
          <w:p w14:paraId="13E96A9C">
            <w:pPr>
              <w:widowControl/>
              <w:textAlignment w:val="center"/>
              <w:rPr>
                <w:rFonts w:hint="eastAsia" w:ascii="宋体" w:hAnsi="宋体" w:cs="宋体"/>
                <w:color w:val="000000"/>
                <w:sz w:val="24"/>
              </w:rPr>
            </w:pPr>
            <w:r>
              <w:rPr>
                <w:rFonts w:hint="eastAsia" w:ascii="宋体" w:hAnsi="宋体" w:cs="宋体"/>
                <w:color w:val="000000"/>
                <w:kern w:val="0"/>
                <w:sz w:val="24"/>
                <w:lang w:bidi="ar"/>
              </w:rPr>
              <w:t>相关审批部门</w:t>
            </w:r>
          </w:p>
        </w:tc>
        <w:tc>
          <w:tcPr>
            <w:tcW w:w="1374" w:type="dxa"/>
            <w:noWrap/>
            <w:vAlign w:val="center"/>
          </w:tcPr>
          <w:p w14:paraId="42C70F00">
            <w:pPr>
              <w:rPr>
                <w:rFonts w:hint="eastAsia" w:ascii="宋体" w:hAnsi="宋体" w:cs="宋体" w:eastAsiaTheme="minorEastAsia"/>
                <w:color w:val="000000"/>
                <w:sz w:val="24"/>
                <w:lang w:eastAsia="zh-CN"/>
              </w:rPr>
            </w:pPr>
            <w:r>
              <w:rPr>
                <w:rFonts w:hint="eastAsia" w:ascii="宋体" w:hAnsi="宋体" w:cs="宋体"/>
                <w:color w:val="000000"/>
                <w:sz w:val="24"/>
                <w:lang w:val="en-US" w:eastAsia="zh-CN"/>
              </w:rPr>
              <w:t xml:space="preserve"> </w:t>
            </w:r>
          </w:p>
        </w:tc>
      </w:tr>
      <w:tr w14:paraId="280B82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3912" w:hRule="atLeast"/>
          <w:jc w:val="center"/>
        </w:trPr>
        <w:tc>
          <w:tcPr>
            <w:tcW w:w="920" w:type="dxa"/>
            <w:noWrap/>
            <w:vAlign w:val="center"/>
          </w:tcPr>
          <w:p w14:paraId="35AE47ED">
            <w:pPr>
              <w:widowControl/>
              <w:jc w:val="center"/>
              <w:textAlignment w:val="center"/>
              <w:rPr>
                <w:rFonts w:hint="default" w:ascii="宋体" w:hAnsi="宋体" w:cs="宋体" w:eastAsiaTheme="minorEastAsia"/>
                <w:color w:val="000000"/>
                <w:sz w:val="24"/>
                <w:lang w:val="en-US" w:eastAsia="zh-CN"/>
              </w:rPr>
            </w:pPr>
            <w:r>
              <w:rPr>
                <w:rFonts w:hint="eastAsia" w:ascii="宋体" w:hAnsi="宋体" w:cs="宋体"/>
                <w:color w:val="000000"/>
                <w:kern w:val="0"/>
                <w:sz w:val="24"/>
                <w:lang w:val="en-US" w:eastAsia="zh-CN" w:bidi="ar"/>
              </w:rPr>
              <w:t>13</w:t>
            </w:r>
          </w:p>
        </w:tc>
        <w:tc>
          <w:tcPr>
            <w:tcW w:w="1467" w:type="dxa"/>
            <w:noWrap w:val="0"/>
            <w:vAlign w:val="center"/>
          </w:tcPr>
          <w:p w14:paraId="71A51C80">
            <w:pPr>
              <w:widowControl/>
              <w:jc w:val="center"/>
              <w:textAlignment w:val="center"/>
              <w:rPr>
                <w:rFonts w:hint="eastAsia" w:ascii="宋体" w:hAnsi="宋体" w:cs="宋体"/>
                <w:color w:val="000000"/>
                <w:sz w:val="24"/>
              </w:rPr>
            </w:pPr>
            <w:r>
              <w:rPr>
                <w:rFonts w:hint="eastAsia" w:ascii="宋体" w:hAnsi="宋体" w:cs="宋体"/>
                <w:color w:val="000000"/>
                <w:kern w:val="0"/>
                <w:sz w:val="24"/>
                <w:lang w:eastAsia="zh-CN" w:bidi="ar"/>
              </w:rPr>
              <w:t>荣成市市场监督管理局</w:t>
            </w:r>
          </w:p>
        </w:tc>
        <w:tc>
          <w:tcPr>
            <w:tcW w:w="1825" w:type="dxa"/>
            <w:noWrap w:val="0"/>
            <w:vAlign w:val="center"/>
          </w:tcPr>
          <w:p w14:paraId="5A977814">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身份证明</w:t>
            </w:r>
          </w:p>
        </w:tc>
        <w:tc>
          <w:tcPr>
            <w:tcW w:w="2232" w:type="dxa"/>
            <w:noWrap w:val="0"/>
            <w:vAlign w:val="center"/>
          </w:tcPr>
          <w:p w14:paraId="7CA4ECFB">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特种设备安全管理和作业人员资格认定</w:t>
            </w:r>
          </w:p>
        </w:tc>
        <w:tc>
          <w:tcPr>
            <w:tcW w:w="5587" w:type="dxa"/>
            <w:noWrap w:val="0"/>
            <w:vAlign w:val="center"/>
          </w:tcPr>
          <w:p w14:paraId="76FDCFE2">
            <w:pPr>
              <w:widowControl/>
              <w:textAlignment w:val="center"/>
              <w:rPr>
                <w:rFonts w:hint="eastAsia" w:ascii="宋体" w:hAnsi="宋体" w:cs="宋体"/>
                <w:color w:val="000000"/>
                <w:sz w:val="24"/>
              </w:rPr>
            </w:pPr>
            <w:r>
              <w:rPr>
                <w:rFonts w:hint="eastAsia" w:ascii="宋体" w:hAnsi="宋体" w:cs="宋体"/>
                <w:color w:val="000000"/>
                <w:kern w:val="0"/>
                <w:sz w:val="24"/>
                <w:lang w:bidi="ar"/>
              </w:rPr>
              <w:t>1.【法律】《特种设备安全法》（2013年6月通过）第十四条：“特种设备安全管理人员、检测人员和作业人员应当按照国家有关规定取得相应资格，方可从事相关工作。”</w:t>
            </w:r>
            <w:r>
              <w:rPr>
                <w:rFonts w:hint="eastAsia" w:ascii="宋体" w:hAnsi="宋体" w:cs="宋体"/>
                <w:color w:val="000000"/>
                <w:kern w:val="0"/>
                <w:sz w:val="24"/>
                <w:lang w:bidi="ar"/>
              </w:rPr>
              <w:br w:type="textWrapping"/>
            </w:r>
            <w:r>
              <w:rPr>
                <w:rFonts w:hint="eastAsia" w:ascii="宋体" w:hAnsi="宋体" w:cs="宋体"/>
                <w:color w:val="000000"/>
                <w:kern w:val="0"/>
                <w:sz w:val="24"/>
                <w:lang w:bidi="ar"/>
              </w:rPr>
              <w:t>2.【行政法规】《特种设备安全监察条例》（2003年3月国务院令第373号,2009年1月修改）第三十九条：“锅炉、压力容器、电梯、起重机械、客运索道、大型游乐设施的作业人员及其相关管理人员（以下统称特种设备作业人员），应当按照国家有关规定经特种设备安全监督管理部门考核合格，取得国家统一格式的特种作业人员证书，方可从事相应的作业或者管理工作。”</w:t>
            </w:r>
            <w:r>
              <w:rPr>
                <w:rFonts w:hint="eastAsia" w:ascii="宋体" w:hAnsi="宋体" w:cs="宋体"/>
                <w:color w:val="000000"/>
                <w:kern w:val="0"/>
                <w:sz w:val="24"/>
                <w:lang w:bidi="ar"/>
              </w:rPr>
              <w:br w:type="textWrapping"/>
            </w:r>
            <w:r>
              <w:rPr>
                <w:rFonts w:hint="eastAsia" w:ascii="宋体" w:hAnsi="宋体" w:cs="宋体"/>
                <w:color w:val="000000"/>
                <w:kern w:val="0"/>
                <w:sz w:val="24"/>
                <w:lang w:bidi="ar"/>
              </w:rPr>
              <w:t>3.【文件】《特种设备作业人员考核规则》（2019年5月27日国家市场监督管理总局公布）第十五条：“申请人应当向工作所在地或者户籍（户口或者居住证）所在地的发证机关提交下列申请材料：（三）身份证明。”</w:t>
            </w:r>
          </w:p>
        </w:tc>
        <w:tc>
          <w:tcPr>
            <w:tcW w:w="1671" w:type="dxa"/>
            <w:noWrap w:val="0"/>
            <w:vAlign w:val="center"/>
          </w:tcPr>
          <w:p w14:paraId="68417781">
            <w:pPr>
              <w:widowControl/>
              <w:textAlignment w:val="center"/>
              <w:rPr>
                <w:rFonts w:hint="eastAsia" w:ascii="宋体" w:hAnsi="宋体" w:cs="宋体"/>
                <w:color w:val="000000"/>
                <w:sz w:val="24"/>
              </w:rPr>
            </w:pPr>
            <w:r>
              <w:rPr>
                <w:rFonts w:hint="eastAsia" w:ascii="宋体" w:hAnsi="宋体" w:cs="宋体"/>
                <w:color w:val="000000"/>
                <w:kern w:val="0"/>
                <w:sz w:val="24"/>
                <w:lang w:bidi="ar"/>
              </w:rPr>
              <w:t>公安部门</w:t>
            </w:r>
          </w:p>
        </w:tc>
        <w:tc>
          <w:tcPr>
            <w:tcW w:w="1374" w:type="dxa"/>
            <w:noWrap/>
            <w:vAlign w:val="center"/>
          </w:tcPr>
          <w:p w14:paraId="45BF656A">
            <w:pPr>
              <w:rPr>
                <w:rFonts w:hint="eastAsia" w:ascii="宋体" w:hAnsi="宋体" w:cs="宋体" w:eastAsiaTheme="minorEastAsia"/>
                <w:color w:val="000000"/>
                <w:sz w:val="24"/>
                <w:lang w:eastAsia="zh-CN"/>
              </w:rPr>
            </w:pPr>
            <w:r>
              <w:rPr>
                <w:rFonts w:hint="eastAsia" w:ascii="宋体" w:hAnsi="宋体" w:cs="宋体"/>
                <w:color w:val="000000"/>
                <w:sz w:val="24"/>
                <w:lang w:val="en-US" w:eastAsia="zh-CN"/>
              </w:rPr>
              <w:t xml:space="preserve"> </w:t>
            </w:r>
          </w:p>
        </w:tc>
      </w:tr>
      <w:tr w14:paraId="0EBD53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4139" w:hRule="atLeast"/>
          <w:jc w:val="center"/>
        </w:trPr>
        <w:tc>
          <w:tcPr>
            <w:tcW w:w="920" w:type="dxa"/>
            <w:noWrap/>
            <w:vAlign w:val="center"/>
          </w:tcPr>
          <w:p w14:paraId="2BA982E3">
            <w:pPr>
              <w:widowControl/>
              <w:jc w:val="center"/>
              <w:textAlignment w:val="center"/>
              <w:rPr>
                <w:rFonts w:hint="default" w:ascii="宋体" w:hAnsi="宋体" w:cs="宋体" w:eastAsiaTheme="minorEastAsia"/>
                <w:color w:val="000000"/>
                <w:sz w:val="24"/>
                <w:lang w:val="en-US" w:eastAsia="zh-CN"/>
              </w:rPr>
            </w:pPr>
            <w:r>
              <w:rPr>
                <w:rFonts w:hint="eastAsia" w:ascii="宋体" w:hAnsi="宋体" w:cs="宋体"/>
                <w:color w:val="000000"/>
                <w:kern w:val="0"/>
                <w:sz w:val="24"/>
                <w:lang w:val="en-US" w:eastAsia="zh-CN" w:bidi="ar"/>
              </w:rPr>
              <w:t>14</w:t>
            </w:r>
          </w:p>
        </w:tc>
        <w:tc>
          <w:tcPr>
            <w:tcW w:w="1467" w:type="dxa"/>
            <w:noWrap w:val="0"/>
            <w:vAlign w:val="center"/>
          </w:tcPr>
          <w:p w14:paraId="77B70F31">
            <w:pPr>
              <w:widowControl/>
              <w:jc w:val="center"/>
              <w:textAlignment w:val="center"/>
              <w:rPr>
                <w:rFonts w:hint="eastAsia" w:ascii="宋体" w:hAnsi="宋体" w:cs="宋体"/>
                <w:color w:val="000000"/>
                <w:sz w:val="24"/>
              </w:rPr>
            </w:pPr>
            <w:r>
              <w:rPr>
                <w:rFonts w:hint="eastAsia" w:ascii="宋体" w:hAnsi="宋体" w:cs="宋体"/>
                <w:color w:val="000000"/>
                <w:kern w:val="0"/>
                <w:sz w:val="24"/>
                <w:lang w:eastAsia="zh-CN" w:bidi="ar"/>
              </w:rPr>
              <w:t>荣成市市场监督管理局</w:t>
            </w:r>
          </w:p>
        </w:tc>
        <w:tc>
          <w:tcPr>
            <w:tcW w:w="1825" w:type="dxa"/>
            <w:noWrap w:val="0"/>
            <w:vAlign w:val="center"/>
          </w:tcPr>
          <w:p w14:paraId="17DDB533">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学历证明</w:t>
            </w:r>
          </w:p>
        </w:tc>
        <w:tc>
          <w:tcPr>
            <w:tcW w:w="2232" w:type="dxa"/>
            <w:noWrap w:val="0"/>
            <w:vAlign w:val="center"/>
          </w:tcPr>
          <w:p w14:paraId="726F857D">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特种设备安全管理和作业人员资格认定</w:t>
            </w:r>
          </w:p>
        </w:tc>
        <w:tc>
          <w:tcPr>
            <w:tcW w:w="5587" w:type="dxa"/>
            <w:noWrap w:val="0"/>
            <w:vAlign w:val="center"/>
          </w:tcPr>
          <w:p w14:paraId="3EAA7D48">
            <w:pPr>
              <w:widowControl/>
              <w:textAlignment w:val="center"/>
              <w:rPr>
                <w:rFonts w:hint="eastAsia" w:ascii="宋体" w:hAnsi="宋体" w:cs="宋体"/>
                <w:color w:val="000000"/>
                <w:sz w:val="24"/>
              </w:rPr>
            </w:pPr>
            <w:r>
              <w:rPr>
                <w:rFonts w:hint="eastAsia" w:ascii="宋体" w:hAnsi="宋体" w:cs="宋体"/>
                <w:color w:val="000000"/>
                <w:kern w:val="0"/>
                <w:sz w:val="24"/>
                <w:lang w:bidi="ar"/>
              </w:rPr>
              <w:t>1.【法律】《特种设备安全法》（2013年6月通过）第十四条：“特种设备安全管理人员、检测人员和作业人员应当按照国家有关规定取得相应资格，方可从事相关工作。特种设备安全管理人员、检测人员和作业人员应当严格执行安全技术规范和管理制度，保证特种设备安全。”</w:t>
            </w:r>
            <w:r>
              <w:rPr>
                <w:rFonts w:hint="eastAsia" w:ascii="宋体" w:hAnsi="宋体" w:cs="宋体"/>
                <w:color w:val="000000"/>
                <w:kern w:val="0"/>
                <w:sz w:val="24"/>
                <w:lang w:bidi="ar"/>
              </w:rPr>
              <w:br w:type="textWrapping"/>
            </w:r>
            <w:r>
              <w:rPr>
                <w:rFonts w:hint="eastAsia" w:ascii="宋体" w:hAnsi="宋体" w:cs="宋体"/>
                <w:color w:val="000000"/>
                <w:kern w:val="0"/>
                <w:sz w:val="24"/>
                <w:lang w:bidi="ar"/>
              </w:rPr>
              <w:t>2.【行政法规】《特种设备安全监察条例》（2003年3月国务院令第373号,2009年1月修改）第三十九条：“锅炉、压力容器、电梯、起重机械、客运索道、大型游乐设施的作业人员及其相关管理人员（以下统称特种设备作业人员），应当按照国家有关规定经特种设备安全监督管理部门考核合格，取得国家统一格式的特种作业人员证书，方可从事相应的作业或者管理工作。”</w:t>
            </w:r>
            <w:r>
              <w:rPr>
                <w:rFonts w:hint="eastAsia" w:ascii="宋体" w:hAnsi="宋体" w:cs="宋体"/>
                <w:color w:val="000000"/>
                <w:kern w:val="0"/>
                <w:sz w:val="24"/>
                <w:lang w:bidi="ar"/>
              </w:rPr>
              <w:br w:type="textWrapping"/>
            </w:r>
            <w:r>
              <w:rPr>
                <w:rFonts w:hint="eastAsia" w:ascii="宋体" w:hAnsi="宋体" w:cs="宋体"/>
                <w:color w:val="000000"/>
                <w:kern w:val="0"/>
                <w:sz w:val="24"/>
                <w:lang w:bidi="ar"/>
              </w:rPr>
              <w:t>3.【文件】《特种设备作业人员考核规则》（2019年5月27日国家市场监督管理总局公布）第十五条：“申请人应当向工作所在地或者户籍（户口或者居住证）所在地的发证机关提交下列申请材料：（四）学历证明（复印件1份）。”</w:t>
            </w:r>
          </w:p>
        </w:tc>
        <w:tc>
          <w:tcPr>
            <w:tcW w:w="1671" w:type="dxa"/>
            <w:noWrap w:val="0"/>
            <w:vAlign w:val="center"/>
          </w:tcPr>
          <w:p w14:paraId="1208231F">
            <w:pPr>
              <w:widowControl/>
              <w:textAlignment w:val="center"/>
              <w:rPr>
                <w:rFonts w:hint="eastAsia" w:ascii="宋体" w:hAnsi="宋体" w:cs="宋体"/>
                <w:color w:val="000000"/>
                <w:sz w:val="24"/>
              </w:rPr>
            </w:pPr>
            <w:r>
              <w:rPr>
                <w:rFonts w:hint="eastAsia" w:ascii="宋体" w:hAnsi="宋体" w:cs="宋体"/>
                <w:color w:val="000000"/>
                <w:kern w:val="0"/>
                <w:sz w:val="24"/>
                <w:lang w:bidi="ar"/>
              </w:rPr>
              <w:t>教育部门</w:t>
            </w:r>
          </w:p>
        </w:tc>
        <w:tc>
          <w:tcPr>
            <w:tcW w:w="1374" w:type="dxa"/>
            <w:noWrap/>
            <w:vAlign w:val="center"/>
          </w:tcPr>
          <w:p w14:paraId="6A540D69">
            <w:pPr>
              <w:rPr>
                <w:rFonts w:hint="eastAsia" w:ascii="宋体" w:hAnsi="宋体" w:cs="宋体" w:eastAsiaTheme="minorEastAsia"/>
                <w:color w:val="000000"/>
                <w:sz w:val="24"/>
                <w:lang w:eastAsia="zh-CN"/>
              </w:rPr>
            </w:pPr>
            <w:r>
              <w:rPr>
                <w:rFonts w:hint="eastAsia" w:ascii="宋体" w:hAnsi="宋体" w:cs="宋体"/>
                <w:color w:val="000000"/>
                <w:sz w:val="24"/>
                <w:lang w:val="en-US" w:eastAsia="zh-CN"/>
              </w:rPr>
              <w:t xml:space="preserve"> </w:t>
            </w:r>
          </w:p>
        </w:tc>
      </w:tr>
      <w:tr w14:paraId="517830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8334" w:hRule="atLeast"/>
          <w:jc w:val="center"/>
        </w:trPr>
        <w:tc>
          <w:tcPr>
            <w:tcW w:w="920" w:type="dxa"/>
            <w:noWrap/>
            <w:vAlign w:val="center"/>
          </w:tcPr>
          <w:p w14:paraId="025375E2">
            <w:pPr>
              <w:widowControl/>
              <w:jc w:val="center"/>
              <w:textAlignment w:val="center"/>
              <w:rPr>
                <w:rFonts w:hint="default" w:ascii="宋体" w:hAnsi="宋体" w:cs="宋体" w:eastAsiaTheme="minorEastAsia"/>
                <w:color w:val="000000"/>
                <w:sz w:val="24"/>
                <w:lang w:val="en-US" w:eastAsia="zh-CN"/>
              </w:rPr>
            </w:pPr>
            <w:r>
              <w:rPr>
                <w:rFonts w:hint="eastAsia" w:ascii="宋体" w:hAnsi="宋体" w:cs="宋体"/>
                <w:color w:val="000000"/>
                <w:kern w:val="0"/>
                <w:sz w:val="24"/>
                <w:lang w:val="en-US" w:eastAsia="zh-CN" w:bidi="ar"/>
              </w:rPr>
              <w:t>15</w:t>
            </w:r>
          </w:p>
        </w:tc>
        <w:tc>
          <w:tcPr>
            <w:tcW w:w="1467" w:type="dxa"/>
            <w:noWrap w:val="0"/>
            <w:vAlign w:val="center"/>
          </w:tcPr>
          <w:p w14:paraId="471FB2AB">
            <w:pPr>
              <w:widowControl/>
              <w:jc w:val="center"/>
              <w:textAlignment w:val="center"/>
              <w:rPr>
                <w:rFonts w:hint="eastAsia" w:ascii="宋体" w:hAnsi="宋体" w:cs="宋体"/>
                <w:color w:val="000000"/>
                <w:sz w:val="24"/>
              </w:rPr>
            </w:pPr>
            <w:r>
              <w:rPr>
                <w:rFonts w:hint="eastAsia" w:ascii="宋体" w:hAnsi="宋体" w:cs="宋体"/>
                <w:color w:val="000000"/>
                <w:kern w:val="0"/>
                <w:sz w:val="24"/>
                <w:lang w:eastAsia="zh-CN" w:bidi="ar"/>
              </w:rPr>
              <w:t>荣成市市场监督管理局</w:t>
            </w:r>
          </w:p>
        </w:tc>
        <w:tc>
          <w:tcPr>
            <w:tcW w:w="1825" w:type="dxa"/>
            <w:noWrap w:val="0"/>
            <w:vAlign w:val="center"/>
          </w:tcPr>
          <w:p w14:paraId="25B96203">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身份证明</w:t>
            </w:r>
          </w:p>
        </w:tc>
        <w:tc>
          <w:tcPr>
            <w:tcW w:w="2232" w:type="dxa"/>
            <w:noWrap w:val="0"/>
            <w:vAlign w:val="center"/>
          </w:tcPr>
          <w:p w14:paraId="37E55C92">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特种设备使用登记</w:t>
            </w:r>
          </w:p>
        </w:tc>
        <w:tc>
          <w:tcPr>
            <w:tcW w:w="5587" w:type="dxa"/>
            <w:noWrap w:val="0"/>
            <w:vAlign w:val="center"/>
          </w:tcPr>
          <w:p w14:paraId="255EC8A9">
            <w:pPr>
              <w:widowControl/>
              <w:textAlignment w:val="center"/>
              <w:rPr>
                <w:rFonts w:hint="eastAsia" w:ascii="宋体" w:hAnsi="宋体" w:cs="宋体"/>
                <w:color w:val="000000"/>
                <w:sz w:val="24"/>
              </w:rPr>
            </w:pPr>
            <w:r>
              <w:rPr>
                <w:rFonts w:hint="eastAsia" w:ascii="宋体" w:hAnsi="宋体" w:cs="宋体"/>
                <w:color w:val="000000"/>
                <w:kern w:val="0"/>
                <w:sz w:val="24"/>
                <w:lang w:bidi="ar"/>
              </w:rPr>
              <w:t>1.【法律】《特种设备安全法》（2013年6月中华人民共和国主席令第4号）第三十三条：“特种设备使用单位应当在特种设备投入使用前或者投入使用后三十日内，向负责特种设备安全监督管理的部门办理使用登记，取得使用登记证书。”第四十八条：“特种设备存在严重事故隐患，无改造、修理价值，或者达到安全技术规范规定的其他报废条件的，特种设备使用单位应当依法履行报废义务，采取必要措施消除该特种设备的使用功能，并向原登记的负责特种设备安全监督管理的部门办理使用登记证书注销手续。”</w:t>
            </w:r>
            <w:r>
              <w:rPr>
                <w:rFonts w:hint="eastAsia" w:ascii="宋体" w:hAnsi="宋体" w:cs="宋体"/>
                <w:color w:val="000000"/>
                <w:kern w:val="0"/>
                <w:sz w:val="24"/>
                <w:lang w:bidi="ar"/>
              </w:rPr>
              <w:br w:type="textWrapping"/>
            </w:r>
            <w:r>
              <w:rPr>
                <w:rFonts w:hint="eastAsia" w:ascii="宋体" w:hAnsi="宋体" w:cs="宋体"/>
                <w:color w:val="000000"/>
                <w:kern w:val="0"/>
                <w:sz w:val="24"/>
                <w:lang w:bidi="ar"/>
              </w:rPr>
              <w:t>2.【行政法规】《特种设备安全监察条例》（2003年3月国务院令第373号，2009年1月修改）第二十五条：“特种设备在投入使用前或者投入使用后30日内，特种设备使用单位应当向直辖市或者设区的市的特种设备安全监督管理部门登记。”</w:t>
            </w:r>
            <w:r>
              <w:rPr>
                <w:rFonts w:hint="eastAsia" w:ascii="宋体" w:hAnsi="宋体" w:cs="宋体"/>
                <w:color w:val="000000"/>
                <w:kern w:val="0"/>
                <w:sz w:val="24"/>
                <w:lang w:bidi="ar"/>
              </w:rPr>
              <w:br w:type="textWrapping"/>
            </w:r>
            <w:r>
              <w:rPr>
                <w:rFonts w:hint="eastAsia" w:ascii="宋体" w:hAnsi="宋体" w:cs="宋体"/>
                <w:color w:val="000000"/>
                <w:kern w:val="0"/>
                <w:sz w:val="24"/>
                <w:lang w:bidi="ar"/>
              </w:rPr>
              <w:t>3.【地方性法规】《山东省特种设备安全条例》（2015年12月通过）第十九条：“特种设备使用单位应当在特种设备投入使用前或者投入使用之日起三十日内，向设区的市人民政府特种设备安全监督管理部门或者其委托的县（市、区）人民政府特种设备安全监督管理部门办理使用登记；使用单位变更的，变更后的使用单位应当办理变更登记。”第二十四条第三款：“车用气瓶、非重复性充装气瓶和呼吸器用气瓶之外的气瓶充装单位，应当向县（市、区）人民政府特种设备安全监督管理部门办理自有或者托管气瓶的使用登记。”</w:t>
            </w:r>
            <w:r>
              <w:rPr>
                <w:rFonts w:hint="eastAsia" w:ascii="宋体" w:hAnsi="宋体" w:cs="宋体"/>
                <w:color w:val="000000"/>
                <w:kern w:val="0"/>
                <w:sz w:val="24"/>
                <w:lang w:bidi="ar"/>
              </w:rPr>
              <w:br w:type="textWrapping"/>
            </w:r>
            <w:r>
              <w:rPr>
                <w:rFonts w:hint="eastAsia" w:ascii="宋体" w:hAnsi="宋体" w:cs="宋体"/>
                <w:color w:val="000000"/>
                <w:kern w:val="0"/>
                <w:sz w:val="24"/>
                <w:lang w:bidi="ar"/>
              </w:rPr>
              <w:t>4.【文件】《特种设备使用管理规则》（2017年1月16日国家质量监督检验检疫总局颁布）：“3.4.1.1按台（套）办理使用单位申请办理特种设备使用登记时，应当逐台（套）填写使用登记表，向登记机关提交以下相应资料，并且对其真实性负责；”“（2）含有使用单位统一社会信用代码的证明或者个人身份证明（适用于公民个人所有的特种设备）。”</w:t>
            </w:r>
          </w:p>
        </w:tc>
        <w:tc>
          <w:tcPr>
            <w:tcW w:w="1671" w:type="dxa"/>
            <w:noWrap w:val="0"/>
            <w:vAlign w:val="center"/>
          </w:tcPr>
          <w:p w14:paraId="1780F10B">
            <w:pPr>
              <w:widowControl/>
              <w:textAlignment w:val="center"/>
              <w:rPr>
                <w:rFonts w:hint="eastAsia" w:ascii="宋体" w:hAnsi="宋体" w:cs="宋体"/>
                <w:color w:val="000000"/>
                <w:sz w:val="24"/>
              </w:rPr>
            </w:pPr>
            <w:r>
              <w:rPr>
                <w:rFonts w:hint="eastAsia" w:ascii="宋体" w:hAnsi="宋体" w:cs="宋体"/>
                <w:color w:val="000000"/>
                <w:kern w:val="0"/>
                <w:sz w:val="24"/>
                <w:lang w:bidi="ar"/>
              </w:rPr>
              <w:t>公安部门</w:t>
            </w:r>
          </w:p>
        </w:tc>
        <w:tc>
          <w:tcPr>
            <w:tcW w:w="1374" w:type="dxa"/>
            <w:noWrap/>
            <w:vAlign w:val="center"/>
          </w:tcPr>
          <w:p w14:paraId="554E1140">
            <w:pPr>
              <w:rPr>
                <w:rFonts w:hint="eastAsia" w:ascii="宋体" w:hAnsi="宋体" w:cs="宋体" w:eastAsiaTheme="minorEastAsia"/>
                <w:color w:val="000000"/>
                <w:sz w:val="24"/>
                <w:lang w:eastAsia="zh-CN"/>
              </w:rPr>
            </w:pPr>
            <w:r>
              <w:rPr>
                <w:rFonts w:hint="eastAsia" w:ascii="宋体" w:hAnsi="宋体" w:cs="宋体"/>
                <w:color w:val="000000"/>
                <w:sz w:val="24"/>
                <w:lang w:val="en-US" w:eastAsia="zh-CN"/>
              </w:rPr>
              <w:t xml:space="preserve"> </w:t>
            </w:r>
          </w:p>
        </w:tc>
      </w:tr>
      <w:tr w14:paraId="48FC20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8334" w:hRule="atLeast"/>
          <w:jc w:val="center"/>
        </w:trPr>
        <w:tc>
          <w:tcPr>
            <w:tcW w:w="920" w:type="dxa"/>
            <w:noWrap/>
            <w:vAlign w:val="center"/>
          </w:tcPr>
          <w:p w14:paraId="4DA3DE9B">
            <w:pPr>
              <w:widowControl/>
              <w:jc w:val="center"/>
              <w:textAlignment w:val="center"/>
              <w:rPr>
                <w:rFonts w:hint="default" w:ascii="宋体" w:hAnsi="宋体" w:cs="宋体" w:eastAsiaTheme="minorEastAsia"/>
                <w:color w:val="000000"/>
                <w:sz w:val="24"/>
                <w:lang w:val="en-US" w:eastAsia="zh-CN"/>
              </w:rPr>
            </w:pPr>
            <w:r>
              <w:rPr>
                <w:rFonts w:hint="eastAsia" w:ascii="宋体" w:hAnsi="宋体" w:cs="宋体"/>
                <w:color w:val="000000"/>
                <w:kern w:val="0"/>
                <w:sz w:val="24"/>
                <w:lang w:val="en-US" w:eastAsia="zh-CN" w:bidi="ar"/>
              </w:rPr>
              <w:t>16</w:t>
            </w:r>
          </w:p>
        </w:tc>
        <w:tc>
          <w:tcPr>
            <w:tcW w:w="1467" w:type="dxa"/>
            <w:noWrap w:val="0"/>
            <w:vAlign w:val="center"/>
          </w:tcPr>
          <w:p w14:paraId="7C4A4784">
            <w:pPr>
              <w:widowControl/>
              <w:jc w:val="center"/>
              <w:textAlignment w:val="center"/>
              <w:rPr>
                <w:rFonts w:hint="eastAsia" w:ascii="宋体" w:hAnsi="宋体" w:cs="宋体"/>
                <w:color w:val="000000"/>
                <w:sz w:val="24"/>
              </w:rPr>
            </w:pPr>
            <w:r>
              <w:rPr>
                <w:rFonts w:hint="eastAsia" w:ascii="宋体" w:hAnsi="宋体" w:cs="宋体"/>
                <w:color w:val="000000"/>
                <w:kern w:val="0"/>
                <w:sz w:val="24"/>
                <w:lang w:eastAsia="zh-CN" w:bidi="ar"/>
              </w:rPr>
              <w:t>荣成市市场监督管理局</w:t>
            </w:r>
          </w:p>
        </w:tc>
        <w:tc>
          <w:tcPr>
            <w:tcW w:w="1825" w:type="dxa"/>
            <w:noWrap w:val="0"/>
            <w:vAlign w:val="center"/>
          </w:tcPr>
          <w:p w14:paraId="592FA58A">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社会信用代码证明</w:t>
            </w:r>
          </w:p>
        </w:tc>
        <w:tc>
          <w:tcPr>
            <w:tcW w:w="2232" w:type="dxa"/>
            <w:noWrap w:val="0"/>
            <w:vAlign w:val="center"/>
          </w:tcPr>
          <w:p w14:paraId="3B5DB957">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特种设备使用登记</w:t>
            </w:r>
          </w:p>
        </w:tc>
        <w:tc>
          <w:tcPr>
            <w:tcW w:w="5587" w:type="dxa"/>
            <w:noWrap w:val="0"/>
            <w:vAlign w:val="center"/>
          </w:tcPr>
          <w:p w14:paraId="4EF09510">
            <w:pPr>
              <w:widowControl/>
              <w:textAlignment w:val="center"/>
              <w:rPr>
                <w:rFonts w:hint="eastAsia" w:ascii="宋体" w:hAnsi="宋体" w:cs="宋体"/>
                <w:color w:val="000000"/>
                <w:sz w:val="24"/>
              </w:rPr>
            </w:pPr>
            <w:r>
              <w:rPr>
                <w:rFonts w:hint="eastAsia" w:ascii="宋体" w:hAnsi="宋体" w:cs="宋体"/>
                <w:color w:val="000000"/>
                <w:kern w:val="0"/>
                <w:sz w:val="24"/>
                <w:lang w:bidi="ar"/>
              </w:rPr>
              <w:t>1.【法律】《特种设备安全法》（2013年6月中华人民共和国主席令第4号）第三十三条：“特种设备使用单位应当在特种设备投入使用前或者投入使用后三</w:t>
            </w:r>
            <w:r>
              <w:rPr>
                <w:rFonts w:hint="eastAsia" w:ascii="宋体" w:hAnsi="宋体" w:cs="宋体"/>
                <w:color w:val="000000"/>
                <w:spacing w:val="-6"/>
                <w:kern w:val="0"/>
                <w:sz w:val="24"/>
                <w:lang w:bidi="ar"/>
              </w:rPr>
              <w:t>十日内，向负责特种设备安全监督管理的部门办理使用登记，取得使用登记证书。”第四十八条：“特种设备存在严重事故隐患，无改造、修理价值，或者达到安全技术规范规定的其他报废条件的，特种设备使用单位应当依法履行报废义务，采取必要措施消除该特种设备的使用功能，并向原登记的负责特种设备安全监督管理的部门办理使用登记证书注销手续。”</w:t>
            </w:r>
            <w:r>
              <w:rPr>
                <w:rFonts w:hint="eastAsia" w:ascii="宋体" w:hAnsi="宋体" w:cs="宋体"/>
                <w:color w:val="000000"/>
                <w:spacing w:val="-6"/>
                <w:kern w:val="0"/>
                <w:sz w:val="24"/>
                <w:lang w:bidi="ar"/>
              </w:rPr>
              <w:br w:type="textWrapping"/>
            </w:r>
            <w:r>
              <w:rPr>
                <w:rFonts w:hint="eastAsia" w:ascii="宋体" w:hAnsi="宋体" w:cs="宋体"/>
                <w:color w:val="000000"/>
                <w:spacing w:val="-6"/>
                <w:kern w:val="0"/>
                <w:sz w:val="24"/>
                <w:lang w:bidi="ar"/>
              </w:rPr>
              <w:t>2.【行政法规】《特种设备安全监察条例》（2003年3月国务院令第373号，2009年1月修改）第二十五条：“特种设备在投入使用前或者投入使用后30日内，特种设备使用单位应当向直辖市或者设区的市的特种设备安全监督管理部</w:t>
            </w:r>
            <w:r>
              <w:rPr>
                <w:rFonts w:hint="eastAsia" w:ascii="宋体" w:hAnsi="宋体" w:cs="宋体"/>
                <w:color w:val="000000"/>
                <w:kern w:val="0"/>
                <w:sz w:val="24"/>
                <w:lang w:bidi="ar"/>
              </w:rPr>
              <w:t>门登记。登记标志应当置于或者附着于该特种设备的显著位置。”</w:t>
            </w:r>
            <w:r>
              <w:rPr>
                <w:rFonts w:hint="eastAsia" w:ascii="宋体" w:hAnsi="宋体" w:cs="宋体"/>
                <w:color w:val="000000"/>
                <w:kern w:val="0"/>
                <w:sz w:val="24"/>
                <w:lang w:bidi="ar"/>
              </w:rPr>
              <w:br w:type="textWrapping"/>
            </w:r>
            <w:r>
              <w:rPr>
                <w:rFonts w:hint="eastAsia" w:ascii="宋体" w:hAnsi="宋体" w:cs="宋体"/>
                <w:color w:val="000000"/>
                <w:kern w:val="0"/>
                <w:sz w:val="24"/>
                <w:lang w:bidi="ar"/>
              </w:rPr>
              <w:t>3.【地方性法规】《山东省特种设备安全条例》（2015年12月通过）第十九条：“特种设备使用单位应当在特种设备投入使用前或者投入使用之日起三十日内，向设区的市人民政府特种设备安全监督管理部门或者其委托的县（市、区）人民政府特种设备安全监督管理部门办理使用登记；使用单位变更的，变更后的使用单位应当办理变更登记。”第二十四条第三款：“车用气瓶、非重复性充装气瓶和呼吸器用气瓶之外的气瓶充装单位，应当向县（市、区）人民政府特种设备安全监督管理部门办理自有或者托管气瓶的使用登记。”</w:t>
            </w:r>
            <w:r>
              <w:rPr>
                <w:rFonts w:hint="eastAsia" w:ascii="宋体" w:hAnsi="宋体" w:cs="宋体"/>
                <w:color w:val="000000"/>
                <w:kern w:val="0"/>
                <w:sz w:val="24"/>
                <w:lang w:bidi="ar"/>
              </w:rPr>
              <w:br w:type="textWrapping"/>
            </w:r>
            <w:r>
              <w:rPr>
                <w:rFonts w:hint="eastAsia" w:ascii="宋体" w:hAnsi="宋体" w:cs="宋体"/>
                <w:color w:val="000000"/>
                <w:kern w:val="0"/>
                <w:sz w:val="24"/>
                <w:lang w:bidi="ar"/>
              </w:rPr>
              <w:t>4.【文件】《特种设备使用管理规则》（2017年1月16日国家质量监督检验检疫总局颁布）：“3.4.1.1按台（套）办理使用单位申请办理特种设备使用登记时，应当逐台（套）填写使用登记表，向登记机关提交以下相应资料，并且对其真实性负责；”“（2）含有使用单位统一社会信用代码的证明或者个人身份证明（适用于公民个人所有的特种设备）；（5）机动车行驶证（适用于与机动车固定的移动式压力容器）、机动车登记证书（适用于与机动车固定的车用气瓶）。”</w:t>
            </w:r>
          </w:p>
        </w:tc>
        <w:tc>
          <w:tcPr>
            <w:tcW w:w="1671" w:type="dxa"/>
            <w:noWrap w:val="0"/>
            <w:vAlign w:val="center"/>
          </w:tcPr>
          <w:p w14:paraId="3AC3E1D5">
            <w:pPr>
              <w:widowControl/>
              <w:textAlignment w:val="center"/>
              <w:rPr>
                <w:rFonts w:hint="eastAsia" w:ascii="宋体" w:hAnsi="宋体" w:cs="宋体"/>
                <w:color w:val="000000"/>
                <w:sz w:val="24"/>
              </w:rPr>
            </w:pPr>
            <w:r>
              <w:rPr>
                <w:rFonts w:hint="eastAsia" w:ascii="宋体" w:hAnsi="宋体" w:cs="宋体"/>
                <w:color w:val="000000"/>
                <w:kern w:val="0"/>
                <w:sz w:val="24"/>
                <w:lang w:bidi="ar"/>
              </w:rPr>
              <w:t>市场监管部门</w:t>
            </w:r>
          </w:p>
        </w:tc>
        <w:tc>
          <w:tcPr>
            <w:tcW w:w="1374" w:type="dxa"/>
            <w:noWrap/>
            <w:vAlign w:val="center"/>
          </w:tcPr>
          <w:p w14:paraId="02FEA408">
            <w:pPr>
              <w:rPr>
                <w:rFonts w:hint="eastAsia" w:ascii="宋体" w:hAnsi="宋体" w:cs="宋体" w:eastAsiaTheme="minorEastAsia"/>
                <w:color w:val="000000"/>
                <w:sz w:val="24"/>
                <w:lang w:eastAsia="zh-CN"/>
              </w:rPr>
            </w:pPr>
            <w:r>
              <w:rPr>
                <w:rFonts w:hint="eastAsia" w:ascii="宋体" w:hAnsi="宋体" w:cs="宋体"/>
                <w:color w:val="000000"/>
                <w:sz w:val="24"/>
                <w:lang w:val="en-US" w:eastAsia="zh-CN"/>
              </w:rPr>
              <w:t xml:space="preserve"> </w:t>
            </w:r>
          </w:p>
        </w:tc>
      </w:tr>
      <w:tr w14:paraId="1ED9A6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8334" w:hRule="atLeast"/>
          <w:jc w:val="center"/>
        </w:trPr>
        <w:tc>
          <w:tcPr>
            <w:tcW w:w="920" w:type="dxa"/>
            <w:noWrap/>
            <w:vAlign w:val="center"/>
          </w:tcPr>
          <w:p w14:paraId="35836D18">
            <w:pPr>
              <w:widowControl/>
              <w:jc w:val="center"/>
              <w:textAlignment w:val="center"/>
              <w:rPr>
                <w:rFonts w:hint="default" w:ascii="宋体" w:hAnsi="宋体" w:cs="宋体" w:eastAsiaTheme="minorEastAsia"/>
                <w:color w:val="000000"/>
                <w:sz w:val="24"/>
                <w:lang w:val="en-US" w:eastAsia="zh-CN"/>
              </w:rPr>
            </w:pPr>
            <w:r>
              <w:rPr>
                <w:rFonts w:hint="eastAsia" w:ascii="宋体" w:hAnsi="宋体" w:cs="宋体"/>
                <w:color w:val="000000"/>
                <w:kern w:val="0"/>
                <w:sz w:val="24"/>
                <w:lang w:val="en-US" w:eastAsia="zh-CN" w:bidi="ar"/>
              </w:rPr>
              <w:t>17</w:t>
            </w:r>
          </w:p>
        </w:tc>
        <w:tc>
          <w:tcPr>
            <w:tcW w:w="1467" w:type="dxa"/>
            <w:noWrap w:val="0"/>
            <w:vAlign w:val="center"/>
          </w:tcPr>
          <w:p w14:paraId="556D19D6">
            <w:pPr>
              <w:widowControl/>
              <w:jc w:val="center"/>
              <w:textAlignment w:val="center"/>
              <w:rPr>
                <w:rFonts w:hint="eastAsia" w:ascii="宋体" w:hAnsi="宋体" w:cs="宋体"/>
                <w:color w:val="000000"/>
                <w:sz w:val="24"/>
              </w:rPr>
            </w:pPr>
            <w:r>
              <w:rPr>
                <w:rFonts w:hint="eastAsia" w:ascii="宋体" w:hAnsi="宋体" w:cs="宋体"/>
                <w:color w:val="000000"/>
                <w:kern w:val="0"/>
                <w:sz w:val="24"/>
                <w:lang w:eastAsia="zh-CN" w:bidi="ar"/>
              </w:rPr>
              <w:t>荣成市市场监督管理局</w:t>
            </w:r>
          </w:p>
        </w:tc>
        <w:tc>
          <w:tcPr>
            <w:tcW w:w="1825" w:type="dxa"/>
            <w:noWrap w:val="0"/>
            <w:vAlign w:val="center"/>
          </w:tcPr>
          <w:p w14:paraId="2F31C8CA">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机动车行</w:t>
            </w:r>
            <w:r>
              <w:rPr>
                <w:rFonts w:hint="eastAsia" w:ascii="宋体" w:hAnsi="宋体" w:cs="宋体"/>
                <w:color w:val="000000"/>
                <w:kern w:val="0"/>
                <w:sz w:val="24"/>
                <w:lang w:bidi="ar"/>
              </w:rPr>
              <w:br w:type="textWrapping"/>
            </w:r>
            <w:r>
              <w:rPr>
                <w:rFonts w:hint="eastAsia" w:ascii="宋体" w:hAnsi="宋体" w:cs="宋体"/>
                <w:color w:val="000000"/>
                <w:kern w:val="0"/>
                <w:sz w:val="24"/>
                <w:lang w:bidi="ar"/>
              </w:rPr>
              <w:t>驶证</w:t>
            </w:r>
          </w:p>
        </w:tc>
        <w:tc>
          <w:tcPr>
            <w:tcW w:w="2232" w:type="dxa"/>
            <w:noWrap w:val="0"/>
            <w:vAlign w:val="center"/>
          </w:tcPr>
          <w:p w14:paraId="25288818">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特种设备使用登记</w:t>
            </w:r>
          </w:p>
        </w:tc>
        <w:tc>
          <w:tcPr>
            <w:tcW w:w="5587" w:type="dxa"/>
            <w:noWrap w:val="0"/>
            <w:vAlign w:val="center"/>
          </w:tcPr>
          <w:p w14:paraId="10916036">
            <w:pPr>
              <w:widowControl/>
              <w:textAlignment w:val="center"/>
              <w:rPr>
                <w:rFonts w:hint="eastAsia" w:ascii="宋体" w:hAnsi="宋体" w:cs="宋体"/>
                <w:color w:val="000000"/>
                <w:sz w:val="24"/>
              </w:rPr>
            </w:pPr>
            <w:r>
              <w:rPr>
                <w:rFonts w:hint="eastAsia" w:ascii="宋体" w:hAnsi="宋体" w:cs="宋体"/>
                <w:color w:val="000000"/>
                <w:kern w:val="0"/>
                <w:sz w:val="24"/>
                <w:lang w:bidi="ar"/>
              </w:rPr>
              <w:t>1.【法律】《特种设备安全法》（2013年6月中华人民共和国主席令第4号）第三十三条：“特种设备使用单位应当在特种设备投入使用前或者投入使用后三十日内，向负责特种设备安全监督管理的部门办理使用登记，取得使用登记证书。</w:t>
            </w:r>
            <w:r>
              <w:rPr>
                <w:rFonts w:hint="eastAsia" w:ascii="宋体" w:hAnsi="宋体" w:cs="宋体"/>
                <w:color w:val="000000"/>
                <w:spacing w:val="-6"/>
                <w:kern w:val="0"/>
                <w:sz w:val="24"/>
                <w:lang w:bidi="ar"/>
              </w:rPr>
              <w:t>”第四十八条：“特种设备存在严重事故隐患，无改造、修理价值，或者达到安全技术规范规定的其他报废条件的，特种设备使用单位应当依法履行报废义务，采取必要措施消除该特种设备的使用功能，并向原登记的负责特种设备安全监督管理的部门办理使用登记证书注销手续。”</w:t>
            </w:r>
            <w:r>
              <w:rPr>
                <w:rFonts w:hint="eastAsia" w:ascii="宋体" w:hAnsi="宋体" w:cs="宋体"/>
                <w:color w:val="000000"/>
                <w:spacing w:val="-6"/>
                <w:kern w:val="0"/>
                <w:sz w:val="24"/>
                <w:lang w:bidi="ar"/>
              </w:rPr>
              <w:br w:type="textWrapping"/>
            </w:r>
            <w:r>
              <w:rPr>
                <w:rFonts w:hint="eastAsia" w:ascii="宋体" w:hAnsi="宋体" w:cs="宋体"/>
                <w:color w:val="000000"/>
                <w:spacing w:val="-6"/>
                <w:kern w:val="0"/>
                <w:sz w:val="24"/>
                <w:lang w:bidi="ar"/>
              </w:rPr>
              <w:t>2.【行政法规】《特种设备安全监察条例》（2003年3月国务院令第373号，2009年1月修改）第二十五条：“特种设备在投入使用前或者投入使用后30日内，特种设备使用单</w:t>
            </w:r>
            <w:r>
              <w:rPr>
                <w:rFonts w:hint="eastAsia" w:ascii="宋体" w:hAnsi="宋体" w:cs="宋体"/>
                <w:color w:val="000000"/>
                <w:kern w:val="0"/>
                <w:sz w:val="24"/>
                <w:lang w:bidi="ar"/>
              </w:rPr>
              <w:t>位应当向直辖市或者设区的市的特种设备安全监督管理部门登记。登记标志应当置于或者附着于该特种设备的显著位置。”</w:t>
            </w:r>
            <w:r>
              <w:rPr>
                <w:rFonts w:hint="eastAsia" w:ascii="宋体" w:hAnsi="宋体" w:cs="宋体"/>
                <w:color w:val="000000"/>
                <w:kern w:val="0"/>
                <w:sz w:val="24"/>
                <w:lang w:bidi="ar"/>
              </w:rPr>
              <w:br w:type="textWrapping"/>
            </w:r>
            <w:r>
              <w:rPr>
                <w:rFonts w:hint="eastAsia" w:ascii="宋体" w:hAnsi="宋体" w:cs="宋体"/>
                <w:color w:val="000000"/>
                <w:kern w:val="0"/>
                <w:sz w:val="24"/>
                <w:lang w:bidi="ar"/>
              </w:rPr>
              <w:t>3.【地方性法规】《山东省特种设备安全条例》（2015年12月通过）第十九条：“特种设备使用单位应当在特种设备投入使用前或者投入使用之日起三十日内，向设区的市人民政府特种设备安全监督管理部门或者其委托的县（市、区）人民政府特种设备安全监督管理部门办理使用登记；使用单位变更的，变更后的使用单位应当办理变更登记。”第二十四条第三款：“车用气瓶、非重复性充装气瓶和呼吸器用气瓶之外的气瓶充装单位，应当向县（市、区）人民政府特种设备安全监督管理部门办理自有或者托管气瓶的使用登记。”</w:t>
            </w:r>
            <w:r>
              <w:rPr>
                <w:rFonts w:hint="eastAsia" w:ascii="宋体" w:hAnsi="宋体" w:cs="宋体"/>
                <w:color w:val="000000"/>
                <w:kern w:val="0"/>
                <w:sz w:val="24"/>
                <w:lang w:bidi="ar"/>
              </w:rPr>
              <w:br w:type="textWrapping"/>
            </w:r>
            <w:r>
              <w:rPr>
                <w:rFonts w:hint="eastAsia" w:ascii="宋体" w:hAnsi="宋体" w:cs="宋体"/>
                <w:color w:val="000000"/>
                <w:kern w:val="0"/>
                <w:sz w:val="24"/>
                <w:lang w:bidi="ar"/>
              </w:rPr>
              <w:t>4.【文件】《特种设备使用管理规则》（2017年1月16日国家质量监督检验检疫总局颁布）：“3.4.1.1按台（套）办理使用单位申请办理特种设备使用登记时，应当逐台（套）填写使用登记表，向登记机关提交以下相应资料，并且对其真实性负责；”“（2）含有使用单位统一社会信用代码的证明或者个人身份证明（适用于公民个人所有的特种设备）；（5）机动车行驶证（适用于与机动车固定的移动式压力容器）、机动车登记证书（适用于与机动车固定的车用气瓶）。”</w:t>
            </w:r>
          </w:p>
        </w:tc>
        <w:tc>
          <w:tcPr>
            <w:tcW w:w="1671" w:type="dxa"/>
            <w:noWrap w:val="0"/>
            <w:vAlign w:val="center"/>
          </w:tcPr>
          <w:p w14:paraId="40675999">
            <w:pPr>
              <w:widowControl/>
              <w:textAlignment w:val="center"/>
              <w:rPr>
                <w:rFonts w:hint="eastAsia" w:ascii="宋体" w:hAnsi="宋体" w:cs="宋体"/>
                <w:color w:val="000000"/>
                <w:sz w:val="24"/>
              </w:rPr>
            </w:pPr>
            <w:r>
              <w:rPr>
                <w:rFonts w:hint="eastAsia" w:ascii="宋体" w:hAnsi="宋体" w:cs="宋体"/>
                <w:color w:val="000000"/>
                <w:kern w:val="0"/>
                <w:sz w:val="24"/>
                <w:lang w:bidi="ar"/>
              </w:rPr>
              <w:t>公安部门</w:t>
            </w:r>
          </w:p>
        </w:tc>
        <w:tc>
          <w:tcPr>
            <w:tcW w:w="1374" w:type="dxa"/>
            <w:noWrap/>
            <w:vAlign w:val="center"/>
          </w:tcPr>
          <w:p w14:paraId="7B4C4E99">
            <w:pPr>
              <w:rPr>
                <w:rFonts w:hint="eastAsia" w:ascii="宋体" w:hAnsi="宋体" w:cs="宋体" w:eastAsiaTheme="minorEastAsia"/>
                <w:color w:val="000000"/>
                <w:sz w:val="24"/>
                <w:lang w:eastAsia="zh-CN"/>
              </w:rPr>
            </w:pPr>
            <w:r>
              <w:rPr>
                <w:rFonts w:hint="eastAsia" w:ascii="宋体" w:hAnsi="宋体" w:cs="宋体"/>
                <w:color w:val="000000"/>
                <w:sz w:val="24"/>
                <w:lang w:val="en-US" w:eastAsia="zh-CN"/>
              </w:rPr>
              <w:t xml:space="preserve"> </w:t>
            </w:r>
          </w:p>
        </w:tc>
      </w:tr>
      <w:tr w14:paraId="1EE273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8334" w:hRule="atLeast"/>
          <w:jc w:val="center"/>
        </w:trPr>
        <w:tc>
          <w:tcPr>
            <w:tcW w:w="920" w:type="dxa"/>
            <w:noWrap/>
            <w:vAlign w:val="center"/>
          </w:tcPr>
          <w:p w14:paraId="70003348">
            <w:pPr>
              <w:widowControl/>
              <w:jc w:val="center"/>
              <w:textAlignment w:val="center"/>
              <w:rPr>
                <w:rFonts w:hint="default" w:ascii="宋体" w:hAnsi="宋体" w:cs="宋体" w:eastAsiaTheme="minorEastAsia"/>
                <w:color w:val="000000"/>
                <w:sz w:val="24"/>
                <w:lang w:val="en-US" w:eastAsia="zh-CN"/>
              </w:rPr>
            </w:pPr>
            <w:r>
              <w:rPr>
                <w:rFonts w:hint="eastAsia" w:ascii="宋体" w:hAnsi="宋体" w:cs="宋体"/>
                <w:color w:val="000000"/>
                <w:kern w:val="0"/>
                <w:sz w:val="24"/>
                <w:lang w:val="en-US" w:eastAsia="zh-CN" w:bidi="ar"/>
              </w:rPr>
              <w:t>18</w:t>
            </w:r>
          </w:p>
        </w:tc>
        <w:tc>
          <w:tcPr>
            <w:tcW w:w="1467" w:type="dxa"/>
            <w:noWrap w:val="0"/>
            <w:vAlign w:val="center"/>
          </w:tcPr>
          <w:p w14:paraId="47BC75C7">
            <w:pPr>
              <w:widowControl/>
              <w:jc w:val="center"/>
              <w:textAlignment w:val="center"/>
              <w:rPr>
                <w:rFonts w:hint="eastAsia" w:ascii="宋体" w:hAnsi="宋体" w:cs="宋体"/>
                <w:color w:val="000000"/>
                <w:sz w:val="24"/>
              </w:rPr>
            </w:pPr>
            <w:r>
              <w:rPr>
                <w:rFonts w:hint="eastAsia" w:ascii="宋体" w:hAnsi="宋体" w:cs="宋体"/>
                <w:color w:val="000000"/>
                <w:kern w:val="0"/>
                <w:sz w:val="24"/>
                <w:lang w:eastAsia="zh-CN" w:bidi="ar"/>
              </w:rPr>
              <w:t>荣成市市场监督管理局</w:t>
            </w:r>
          </w:p>
        </w:tc>
        <w:tc>
          <w:tcPr>
            <w:tcW w:w="1825" w:type="dxa"/>
            <w:noWrap w:val="0"/>
            <w:vAlign w:val="center"/>
          </w:tcPr>
          <w:p w14:paraId="2744E862">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机动车登</w:t>
            </w:r>
            <w:r>
              <w:rPr>
                <w:rFonts w:hint="eastAsia" w:ascii="宋体" w:hAnsi="宋体" w:cs="宋体"/>
                <w:color w:val="000000"/>
                <w:kern w:val="0"/>
                <w:sz w:val="24"/>
                <w:lang w:bidi="ar"/>
              </w:rPr>
              <w:br w:type="textWrapping"/>
            </w:r>
            <w:r>
              <w:rPr>
                <w:rFonts w:hint="eastAsia" w:ascii="宋体" w:hAnsi="宋体" w:cs="宋体"/>
                <w:color w:val="000000"/>
                <w:kern w:val="0"/>
                <w:sz w:val="24"/>
                <w:lang w:bidi="ar"/>
              </w:rPr>
              <w:t>记证</w:t>
            </w:r>
          </w:p>
        </w:tc>
        <w:tc>
          <w:tcPr>
            <w:tcW w:w="2232" w:type="dxa"/>
            <w:noWrap w:val="0"/>
            <w:vAlign w:val="center"/>
          </w:tcPr>
          <w:p w14:paraId="77F4CB55">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特种设备使用登记</w:t>
            </w:r>
          </w:p>
        </w:tc>
        <w:tc>
          <w:tcPr>
            <w:tcW w:w="5587" w:type="dxa"/>
            <w:noWrap w:val="0"/>
            <w:vAlign w:val="center"/>
          </w:tcPr>
          <w:p w14:paraId="1AF325F7">
            <w:pPr>
              <w:widowControl/>
              <w:textAlignment w:val="center"/>
              <w:rPr>
                <w:rFonts w:hint="eastAsia" w:ascii="宋体" w:hAnsi="宋体" w:cs="宋体"/>
                <w:color w:val="000000"/>
                <w:sz w:val="24"/>
              </w:rPr>
            </w:pPr>
            <w:r>
              <w:rPr>
                <w:rFonts w:hint="eastAsia" w:ascii="宋体" w:hAnsi="宋体" w:cs="宋体"/>
                <w:color w:val="000000"/>
                <w:kern w:val="0"/>
                <w:sz w:val="24"/>
                <w:lang w:bidi="ar"/>
              </w:rPr>
              <w:t>1.【法律】《特种设备安全法》（2013年6月中华人民共和国主席令第4号）第三十三条：“特种设备使用单位应当在特种设备投入使用前或者投入使用后三十</w:t>
            </w:r>
            <w:r>
              <w:rPr>
                <w:rFonts w:hint="eastAsia" w:ascii="宋体" w:hAnsi="宋体" w:cs="宋体"/>
                <w:color w:val="000000"/>
                <w:spacing w:val="-6"/>
                <w:kern w:val="0"/>
                <w:sz w:val="24"/>
                <w:lang w:bidi="ar"/>
              </w:rPr>
              <w:t>日内，向负责特种设备安全监督管理的部门办理使用登记，取得使用登记证书。”第四十八条：“特种设备存在严重事故隐患，无改造、修理价值，或者达到安全技术规范规定的其他报废条件的，特种设备使用单位应当依法履行报废义务，采取必要措施消除该特种设备的使用功能，并向原登记的负责特种设备安全监督管理的部门办理使用登记证书注销手续。”</w:t>
            </w:r>
            <w:r>
              <w:rPr>
                <w:rFonts w:hint="eastAsia" w:ascii="宋体" w:hAnsi="宋体" w:cs="宋体"/>
                <w:color w:val="000000"/>
                <w:spacing w:val="-6"/>
                <w:kern w:val="0"/>
                <w:sz w:val="24"/>
                <w:lang w:bidi="ar"/>
              </w:rPr>
              <w:br w:type="textWrapping"/>
            </w:r>
            <w:r>
              <w:rPr>
                <w:rFonts w:hint="eastAsia" w:ascii="宋体" w:hAnsi="宋体" w:cs="宋体"/>
                <w:color w:val="000000"/>
                <w:spacing w:val="-6"/>
                <w:kern w:val="0"/>
                <w:sz w:val="24"/>
                <w:lang w:bidi="ar"/>
              </w:rPr>
              <w:t>2.【行政法规】《特种设备安全监察条例》（2003年3月国务院令第373号，2009年1月修</w:t>
            </w:r>
            <w:r>
              <w:rPr>
                <w:rFonts w:hint="eastAsia" w:ascii="宋体" w:hAnsi="宋体" w:cs="宋体"/>
                <w:color w:val="000000"/>
                <w:kern w:val="0"/>
                <w:sz w:val="24"/>
                <w:lang w:bidi="ar"/>
              </w:rPr>
              <w:t>改）第二十五条：“特种设备在投入使用前或者投入使用后30日内，特种设备使用单位应当向直辖市或者设区的市的特种设备安全监督管理部门登记。登记标志应当置于或者附着于该特种设备的显著位置。”</w:t>
            </w:r>
            <w:r>
              <w:rPr>
                <w:rFonts w:hint="eastAsia" w:ascii="宋体" w:hAnsi="宋体" w:cs="宋体"/>
                <w:color w:val="000000"/>
                <w:kern w:val="0"/>
                <w:sz w:val="24"/>
                <w:lang w:bidi="ar"/>
              </w:rPr>
              <w:br w:type="textWrapping"/>
            </w:r>
            <w:r>
              <w:rPr>
                <w:rFonts w:hint="eastAsia" w:ascii="宋体" w:hAnsi="宋体" w:cs="宋体"/>
                <w:color w:val="000000"/>
                <w:kern w:val="0"/>
                <w:sz w:val="24"/>
                <w:lang w:bidi="ar"/>
              </w:rPr>
              <w:t>3.【地方性法规】《山东省特种设备安全条例》（2015年12月通过）第十九条：“特种设备使用单位应当在特种设备投入使用前或者投入使用之日起三十日内，向设区的市人民政府特种设备安全监督管理部门或者其委托的县（市、区）人民政府特种设备安全监督管理部门办理使用登记；使用单位变更的，变更后的使用单位应当办理变更登记。”第二十四条第三款：“车用气瓶、非重复性充装气瓶和呼吸器用气瓶之外的气瓶充装单位，应当向县（市、区）人民政府特种设备安全监督管理部门办理自有或者托管气瓶的使用登记。”</w:t>
            </w:r>
            <w:r>
              <w:rPr>
                <w:rFonts w:hint="eastAsia" w:ascii="宋体" w:hAnsi="宋体" w:cs="宋体"/>
                <w:color w:val="000000"/>
                <w:kern w:val="0"/>
                <w:sz w:val="24"/>
                <w:lang w:bidi="ar"/>
              </w:rPr>
              <w:br w:type="textWrapping"/>
            </w:r>
            <w:r>
              <w:rPr>
                <w:rFonts w:hint="eastAsia" w:ascii="宋体" w:hAnsi="宋体" w:cs="宋体"/>
                <w:color w:val="000000"/>
                <w:kern w:val="0"/>
                <w:sz w:val="24"/>
                <w:lang w:bidi="ar"/>
              </w:rPr>
              <w:t>4.【文件】《特种设备使用管理规则》（2017年1月16日国家质量监督检验检疫总局颁布）：“3.4.1.1按台（套）办理使用单位申请办理特种设备使用登记时，应当逐台（套）填写使用登记表，向登记机关提交以下相应资料，并且对其真实性负责；”“（2）含有使用单位统一社会信用代码的证明或者个人身份证明（适用于公民个人所有的特种设备）；（5）机动车行驶证（适用于与机动车固定的移动式压力容器）、机动车登记证书（适用于与机动车固定的车用气瓶）。”</w:t>
            </w:r>
          </w:p>
        </w:tc>
        <w:tc>
          <w:tcPr>
            <w:tcW w:w="1671" w:type="dxa"/>
            <w:noWrap w:val="0"/>
            <w:vAlign w:val="center"/>
          </w:tcPr>
          <w:p w14:paraId="5B33594A">
            <w:pPr>
              <w:widowControl/>
              <w:textAlignment w:val="center"/>
              <w:rPr>
                <w:rFonts w:hint="eastAsia" w:ascii="宋体" w:hAnsi="宋体" w:cs="宋体"/>
                <w:color w:val="000000"/>
                <w:sz w:val="24"/>
              </w:rPr>
            </w:pPr>
            <w:r>
              <w:rPr>
                <w:rFonts w:hint="eastAsia" w:ascii="宋体" w:hAnsi="宋体" w:cs="宋体"/>
                <w:color w:val="000000"/>
                <w:kern w:val="0"/>
                <w:sz w:val="24"/>
                <w:lang w:bidi="ar"/>
              </w:rPr>
              <w:t>公安部门</w:t>
            </w:r>
          </w:p>
        </w:tc>
        <w:tc>
          <w:tcPr>
            <w:tcW w:w="1374" w:type="dxa"/>
            <w:noWrap/>
            <w:vAlign w:val="center"/>
          </w:tcPr>
          <w:p w14:paraId="1DDA3EE8">
            <w:pPr>
              <w:rPr>
                <w:rFonts w:hint="eastAsia" w:ascii="宋体" w:hAnsi="宋体" w:cs="宋体" w:eastAsiaTheme="minorEastAsia"/>
                <w:color w:val="000000"/>
                <w:sz w:val="24"/>
                <w:lang w:eastAsia="zh-CN"/>
              </w:rPr>
            </w:pPr>
            <w:r>
              <w:rPr>
                <w:rFonts w:hint="eastAsia" w:ascii="宋体" w:hAnsi="宋体" w:cs="宋体"/>
                <w:color w:val="000000"/>
                <w:sz w:val="24"/>
                <w:lang w:val="en-US" w:eastAsia="zh-CN"/>
              </w:rPr>
              <w:t xml:space="preserve"> </w:t>
            </w:r>
          </w:p>
        </w:tc>
      </w:tr>
      <w:tr w14:paraId="7B4C72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4139" w:hRule="atLeast"/>
          <w:jc w:val="center"/>
        </w:trPr>
        <w:tc>
          <w:tcPr>
            <w:tcW w:w="920" w:type="dxa"/>
            <w:noWrap/>
            <w:vAlign w:val="center"/>
          </w:tcPr>
          <w:p w14:paraId="1DDB0CA0">
            <w:pPr>
              <w:widowControl/>
              <w:jc w:val="center"/>
              <w:textAlignment w:val="center"/>
              <w:rPr>
                <w:rFonts w:hint="default" w:ascii="宋体" w:hAnsi="宋体" w:cs="宋体" w:eastAsiaTheme="minorEastAsia"/>
                <w:color w:val="000000"/>
                <w:sz w:val="24"/>
                <w:lang w:val="en-US" w:eastAsia="zh-CN"/>
              </w:rPr>
            </w:pPr>
            <w:r>
              <w:rPr>
                <w:rFonts w:hint="eastAsia" w:ascii="宋体" w:hAnsi="宋体" w:cs="宋体"/>
                <w:color w:val="000000"/>
                <w:kern w:val="0"/>
                <w:sz w:val="24"/>
                <w:lang w:val="en-US" w:eastAsia="zh-CN" w:bidi="ar"/>
              </w:rPr>
              <w:t>19</w:t>
            </w:r>
          </w:p>
        </w:tc>
        <w:tc>
          <w:tcPr>
            <w:tcW w:w="1467" w:type="dxa"/>
            <w:noWrap w:val="0"/>
            <w:vAlign w:val="center"/>
          </w:tcPr>
          <w:p w14:paraId="177804B7">
            <w:pPr>
              <w:widowControl/>
              <w:jc w:val="center"/>
              <w:textAlignment w:val="center"/>
              <w:rPr>
                <w:rFonts w:hint="eastAsia" w:ascii="宋体" w:hAnsi="宋体" w:cs="宋体"/>
                <w:color w:val="000000"/>
                <w:sz w:val="24"/>
              </w:rPr>
            </w:pPr>
            <w:r>
              <w:rPr>
                <w:rFonts w:hint="eastAsia" w:ascii="宋体" w:hAnsi="宋体" w:cs="宋体"/>
                <w:color w:val="000000"/>
                <w:kern w:val="0"/>
                <w:sz w:val="24"/>
                <w:lang w:eastAsia="zh-CN" w:bidi="ar"/>
              </w:rPr>
              <w:t>荣成市市场监督管理局</w:t>
            </w:r>
          </w:p>
        </w:tc>
        <w:tc>
          <w:tcPr>
            <w:tcW w:w="1825" w:type="dxa"/>
            <w:noWrap w:val="0"/>
            <w:vAlign w:val="center"/>
          </w:tcPr>
          <w:p w14:paraId="6C2B44E4">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特种设备安全管理和作业人员证</w:t>
            </w:r>
          </w:p>
        </w:tc>
        <w:tc>
          <w:tcPr>
            <w:tcW w:w="2232" w:type="dxa"/>
            <w:noWrap w:val="0"/>
            <w:vAlign w:val="center"/>
          </w:tcPr>
          <w:p w14:paraId="2CE7263C">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接受电梯维护保养单位首次维保前的书面告知</w:t>
            </w:r>
          </w:p>
        </w:tc>
        <w:tc>
          <w:tcPr>
            <w:tcW w:w="5587" w:type="dxa"/>
            <w:noWrap w:val="0"/>
            <w:vAlign w:val="center"/>
          </w:tcPr>
          <w:p w14:paraId="1FC7BC3A">
            <w:pPr>
              <w:widowControl/>
              <w:numPr>
                <w:ilvl w:val="0"/>
                <w:numId w:val="1"/>
              </w:numPr>
              <w:textAlignment w:val="center"/>
              <w:rPr>
                <w:rFonts w:hint="eastAsia" w:ascii="宋体" w:hAnsi="宋体" w:cs="宋体"/>
                <w:color w:val="000000"/>
                <w:sz w:val="24"/>
              </w:rPr>
            </w:pPr>
            <w:r>
              <w:rPr>
                <w:rFonts w:hint="eastAsia" w:ascii="宋体" w:hAnsi="宋体" w:cs="宋体"/>
                <w:color w:val="000000"/>
                <w:kern w:val="0"/>
                <w:sz w:val="24"/>
                <w:lang w:bidi="ar"/>
              </w:rPr>
              <w:t>【地方性法规】《山东省特种设备安全条例》（2015年12月通过）第三十二条：“电梯维护保养单位在电梯所在地首次开展维护保养前，应当书面告知电梯所在地设区的市人民政府特种设备安全监督管理部门。”</w:t>
            </w:r>
            <w:r>
              <w:rPr>
                <w:rFonts w:hint="eastAsia" w:ascii="宋体" w:hAnsi="宋体" w:cs="宋体"/>
                <w:color w:val="000000"/>
                <w:kern w:val="0"/>
                <w:sz w:val="24"/>
                <w:lang w:bidi="ar"/>
              </w:rPr>
              <w:br w:type="textWrapping"/>
            </w:r>
            <w:r>
              <w:rPr>
                <w:rFonts w:hint="eastAsia" w:ascii="宋体" w:hAnsi="宋体" w:cs="宋体"/>
                <w:color w:val="000000"/>
                <w:kern w:val="0"/>
                <w:sz w:val="24"/>
                <w:lang w:bidi="ar"/>
              </w:rPr>
              <w:t>2.【文件】《山东省市场监督管理局关于继续实施好电梯维护保养单位告知性登记制度的通知》（鲁市监特设规字〔2019〕6号）：“拟在我省从事电梯维护保养工作的单位，应在开展维保工作之前到当地设区的市市场监管部门进行告知性登记。告知性登记提供如下资料：（二）受聘拟在当地从事维保工作的电梯修理作业人员名单及其作业证书原件及复印件一份（加盖单位公章）。”</w:t>
            </w:r>
          </w:p>
        </w:tc>
        <w:tc>
          <w:tcPr>
            <w:tcW w:w="1671" w:type="dxa"/>
            <w:noWrap w:val="0"/>
            <w:vAlign w:val="center"/>
          </w:tcPr>
          <w:p w14:paraId="640A6A41">
            <w:pPr>
              <w:widowControl/>
              <w:textAlignment w:val="center"/>
              <w:rPr>
                <w:rFonts w:hint="eastAsia" w:ascii="宋体" w:hAnsi="宋体" w:cs="宋体"/>
                <w:color w:val="000000"/>
                <w:sz w:val="24"/>
              </w:rPr>
            </w:pPr>
            <w:r>
              <w:rPr>
                <w:rFonts w:hint="eastAsia" w:ascii="宋体" w:hAnsi="宋体" w:cs="宋体"/>
                <w:color w:val="000000"/>
                <w:kern w:val="0"/>
                <w:sz w:val="24"/>
                <w:lang w:bidi="ar"/>
              </w:rPr>
              <w:t>市场监管部门、行政审批服务部门</w:t>
            </w:r>
          </w:p>
        </w:tc>
        <w:tc>
          <w:tcPr>
            <w:tcW w:w="1374" w:type="dxa"/>
            <w:noWrap/>
            <w:vAlign w:val="center"/>
          </w:tcPr>
          <w:p w14:paraId="501B359C">
            <w:pPr>
              <w:rPr>
                <w:rFonts w:hint="eastAsia" w:ascii="宋体" w:hAnsi="宋体" w:cs="宋体" w:eastAsiaTheme="minorEastAsia"/>
                <w:color w:val="000000"/>
                <w:sz w:val="24"/>
                <w:lang w:eastAsia="zh-CN"/>
              </w:rPr>
            </w:pPr>
            <w:r>
              <w:rPr>
                <w:rFonts w:hint="eastAsia" w:ascii="宋体" w:hAnsi="宋体" w:cs="宋体"/>
                <w:color w:val="000000"/>
                <w:sz w:val="24"/>
                <w:lang w:val="en-US" w:eastAsia="zh-CN"/>
              </w:rPr>
              <w:t xml:space="preserve"> </w:t>
            </w:r>
          </w:p>
        </w:tc>
      </w:tr>
      <w:tr w14:paraId="4C6A16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3000" w:hRule="atLeast"/>
          <w:jc w:val="center"/>
        </w:trPr>
        <w:tc>
          <w:tcPr>
            <w:tcW w:w="920" w:type="dxa"/>
            <w:noWrap/>
            <w:vAlign w:val="center"/>
          </w:tcPr>
          <w:p w14:paraId="72ADE429">
            <w:pPr>
              <w:widowControl/>
              <w:jc w:val="center"/>
              <w:textAlignment w:val="center"/>
              <w:rPr>
                <w:rFonts w:hint="default" w:ascii="宋体" w:hAnsi="宋体" w:cs="宋体" w:eastAsiaTheme="minorEastAsia"/>
                <w:color w:val="000000"/>
                <w:kern w:val="2"/>
                <w:sz w:val="24"/>
                <w:szCs w:val="24"/>
                <w:lang w:val="en-US" w:eastAsia="zh-CN" w:bidi="ar-SA"/>
              </w:rPr>
            </w:pPr>
            <w:r>
              <w:rPr>
                <w:rFonts w:hint="eastAsia" w:ascii="宋体" w:hAnsi="宋体" w:cs="宋体"/>
                <w:color w:val="000000"/>
                <w:kern w:val="0"/>
                <w:sz w:val="24"/>
                <w:lang w:val="en-US" w:eastAsia="zh-CN" w:bidi="ar"/>
              </w:rPr>
              <w:t>20</w:t>
            </w:r>
          </w:p>
        </w:tc>
        <w:tc>
          <w:tcPr>
            <w:tcW w:w="1467" w:type="dxa"/>
            <w:noWrap w:val="0"/>
            <w:vAlign w:val="center"/>
          </w:tcPr>
          <w:p w14:paraId="6F737E2F">
            <w:pPr>
              <w:widowControl/>
              <w:jc w:val="center"/>
              <w:textAlignment w:val="center"/>
              <w:rPr>
                <w:rFonts w:hint="eastAsia" w:ascii="宋体" w:hAnsi="宋体" w:cs="宋体" w:eastAsiaTheme="minorEastAsia"/>
                <w:color w:val="000000"/>
                <w:kern w:val="2"/>
                <w:sz w:val="24"/>
                <w:szCs w:val="24"/>
                <w:lang w:val="en-US" w:eastAsia="zh-CN" w:bidi="ar-SA"/>
              </w:rPr>
            </w:pPr>
            <w:r>
              <w:rPr>
                <w:rFonts w:hint="eastAsia" w:ascii="宋体" w:hAnsi="宋体" w:cs="宋体"/>
                <w:color w:val="000000"/>
                <w:kern w:val="0"/>
                <w:sz w:val="24"/>
                <w:lang w:eastAsia="zh-CN" w:bidi="ar"/>
              </w:rPr>
              <w:t>荣成市市场监督管理局</w:t>
            </w:r>
          </w:p>
        </w:tc>
        <w:tc>
          <w:tcPr>
            <w:tcW w:w="1825" w:type="dxa"/>
            <w:noWrap w:val="0"/>
            <w:vAlign w:val="center"/>
          </w:tcPr>
          <w:p w14:paraId="5DA2CBD5">
            <w:pPr>
              <w:widowControl/>
              <w:jc w:val="center"/>
              <w:textAlignment w:val="center"/>
              <w:rPr>
                <w:rFonts w:hint="eastAsia" w:ascii="宋体" w:hAnsi="宋体" w:cs="宋体" w:eastAsiaTheme="minorEastAsia"/>
                <w:color w:val="000000"/>
                <w:kern w:val="2"/>
                <w:sz w:val="24"/>
                <w:szCs w:val="24"/>
                <w:lang w:val="en-US" w:eastAsia="zh-CN" w:bidi="ar-SA"/>
              </w:rPr>
            </w:pPr>
            <w:r>
              <w:rPr>
                <w:rFonts w:hint="eastAsia" w:ascii="宋体" w:hAnsi="宋体" w:cs="宋体"/>
                <w:color w:val="000000"/>
                <w:kern w:val="0"/>
                <w:sz w:val="24"/>
                <w:lang w:bidi="ar"/>
              </w:rPr>
              <w:t>营业执照</w:t>
            </w:r>
          </w:p>
        </w:tc>
        <w:tc>
          <w:tcPr>
            <w:tcW w:w="2232" w:type="dxa"/>
            <w:noWrap w:val="0"/>
            <w:vAlign w:val="center"/>
          </w:tcPr>
          <w:p w14:paraId="0667E957">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药品零售企业经营许可</w:t>
            </w:r>
          </w:p>
        </w:tc>
        <w:tc>
          <w:tcPr>
            <w:tcW w:w="5587" w:type="dxa"/>
            <w:noWrap w:val="0"/>
            <w:vAlign w:val="center"/>
          </w:tcPr>
          <w:p w14:paraId="7ED2AA90">
            <w:pPr>
              <w:widowControl/>
              <w:textAlignment w:val="center"/>
              <w:rPr>
                <w:rFonts w:hint="eastAsia" w:ascii="宋体" w:hAnsi="宋体" w:cs="宋体"/>
                <w:color w:val="000000"/>
                <w:sz w:val="24"/>
              </w:rPr>
            </w:pPr>
            <w:r>
              <w:rPr>
                <w:rFonts w:hint="eastAsia" w:ascii="宋体" w:hAnsi="宋体" w:cs="宋体"/>
                <w:color w:val="000000"/>
                <w:kern w:val="0"/>
                <w:sz w:val="24"/>
                <w:lang w:bidi="ar"/>
              </w:rPr>
              <w:t>1.【法律】《药品管理法》（1984年9月通过，2019年8月修订）第五十一条：“从事药品零售活动，应当经所在地县级以上地方人民政府药品监督管理部门批准，取得药品经营许可证。无药品经营许可证的，不得经营药品。”</w:t>
            </w:r>
            <w:r>
              <w:rPr>
                <w:rFonts w:hint="eastAsia" w:ascii="宋体" w:hAnsi="宋体" w:cs="宋体"/>
                <w:color w:val="000000"/>
                <w:kern w:val="0"/>
                <w:sz w:val="24"/>
                <w:lang w:bidi="ar"/>
              </w:rPr>
              <w:br w:type="textWrapping"/>
            </w:r>
            <w:r>
              <w:rPr>
                <w:rFonts w:hint="eastAsia" w:ascii="宋体" w:hAnsi="宋体" w:cs="宋体"/>
                <w:color w:val="000000"/>
                <w:kern w:val="0"/>
                <w:sz w:val="24"/>
                <w:lang w:bidi="ar"/>
              </w:rPr>
              <w:t>2.【部门规章】《药品经营许可证管理办法》（2004年2月4日公布2017年11月7日修正）第九条：“开办药品零售企业按照以下程序办理《药品经营许可证》：（四）申办人完成筹建后，向受理申请的食品药品监督管理部门提出验收申请，并提交以下材料：2.企业营业执照。”</w:t>
            </w:r>
          </w:p>
        </w:tc>
        <w:tc>
          <w:tcPr>
            <w:tcW w:w="1671" w:type="dxa"/>
            <w:noWrap w:val="0"/>
            <w:vAlign w:val="center"/>
          </w:tcPr>
          <w:p w14:paraId="6A07E712">
            <w:pPr>
              <w:rPr>
                <w:rFonts w:hint="eastAsia" w:ascii="宋体" w:hAnsi="宋体" w:cs="宋体"/>
                <w:color w:val="000000"/>
                <w:sz w:val="24"/>
              </w:rPr>
            </w:pPr>
            <w:r>
              <w:rPr>
                <w:rFonts w:hint="eastAsia" w:ascii="宋体" w:hAnsi="宋体" w:cs="宋体"/>
                <w:color w:val="000000"/>
                <w:kern w:val="0"/>
                <w:sz w:val="24"/>
                <w:lang w:bidi="ar"/>
              </w:rPr>
              <w:t>市场监管部门或行政审批服务部门</w:t>
            </w:r>
          </w:p>
        </w:tc>
        <w:tc>
          <w:tcPr>
            <w:tcW w:w="1374" w:type="dxa"/>
            <w:noWrap/>
            <w:vAlign w:val="center"/>
          </w:tcPr>
          <w:p w14:paraId="7E7F4234">
            <w:pPr>
              <w:rPr>
                <w:rFonts w:hint="eastAsia" w:ascii="宋体" w:hAnsi="宋体" w:cs="宋体" w:eastAsiaTheme="minorEastAsia"/>
                <w:color w:val="000000"/>
                <w:sz w:val="24"/>
                <w:lang w:eastAsia="zh-CN"/>
              </w:rPr>
            </w:pPr>
            <w:r>
              <w:rPr>
                <w:rFonts w:hint="eastAsia" w:ascii="宋体" w:hAnsi="宋体" w:cs="宋体"/>
                <w:color w:val="000000"/>
                <w:sz w:val="24"/>
                <w:lang w:val="en-US" w:eastAsia="zh-CN"/>
              </w:rPr>
              <w:t xml:space="preserve"> </w:t>
            </w:r>
          </w:p>
        </w:tc>
      </w:tr>
      <w:tr w14:paraId="2752AC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3912" w:hRule="atLeast"/>
          <w:jc w:val="center"/>
        </w:trPr>
        <w:tc>
          <w:tcPr>
            <w:tcW w:w="920" w:type="dxa"/>
            <w:noWrap/>
            <w:vAlign w:val="center"/>
          </w:tcPr>
          <w:p w14:paraId="580503A6">
            <w:pPr>
              <w:widowControl/>
              <w:jc w:val="center"/>
              <w:textAlignment w:val="center"/>
              <w:rPr>
                <w:rFonts w:hint="default" w:ascii="宋体" w:hAnsi="宋体" w:cs="宋体" w:eastAsiaTheme="minorEastAsia"/>
                <w:color w:val="000000"/>
                <w:kern w:val="2"/>
                <w:sz w:val="24"/>
                <w:szCs w:val="24"/>
                <w:lang w:val="en-US" w:eastAsia="zh-CN" w:bidi="ar-SA"/>
              </w:rPr>
            </w:pPr>
            <w:r>
              <w:rPr>
                <w:rFonts w:hint="eastAsia" w:ascii="宋体" w:hAnsi="宋体" w:cs="宋体"/>
                <w:color w:val="000000"/>
                <w:kern w:val="0"/>
                <w:sz w:val="24"/>
                <w:lang w:val="en-US" w:eastAsia="zh-CN" w:bidi="ar"/>
              </w:rPr>
              <w:t>21</w:t>
            </w:r>
          </w:p>
        </w:tc>
        <w:tc>
          <w:tcPr>
            <w:tcW w:w="1467" w:type="dxa"/>
            <w:noWrap w:val="0"/>
            <w:vAlign w:val="center"/>
          </w:tcPr>
          <w:p w14:paraId="54FF3877">
            <w:pPr>
              <w:widowControl/>
              <w:jc w:val="center"/>
              <w:textAlignment w:val="center"/>
              <w:rPr>
                <w:rFonts w:hint="eastAsia" w:ascii="宋体" w:hAnsi="宋体" w:cs="宋体" w:eastAsiaTheme="minorEastAsia"/>
                <w:color w:val="000000"/>
                <w:kern w:val="2"/>
                <w:sz w:val="24"/>
                <w:szCs w:val="24"/>
                <w:lang w:val="en-US" w:eastAsia="zh-CN" w:bidi="ar-SA"/>
              </w:rPr>
            </w:pPr>
            <w:r>
              <w:rPr>
                <w:rFonts w:hint="eastAsia" w:ascii="宋体" w:hAnsi="宋体" w:cs="宋体"/>
                <w:color w:val="000000"/>
                <w:kern w:val="0"/>
                <w:sz w:val="24"/>
                <w:lang w:eastAsia="zh-CN" w:bidi="ar"/>
              </w:rPr>
              <w:t>荣成市市场监督管理局</w:t>
            </w:r>
          </w:p>
        </w:tc>
        <w:tc>
          <w:tcPr>
            <w:tcW w:w="1825" w:type="dxa"/>
            <w:noWrap w:val="0"/>
            <w:vAlign w:val="center"/>
          </w:tcPr>
          <w:p w14:paraId="000C9364">
            <w:pPr>
              <w:widowControl/>
              <w:jc w:val="center"/>
              <w:textAlignment w:val="center"/>
              <w:rPr>
                <w:rFonts w:hint="eastAsia" w:ascii="宋体" w:hAnsi="宋体" w:cs="宋体" w:eastAsiaTheme="minorEastAsia"/>
                <w:color w:val="000000"/>
                <w:kern w:val="2"/>
                <w:sz w:val="24"/>
                <w:szCs w:val="24"/>
                <w:lang w:val="en-US" w:eastAsia="zh-CN" w:bidi="ar-SA"/>
              </w:rPr>
            </w:pPr>
            <w:r>
              <w:rPr>
                <w:rFonts w:hint="eastAsia" w:ascii="宋体" w:hAnsi="宋体" w:cs="宋体"/>
                <w:color w:val="000000"/>
                <w:kern w:val="0"/>
                <w:sz w:val="24"/>
                <w:lang w:bidi="ar"/>
              </w:rPr>
              <w:t>学历证书</w:t>
            </w:r>
          </w:p>
        </w:tc>
        <w:tc>
          <w:tcPr>
            <w:tcW w:w="2232" w:type="dxa"/>
            <w:noWrap w:val="0"/>
            <w:vAlign w:val="center"/>
          </w:tcPr>
          <w:p w14:paraId="42950A3C">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药品零售企业经营许可</w:t>
            </w:r>
          </w:p>
        </w:tc>
        <w:tc>
          <w:tcPr>
            <w:tcW w:w="5587" w:type="dxa"/>
            <w:noWrap w:val="0"/>
            <w:vAlign w:val="center"/>
          </w:tcPr>
          <w:p w14:paraId="690E35F3">
            <w:pPr>
              <w:widowControl/>
              <w:textAlignment w:val="center"/>
              <w:rPr>
                <w:rFonts w:hint="eastAsia" w:ascii="宋体" w:hAnsi="宋体" w:cs="宋体"/>
                <w:color w:val="000000"/>
                <w:sz w:val="24"/>
              </w:rPr>
            </w:pPr>
            <w:r>
              <w:rPr>
                <w:rFonts w:hint="eastAsia" w:ascii="宋体" w:hAnsi="宋体" w:cs="宋体"/>
                <w:color w:val="000000"/>
                <w:kern w:val="0"/>
                <w:sz w:val="24"/>
                <w:lang w:bidi="ar"/>
              </w:rPr>
              <w:t>1.【法律】《药品管理法》（1984年9月通过，2019年8月修订）第五十一条：“从事药品零售活动，应当经所在地县级以上地方人民政府药品监督管理部门批准，取得药品经营许可证。无药品经营许可证的，不得经营药品。”</w:t>
            </w:r>
            <w:r>
              <w:rPr>
                <w:rFonts w:hint="eastAsia" w:ascii="宋体" w:hAnsi="宋体" w:cs="宋体"/>
                <w:color w:val="000000"/>
                <w:kern w:val="0"/>
                <w:sz w:val="24"/>
                <w:lang w:bidi="ar"/>
              </w:rPr>
              <w:br w:type="textWrapping"/>
            </w:r>
            <w:r>
              <w:rPr>
                <w:rFonts w:hint="eastAsia" w:ascii="宋体" w:hAnsi="宋体" w:cs="宋体"/>
                <w:color w:val="000000"/>
                <w:kern w:val="0"/>
                <w:sz w:val="24"/>
                <w:lang w:bidi="ar"/>
              </w:rPr>
              <w:t>2.【部门规章】《药品经营许可证管理办法》（2004年2月4日公布2017年11月7日修正）第九条：“开办药品零售企业按照以下程序办理《药品经营许可证》：（一）申办人向拟办企业所在地设区的市级食品药品监督管理部门或省、自治区、直辖市食品药品监督管理部门直接设置的县级食品药品监督管理部门提出筹建申请，并提交以下材料：1.拟办企业法定代表人、企业负责人、质量负责人的学历、执业资格或职称证明原件、复印件及个人简历及专业技术人员资格证书、聘书；”</w:t>
            </w:r>
          </w:p>
        </w:tc>
        <w:tc>
          <w:tcPr>
            <w:tcW w:w="1671" w:type="dxa"/>
            <w:noWrap w:val="0"/>
            <w:vAlign w:val="center"/>
          </w:tcPr>
          <w:p w14:paraId="41848008">
            <w:pPr>
              <w:rPr>
                <w:rFonts w:hint="eastAsia" w:ascii="宋体" w:hAnsi="宋体" w:cs="宋体"/>
                <w:color w:val="000000"/>
                <w:sz w:val="24"/>
              </w:rPr>
            </w:pPr>
            <w:r>
              <w:rPr>
                <w:rFonts w:hint="eastAsia" w:ascii="宋体" w:hAnsi="宋体" w:cs="宋体"/>
                <w:color w:val="000000"/>
                <w:kern w:val="0"/>
                <w:sz w:val="24"/>
                <w:lang w:bidi="ar"/>
              </w:rPr>
              <w:t>高校或其他教育机构</w:t>
            </w:r>
          </w:p>
        </w:tc>
        <w:tc>
          <w:tcPr>
            <w:tcW w:w="1374" w:type="dxa"/>
            <w:noWrap/>
            <w:vAlign w:val="center"/>
          </w:tcPr>
          <w:p w14:paraId="6A645490">
            <w:pPr>
              <w:rPr>
                <w:rFonts w:hint="eastAsia" w:ascii="宋体" w:hAnsi="宋体" w:cs="宋体" w:eastAsiaTheme="minorEastAsia"/>
                <w:color w:val="000000"/>
                <w:sz w:val="24"/>
                <w:lang w:eastAsia="zh-CN"/>
              </w:rPr>
            </w:pPr>
            <w:r>
              <w:rPr>
                <w:rFonts w:hint="eastAsia" w:ascii="宋体" w:hAnsi="宋体" w:cs="宋体"/>
                <w:color w:val="000000"/>
                <w:sz w:val="24"/>
                <w:lang w:val="en-US" w:eastAsia="zh-CN"/>
              </w:rPr>
              <w:t xml:space="preserve"> </w:t>
            </w:r>
          </w:p>
        </w:tc>
      </w:tr>
      <w:tr w14:paraId="129992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3969" w:hRule="atLeast"/>
          <w:jc w:val="center"/>
        </w:trPr>
        <w:tc>
          <w:tcPr>
            <w:tcW w:w="920" w:type="dxa"/>
            <w:noWrap/>
            <w:vAlign w:val="center"/>
          </w:tcPr>
          <w:p w14:paraId="4BB103BF">
            <w:pPr>
              <w:widowControl/>
              <w:jc w:val="center"/>
              <w:textAlignment w:val="center"/>
              <w:rPr>
                <w:rFonts w:hint="default" w:ascii="宋体" w:hAnsi="宋体" w:cs="宋体" w:eastAsiaTheme="minorEastAsia"/>
                <w:color w:val="000000"/>
                <w:kern w:val="2"/>
                <w:sz w:val="24"/>
                <w:szCs w:val="24"/>
                <w:lang w:val="en-US" w:eastAsia="zh-CN" w:bidi="ar-SA"/>
              </w:rPr>
            </w:pPr>
            <w:r>
              <w:rPr>
                <w:rFonts w:hint="eastAsia" w:ascii="宋体" w:hAnsi="宋体" w:cs="宋体"/>
                <w:color w:val="000000"/>
                <w:kern w:val="0"/>
                <w:sz w:val="24"/>
                <w:lang w:val="en-US" w:eastAsia="zh-CN" w:bidi="ar"/>
              </w:rPr>
              <w:t>22</w:t>
            </w:r>
          </w:p>
        </w:tc>
        <w:tc>
          <w:tcPr>
            <w:tcW w:w="1467" w:type="dxa"/>
            <w:noWrap w:val="0"/>
            <w:vAlign w:val="center"/>
          </w:tcPr>
          <w:p w14:paraId="2B8BB0E4">
            <w:pPr>
              <w:widowControl/>
              <w:jc w:val="center"/>
              <w:textAlignment w:val="center"/>
              <w:rPr>
                <w:rFonts w:hint="eastAsia" w:ascii="宋体" w:hAnsi="宋体" w:cs="宋体" w:eastAsiaTheme="minorEastAsia"/>
                <w:color w:val="000000"/>
                <w:kern w:val="2"/>
                <w:sz w:val="24"/>
                <w:szCs w:val="24"/>
                <w:lang w:val="en-US" w:eastAsia="zh-CN" w:bidi="ar-SA"/>
              </w:rPr>
            </w:pPr>
            <w:r>
              <w:rPr>
                <w:rFonts w:hint="eastAsia" w:ascii="宋体" w:hAnsi="宋体" w:cs="宋体"/>
                <w:color w:val="000000"/>
                <w:kern w:val="0"/>
                <w:sz w:val="24"/>
                <w:lang w:eastAsia="zh-CN" w:bidi="ar"/>
              </w:rPr>
              <w:t>荣成市市场监督管理局</w:t>
            </w:r>
          </w:p>
        </w:tc>
        <w:tc>
          <w:tcPr>
            <w:tcW w:w="1825" w:type="dxa"/>
            <w:noWrap w:val="0"/>
            <w:vAlign w:val="center"/>
          </w:tcPr>
          <w:p w14:paraId="7BF3CC9F">
            <w:pPr>
              <w:widowControl/>
              <w:jc w:val="center"/>
              <w:textAlignment w:val="center"/>
              <w:rPr>
                <w:rFonts w:hint="eastAsia" w:ascii="宋体" w:hAnsi="宋体" w:cs="宋体" w:eastAsiaTheme="minorEastAsia"/>
                <w:color w:val="000000"/>
                <w:kern w:val="2"/>
                <w:sz w:val="24"/>
                <w:szCs w:val="24"/>
                <w:lang w:val="en-US" w:eastAsia="zh-CN" w:bidi="ar-SA"/>
              </w:rPr>
            </w:pPr>
            <w:r>
              <w:rPr>
                <w:rFonts w:hint="eastAsia" w:ascii="宋体" w:hAnsi="宋体" w:cs="宋体"/>
                <w:color w:val="000000"/>
                <w:kern w:val="0"/>
                <w:sz w:val="24"/>
                <w:lang w:bidi="ar"/>
              </w:rPr>
              <w:t>学历证书</w:t>
            </w:r>
          </w:p>
        </w:tc>
        <w:tc>
          <w:tcPr>
            <w:tcW w:w="2232" w:type="dxa"/>
            <w:noWrap w:val="0"/>
            <w:vAlign w:val="center"/>
          </w:tcPr>
          <w:p w14:paraId="1AC969A9">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第三类医疗器械经营许可</w:t>
            </w:r>
          </w:p>
        </w:tc>
        <w:tc>
          <w:tcPr>
            <w:tcW w:w="5587" w:type="dxa"/>
            <w:noWrap w:val="0"/>
            <w:vAlign w:val="center"/>
          </w:tcPr>
          <w:p w14:paraId="67D67A8C">
            <w:pPr>
              <w:widowControl/>
              <w:textAlignment w:val="center"/>
              <w:rPr>
                <w:rFonts w:hint="eastAsia" w:ascii="宋体" w:hAnsi="宋体" w:cs="宋体"/>
                <w:color w:val="000000"/>
                <w:sz w:val="24"/>
              </w:rPr>
            </w:pPr>
            <w:r>
              <w:rPr>
                <w:rFonts w:hint="eastAsia" w:ascii="宋体" w:hAnsi="宋体" w:cs="宋体"/>
                <w:color w:val="000000"/>
                <w:kern w:val="0"/>
                <w:sz w:val="24"/>
                <w:lang w:bidi="ar"/>
              </w:rPr>
              <w:t>1.【行政法规】《医疗器械监督管理条例》（2021年国务院令第739号修订）第四十二条：“从事第三类医疗器械经营的，经营企业应当向所在地设区的市级人民政府负责药品监督管理的部门申请经营许可并提交符合本条例第四十条规定条件的有关资料。”</w:t>
            </w:r>
            <w:r>
              <w:rPr>
                <w:rFonts w:hint="eastAsia" w:ascii="宋体" w:hAnsi="宋体" w:cs="宋体"/>
                <w:color w:val="000000"/>
                <w:kern w:val="0"/>
                <w:sz w:val="24"/>
                <w:lang w:bidi="ar"/>
              </w:rPr>
              <w:br w:type="textWrapping"/>
            </w:r>
            <w:r>
              <w:rPr>
                <w:rFonts w:hint="eastAsia" w:ascii="宋体" w:hAnsi="宋体" w:cs="宋体"/>
                <w:color w:val="000000"/>
                <w:kern w:val="0"/>
                <w:sz w:val="24"/>
                <w:lang w:bidi="ar"/>
              </w:rPr>
              <w:t>2.【部门规章】《医疗器械经营监督管理办法》（2022年3月国家市场监督管理总局令第54号公布）第十条：“从事第三类医疗器械经营的，经营企业应当向所在地设区的市级负责药品监督管理的部门提出申请，并提交下列资料：（一）法定代表人（企业负责人）、质量负责人身份证明、学历或者职称相关材料复印件；（二）企业组织机构与部门设置；（三）医疗器械经营范围、经营方式；（四）经营场所和库房的地理位置图、平面图、房屋产权文件或者租赁协议复印件；（五）主要经营设施、设备目录；（六）经营质量管理制度、工作程序等文件目录；（七）信息管理系统基本情况；（八）经办人授权文件。医疗器械经营许可申请人应当确保提交的资料合法、真实、准确、完整和可追溯。”</w:t>
            </w:r>
          </w:p>
        </w:tc>
        <w:tc>
          <w:tcPr>
            <w:tcW w:w="1671" w:type="dxa"/>
            <w:noWrap w:val="0"/>
            <w:vAlign w:val="center"/>
          </w:tcPr>
          <w:p w14:paraId="5462769D">
            <w:pPr>
              <w:rPr>
                <w:rFonts w:hint="eastAsia" w:ascii="宋体" w:hAnsi="宋体" w:cs="宋体"/>
                <w:color w:val="000000"/>
                <w:sz w:val="24"/>
              </w:rPr>
            </w:pPr>
            <w:r>
              <w:rPr>
                <w:rFonts w:hint="eastAsia" w:ascii="宋体" w:hAnsi="宋体" w:cs="宋体"/>
                <w:color w:val="000000"/>
                <w:kern w:val="0"/>
                <w:sz w:val="24"/>
                <w:lang w:bidi="ar"/>
              </w:rPr>
              <w:t>高校或其他教育机构</w:t>
            </w:r>
          </w:p>
        </w:tc>
        <w:tc>
          <w:tcPr>
            <w:tcW w:w="1374" w:type="dxa"/>
            <w:noWrap/>
            <w:vAlign w:val="center"/>
          </w:tcPr>
          <w:p w14:paraId="0E03B6F2">
            <w:pPr>
              <w:rPr>
                <w:rFonts w:hint="eastAsia" w:ascii="宋体" w:hAnsi="宋体" w:cs="宋体" w:eastAsiaTheme="minorEastAsia"/>
                <w:color w:val="000000"/>
                <w:sz w:val="24"/>
                <w:lang w:eastAsia="zh-CN"/>
              </w:rPr>
            </w:pPr>
            <w:r>
              <w:rPr>
                <w:rFonts w:hint="eastAsia" w:ascii="宋体" w:hAnsi="宋体" w:cs="宋体"/>
                <w:color w:val="000000"/>
                <w:sz w:val="24"/>
                <w:lang w:val="en-US" w:eastAsia="zh-CN"/>
              </w:rPr>
              <w:t xml:space="preserve"> </w:t>
            </w:r>
          </w:p>
        </w:tc>
      </w:tr>
      <w:tr w14:paraId="67F15E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3912" w:hRule="atLeast"/>
          <w:jc w:val="center"/>
        </w:trPr>
        <w:tc>
          <w:tcPr>
            <w:tcW w:w="920" w:type="dxa"/>
            <w:vMerge w:val="restart"/>
            <w:noWrap/>
            <w:vAlign w:val="center"/>
          </w:tcPr>
          <w:p w14:paraId="77DFC58A">
            <w:pPr>
              <w:widowControl/>
              <w:jc w:val="center"/>
              <w:textAlignment w:val="center"/>
              <w:rPr>
                <w:rFonts w:hint="default" w:ascii="宋体" w:hAnsi="宋体" w:cs="宋体" w:eastAsiaTheme="minorEastAsia"/>
                <w:color w:val="000000"/>
                <w:sz w:val="24"/>
                <w:lang w:val="en-US" w:eastAsia="zh-CN"/>
              </w:rPr>
            </w:pPr>
            <w:r>
              <w:rPr>
                <w:rFonts w:hint="eastAsia" w:ascii="宋体" w:hAnsi="宋体" w:cs="宋体"/>
                <w:color w:val="000000"/>
                <w:kern w:val="0"/>
                <w:sz w:val="24"/>
                <w:lang w:val="en-US" w:eastAsia="zh-CN" w:bidi="ar"/>
              </w:rPr>
              <w:t>23</w:t>
            </w:r>
          </w:p>
        </w:tc>
        <w:tc>
          <w:tcPr>
            <w:tcW w:w="1467" w:type="dxa"/>
            <w:vMerge w:val="restart"/>
            <w:noWrap w:val="0"/>
            <w:vAlign w:val="center"/>
          </w:tcPr>
          <w:p w14:paraId="198E11C0">
            <w:pPr>
              <w:widowControl/>
              <w:jc w:val="center"/>
              <w:textAlignment w:val="center"/>
              <w:rPr>
                <w:rFonts w:hint="eastAsia" w:ascii="宋体" w:hAnsi="宋体" w:cs="宋体"/>
                <w:color w:val="000000"/>
                <w:sz w:val="24"/>
              </w:rPr>
            </w:pPr>
            <w:r>
              <w:rPr>
                <w:rFonts w:hint="eastAsia" w:ascii="宋体" w:hAnsi="宋体" w:cs="宋体"/>
                <w:color w:val="000000"/>
                <w:kern w:val="0"/>
                <w:sz w:val="24"/>
                <w:lang w:eastAsia="zh-CN" w:bidi="ar"/>
              </w:rPr>
              <w:t>荣成市市场监督管理局</w:t>
            </w:r>
          </w:p>
        </w:tc>
        <w:tc>
          <w:tcPr>
            <w:tcW w:w="1825" w:type="dxa"/>
            <w:vMerge w:val="restart"/>
            <w:noWrap w:val="0"/>
            <w:vAlign w:val="center"/>
          </w:tcPr>
          <w:p w14:paraId="200207CF">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职称证书</w:t>
            </w:r>
          </w:p>
        </w:tc>
        <w:tc>
          <w:tcPr>
            <w:tcW w:w="2232" w:type="dxa"/>
            <w:noWrap w:val="0"/>
            <w:vAlign w:val="center"/>
          </w:tcPr>
          <w:p w14:paraId="40A57330">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药品零售企业经营许可</w:t>
            </w:r>
          </w:p>
        </w:tc>
        <w:tc>
          <w:tcPr>
            <w:tcW w:w="5587" w:type="dxa"/>
            <w:noWrap w:val="0"/>
            <w:vAlign w:val="center"/>
          </w:tcPr>
          <w:p w14:paraId="6EDF433F">
            <w:pPr>
              <w:widowControl/>
              <w:textAlignment w:val="center"/>
              <w:rPr>
                <w:rFonts w:hint="eastAsia" w:ascii="宋体" w:hAnsi="宋体" w:cs="宋体"/>
                <w:color w:val="000000"/>
                <w:sz w:val="24"/>
              </w:rPr>
            </w:pPr>
            <w:r>
              <w:rPr>
                <w:rFonts w:hint="eastAsia" w:ascii="宋体" w:hAnsi="宋体" w:cs="宋体"/>
                <w:color w:val="000000"/>
                <w:kern w:val="0"/>
                <w:sz w:val="24"/>
                <w:lang w:bidi="ar"/>
              </w:rPr>
              <w:t>1.【法律】《药品管理法》（1984年9月通过，2019年8月修订）第五十一条：“从事药品零售活动，应当经所在地县级以上地方人民政府药品监督管理部门批准，取得药品经营许可证。无药品经营许可证的，不得经营药品。”</w:t>
            </w:r>
            <w:r>
              <w:rPr>
                <w:rFonts w:hint="eastAsia" w:ascii="宋体" w:hAnsi="宋体" w:cs="宋体"/>
                <w:color w:val="000000"/>
                <w:kern w:val="0"/>
                <w:sz w:val="24"/>
                <w:lang w:bidi="ar"/>
              </w:rPr>
              <w:br w:type="textWrapping"/>
            </w:r>
            <w:r>
              <w:rPr>
                <w:rFonts w:hint="eastAsia" w:ascii="宋体" w:hAnsi="宋体" w:cs="宋体"/>
                <w:color w:val="000000"/>
                <w:kern w:val="0"/>
                <w:sz w:val="24"/>
                <w:lang w:bidi="ar"/>
              </w:rPr>
              <w:t>2.【部门规章】《药品经营许可证管理办法》（2004年2月4日公布2017年11月7日修正）第九条：“开办药品零售企业按照以下程序办理《药品经营许可证》：（一）申办人向拟办企业所在地设区的市级食品药品监督管理部门或省、自治区、直辖市食品药品监督管理部门直接设置的县级食品药品监督管理部门提出筹建申请，并提交以下材料：1.拟办企业法定代表人、企业负责人、质量负责人的学历、执业资格或职称证明原件、复印件及个人简历及专业技术人员资格证书、聘书；”</w:t>
            </w:r>
          </w:p>
        </w:tc>
        <w:tc>
          <w:tcPr>
            <w:tcW w:w="1671" w:type="dxa"/>
            <w:vMerge w:val="restart"/>
            <w:noWrap w:val="0"/>
            <w:vAlign w:val="center"/>
          </w:tcPr>
          <w:p w14:paraId="07271E93">
            <w:pPr>
              <w:rPr>
                <w:rFonts w:hint="eastAsia" w:ascii="宋体" w:hAnsi="宋体" w:cs="宋体"/>
                <w:color w:val="000000"/>
                <w:sz w:val="24"/>
              </w:rPr>
            </w:pPr>
            <w:r>
              <w:rPr>
                <w:rFonts w:hint="eastAsia" w:ascii="宋体" w:hAnsi="宋体" w:cs="宋体"/>
                <w:color w:val="000000"/>
                <w:kern w:val="0"/>
                <w:sz w:val="24"/>
                <w:lang w:bidi="ar"/>
              </w:rPr>
              <w:t>人力资源和社会保障等部门</w:t>
            </w:r>
          </w:p>
        </w:tc>
        <w:tc>
          <w:tcPr>
            <w:tcW w:w="1374" w:type="dxa"/>
            <w:noWrap/>
            <w:vAlign w:val="center"/>
          </w:tcPr>
          <w:p w14:paraId="22DDA1AB">
            <w:pPr>
              <w:rPr>
                <w:rFonts w:hint="eastAsia" w:ascii="宋体" w:hAnsi="宋体" w:cs="宋体" w:eastAsiaTheme="minorEastAsia"/>
                <w:color w:val="000000"/>
                <w:sz w:val="24"/>
                <w:lang w:eastAsia="zh-CN"/>
              </w:rPr>
            </w:pPr>
            <w:r>
              <w:rPr>
                <w:rFonts w:hint="eastAsia" w:ascii="宋体" w:hAnsi="宋体" w:cs="宋体"/>
                <w:color w:val="000000"/>
                <w:sz w:val="24"/>
                <w:lang w:val="en-US" w:eastAsia="zh-CN"/>
              </w:rPr>
              <w:t xml:space="preserve"> </w:t>
            </w:r>
          </w:p>
        </w:tc>
      </w:tr>
      <w:tr w14:paraId="08D58A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3912" w:hRule="atLeast"/>
          <w:jc w:val="center"/>
        </w:trPr>
        <w:tc>
          <w:tcPr>
            <w:tcW w:w="920" w:type="dxa"/>
            <w:vMerge w:val="continue"/>
            <w:noWrap/>
            <w:vAlign w:val="center"/>
          </w:tcPr>
          <w:p w14:paraId="45670B16">
            <w:pPr>
              <w:jc w:val="center"/>
              <w:rPr>
                <w:rFonts w:hint="eastAsia" w:ascii="宋体" w:hAnsi="宋体" w:cs="宋体"/>
                <w:color w:val="000000"/>
                <w:sz w:val="24"/>
              </w:rPr>
            </w:pPr>
          </w:p>
        </w:tc>
        <w:tc>
          <w:tcPr>
            <w:tcW w:w="1467" w:type="dxa"/>
            <w:vMerge w:val="continue"/>
            <w:noWrap w:val="0"/>
            <w:vAlign w:val="center"/>
          </w:tcPr>
          <w:p w14:paraId="4738FE13">
            <w:pPr>
              <w:jc w:val="center"/>
              <w:rPr>
                <w:rFonts w:hint="eastAsia" w:ascii="宋体" w:hAnsi="宋体" w:cs="宋体"/>
                <w:color w:val="000000"/>
                <w:sz w:val="24"/>
              </w:rPr>
            </w:pPr>
          </w:p>
        </w:tc>
        <w:tc>
          <w:tcPr>
            <w:tcW w:w="1825" w:type="dxa"/>
            <w:vMerge w:val="continue"/>
            <w:noWrap w:val="0"/>
            <w:vAlign w:val="center"/>
          </w:tcPr>
          <w:p w14:paraId="3C1900AD">
            <w:pPr>
              <w:jc w:val="center"/>
              <w:rPr>
                <w:rFonts w:hint="eastAsia" w:ascii="宋体" w:hAnsi="宋体" w:cs="宋体"/>
                <w:color w:val="000000"/>
                <w:sz w:val="24"/>
              </w:rPr>
            </w:pPr>
          </w:p>
        </w:tc>
        <w:tc>
          <w:tcPr>
            <w:tcW w:w="2232" w:type="dxa"/>
            <w:noWrap w:val="0"/>
            <w:vAlign w:val="center"/>
          </w:tcPr>
          <w:p w14:paraId="1AFC32E7">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第三类医疗器械经营许可</w:t>
            </w:r>
          </w:p>
        </w:tc>
        <w:tc>
          <w:tcPr>
            <w:tcW w:w="5587" w:type="dxa"/>
            <w:noWrap w:val="0"/>
            <w:vAlign w:val="center"/>
          </w:tcPr>
          <w:p w14:paraId="471A18ED">
            <w:pPr>
              <w:widowControl/>
              <w:textAlignment w:val="center"/>
              <w:rPr>
                <w:rFonts w:hint="eastAsia" w:ascii="宋体" w:hAnsi="宋体" w:cs="宋体"/>
                <w:color w:val="000000"/>
                <w:sz w:val="24"/>
              </w:rPr>
            </w:pPr>
            <w:r>
              <w:rPr>
                <w:rFonts w:hint="eastAsia" w:ascii="宋体" w:hAnsi="宋体" w:cs="宋体"/>
                <w:color w:val="000000"/>
                <w:kern w:val="0"/>
                <w:sz w:val="24"/>
                <w:lang w:bidi="ar"/>
              </w:rPr>
              <w:t>1.【行政法规】《医疗器械监督管理条例》（2021年国务院令第739号修订）第四十二条：“从事第三类医疗器械经营的，经营企业应当向所在地设区的市级人民政府负责药品监督管理的部门申请经营许可并提交符合本条例第四十条规定条件的有关资料。”</w:t>
            </w:r>
            <w:r>
              <w:rPr>
                <w:rFonts w:hint="eastAsia" w:ascii="宋体" w:hAnsi="宋体" w:cs="宋体"/>
                <w:color w:val="000000"/>
                <w:kern w:val="0"/>
                <w:sz w:val="24"/>
                <w:lang w:bidi="ar"/>
              </w:rPr>
              <w:br w:type="textWrapping"/>
            </w:r>
            <w:r>
              <w:rPr>
                <w:rFonts w:hint="eastAsia" w:ascii="宋体" w:hAnsi="宋体" w:cs="宋体"/>
                <w:color w:val="000000"/>
                <w:kern w:val="0"/>
                <w:sz w:val="24"/>
                <w:lang w:bidi="ar"/>
              </w:rPr>
              <w:t>2.【部门规章】《医疗器械经营监督管理办法》（2022年3月国家市场监督管理总局令第54号公布）第十条：“从事第三类医疗器械经营的，经营企业应当向所在地设区的市级负责药品监督管理的部门提出申请，并提交下列资料：（一）法定代表人（企业负责人）、质量负责人身份证明、学历或者职称相关材料复印件；（二）企业组织机构与部门设置；（三）医疗器械经营范围、经营方式；（四）经营场所和库房的地理位置图、平面图、房屋产权文件或者租赁协议复印件；（五）主要经营设施、设备目录；（六）经营质量管理制度、工作程序等文件目录；（七）信息管理系统基本情况；（八）经办人授权文件。医疗器械经营许可申请人应当确保提交的资料合法、真实、准确、完整和可追溯。”</w:t>
            </w:r>
          </w:p>
        </w:tc>
        <w:tc>
          <w:tcPr>
            <w:tcW w:w="1671" w:type="dxa"/>
            <w:vMerge w:val="continue"/>
            <w:noWrap w:val="0"/>
            <w:vAlign w:val="center"/>
          </w:tcPr>
          <w:p w14:paraId="2EA85BB1">
            <w:pPr>
              <w:rPr>
                <w:rFonts w:hint="eastAsia" w:ascii="宋体" w:hAnsi="宋体" w:cs="宋体"/>
                <w:color w:val="000000"/>
                <w:sz w:val="24"/>
              </w:rPr>
            </w:pPr>
          </w:p>
        </w:tc>
        <w:tc>
          <w:tcPr>
            <w:tcW w:w="1374" w:type="dxa"/>
            <w:noWrap/>
            <w:vAlign w:val="center"/>
          </w:tcPr>
          <w:p w14:paraId="112FAC3D">
            <w:pPr>
              <w:rPr>
                <w:rFonts w:hint="eastAsia" w:ascii="宋体" w:hAnsi="宋体" w:cs="宋体" w:eastAsiaTheme="minorEastAsia"/>
                <w:color w:val="000000"/>
                <w:sz w:val="24"/>
                <w:lang w:eastAsia="zh-CN"/>
              </w:rPr>
            </w:pPr>
            <w:r>
              <w:rPr>
                <w:rFonts w:hint="eastAsia" w:ascii="宋体" w:hAnsi="宋体" w:cs="宋体"/>
                <w:color w:val="000000"/>
                <w:sz w:val="24"/>
                <w:lang w:val="en-US" w:eastAsia="zh-CN"/>
              </w:rPr>
              <w:t xml:space="preserve"> </w:t>
            </w:r>
          </w:p>
        </w:tc>
      </w:tr>
    </w:tbl>
    <w:p w14:paraId="68DDFEDF"/>
    <w:tbl>
      <w:tblPr>
        <w:tblStyle w:val="2"/>
        <w:tblW w:w="1510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34" w:type="dxa"/>
          <w:bottom w:w="0" w:type="dxa"/>
          <w:right w:w="34" w:type="dxa"/>
        </w:tblCellMar>
      </w:tblPr>
      <w:tblGrid>
        <w:gridCol w:w="920"/>
        <w:gridCol w:w="1470"/>
        <w:gridCol w:w="1828"/>
        <w:gridCol w:w="2236"/>
        <w:gridCol w:w="5596"/>
        <w:gridCol w:w="1674"/>
        <w:gridCol w:w="1377"/>
      </w:tblGrid>
      <w:tr w14:paraId="2EAA29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3912" w:hRule="atLeast"/>
          <w:jc w:val="center"/>
        </w:trPr>
        <w:tc>
          <w:tcPr>
            <w:tcW w:w="920" w:type="dxa"/>
            <w:noWrap/>
            <w:vAlign w:val="center"/>
          </w:tcPr>
          <w:p w14:paraId="7F3713B7">
            <w:pPr>
              <w:widowControl/>
              <w:jc w:val="center"/>
              <w:textAlignment w:val="center"/>
              <w:rPr>
                <w:rFonts w:hint="default" w:ascii="宋体" w:hAnsi="宋体" w:cs="宋体" w:eastAsiaTheme="minorEastAsia"/>
                <w:color w:val="000000"/>
                <w:kern w:val="2"/>
                <w:sz w:val="24"/>
                <w:szCs w:val="24"/>
                <w:lang w:val="en-US" w:eastAsia="zh-CN" w:bidi="ar-SA"/>
              </w:rPr>
            </w:pPr>
            <w:r>
              <w:rPr>
                <w:rFonts w:hint="eastAsia" w:ascii="宋体" w:hAnsi="宋体" w:cs="宋体"/>
                <w:color w:val="000000"/>
                <w:kern w:val="0"/>
                <w:sz w:val="24"/>
                <w:lang w:val="en-US" w:eastAsia="zh-CN" w:bidi="ar"/>
              </w:rPr>
              <w:t>24</w:t>
            </w:r>
          </w:p>
        </w:tc>
        <w:tc>
          <w:tcPr>
            <w:tcW w:w="1469" w:type="dxa"/>
            <w:noWrap w:val="0"/>
            <w:vAlign w:val="center"/>
          </w:tcPr>
          <w:p w14:paraId="7DDBAB83">
            <w:pPr>
              <w:widowControl/>
              <w:jc w:val="center"/>
              <w:textAlignment w:val="center"/>
              <w:rPr>
                <w:rFonts w:hint="eastAsia" w:ascii="宋体" w:hAnsi="宋体" w:cs="宋体" w:eastAsiaTheme="minorEastAsia"/>
                <w:color w:val="000000"/>
                <w:kern w:val="2"/>
                <w:sz w:val="24"/>
                <w:szCs w:val="24"/>
                <w:lang w:val="en-US" w:eastAsia="zh-CN" w:bidi="ar-SA"/>
              </w:rPr>
            </w:pPr>
            <w:r>
              <w:rPr>
                <w:rFonts w:hint="eastAsia" w:ascii="宋体" w:hAnsi="宋体" w:cs="宋体"/>
                <w:color w:val="000000"/>
                <w:kern w:val="0"/>
                <w:sz w:val="24"/>
                <w:lang w:eastAsia="zh-CN" w:bidi="ar"/>
              </w:rPr>
              <w:t>荣成市市场监督管理局</w:t>
            </w:r>
          </w:p>
        </w:tc>
        <w:tc>
          <w:tcPr>
            <w:tcW w:w="1827" w:type="dxa"/>
            <w:noWrap w:val="0"/>
            <w:vAlign w:val="center"/>
          </w:tcPr>
          <w:p w14:paraId="7EFD588B">
            <w:pPr>
              <w:widowControl/>
              <w:jc w:val="center"/>
              <w:textAlignment w:val="center"/>
              <w:rPr>
                <w:rFonts w:hint="eastAsia" w:ascii="宋体" w:hAnsi="宋体" w:cs="宋体" w:eastAsiaTheme="minorEastAsia"/>
                <w:color w:val="000000"/>
                <w:kern w:val="2"/>
                <w:sz w:val="24"/>
                <w:szCs w:val="24"/>
                <w:lang w:val="en-US" w:eastAsia="zh-CN" w:bidi="ar-SA"/>
              </w:rPr>
            </w:pPr>
            <w:r>
              <w:rPr>
                <w:rFonts w:hint="eastAsia" w:ascii="宋体" w:hAnsi="宋体" w:cs="宋体"/>
                <w:color w:val="000000"/>
                <w:kern w:val="0"/>
                <w:sz w:val="24"/>
                <w:lang w:bidi="ar"/>
              </w:rPr>
              <w:t>身份证（护照）</w:t>
            </w:r>
          </w:p>
        </w:tc>
        <w:tc>
          <w:tcPr>
            <w:tcW w:w="2235" w:type="dxa"/>
            <w:noWrap w:val="0"/>
            <w:vAlign w:val="center"/>
          </w:tcPr>
          <w:p w14:paraId="03031E31">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第三类医疗器械经营许可</w:t>
            </w:r>
          </w:p>
        </w:tc>
        <w:tc>
          <w:tcPr>
            <w:tcW w:w="5593" w:type="dxa"/>
            <w:noWrap w:val="0"/>
            <w:vAlign w:val="center"/>
          </w:tcPr>
          <w:p w14:paraId="444D22A1">
            <w:pPr>
              <w:widowControl/>
              <w:textAlignment w:val="center"/>
              <w:rPr>
                <w:rFonts w:hint="eastAsia" w:ascii="宋体" w:hAnsi="宋体" w:cs="宋体"/>
                <w:color w:val="000000"/>
                <w:sz w:val="24"/>
              </w:rPr>
            </w:pPr>
            <w:r>
              <w:rPr>
                <w:rFonts w:hint="eastAsia" w:ascii="宋体" w:hAnsi="宋体" w:cs="宋体"/>
                <w:color w:val="000000"/>
                <w:kern w:val="0"/>
                <w:sz w:val="24"/>
                <w:lang w:bidi="ar"/>
              </w:rPr>
              <w:t>1.【行政法规】《医疗器械监督管理条例》（2021年国务院令第739号修订）第四十二条：“从事第三类医疗器械经营的，经营企业应当向所在地设区的市级人民政府负责药品监督管理的部门申请经营许可并提交符合本条例第四十条规定条件的有关资料。”</w:t>
            </w:r>
            <w:r>
              <w:rPr>
                <w:rFonts w:hint="eastAsia" w:ascii="宋体" w:hAnsi="宋体" w:cs="宋体"/>
                <w:color w:val="000000"/>
                <w:kern w:val="0"/>
                <w:sz w:val="24"/>
                <w:lang w:bidi="ar"/>
              </w:rPr>
              <w:br w:type="textWrapping"/>
            </w:r>
            <w:r>
              <w:rPr>
                <w:rFonts w:hint="eastAsia" w:ascii="宋体" w:hAnsi="宋体" w:cs="宋体"/>
                <w:color w:val="000000"/>
                <w:kern w:val="0"/>
                <w:sz w:val="24"/>
                <w:lang w:bidi="ar"/>
              </w:rPr>
              <w:t>2.【部门规章】《医疗器械经营监督管理办法》（2022年3月国家市场监督管理总局令第54号公布）第十条：“从事第三类医疗器械经营的，经营企业应当向所在地设区的市级负责药品监督管理的部门提出申请，并提交下列资料：（一）法定代表人（企业负责人）、质量负责人身份证明、学历或者职称相关材料复印件；（二）企业组织机构与部门设置；（三）医疗器械经营范围、经营方式；（四）经营场所和库房的地理位置图、平面图、房屋产权文件或者租赁协议复印件；（五）主要经营设施、设备目录；（六）经营质量管理制度、工作程序等文件目录；（七）信息管理系统基本情况；（八）经办人授权文件。医疗器械经营许可申请人应当确保提交的资料合法、真实、准确、完整和可追溯。”</w:t>
            </w:r>
          </w:p>
        </w:tc>
        <w:tc>
          <w:tcPr>
            <w:tcW w:w="1673" w:type="dxa"/>
            <w:noWrap w:val="0"/>
            <w:vAlign w:val="center"/>
          </w:tcPr>
          <w:p w14:paraId="5F586B35">
            <w:pPr>
              <w:rPr>
                <w:rFonts w:hint="eastAsia" w:ascii="宋体" w:hAnsi="宋体" w:cs="宋体" w:eastAsiaTheme="minorEastAsia"/>
                <w:color w:val="000000"/>
                <w:sz w:val="24"/>
                <w:lang w:eastAsia="zh-CN"/>
              </w:rPr>
            </w:pPr>
            <w:r>
              <w:rPr>
                <w:rFonts w:hint="eastAsia" w:ascii="宋体" w:hAnsi="宋体" w:cs="宋体"/>
                <w:color w:val="000000"/>
                <w:sz w:val="24"/>
                <w:lang w:eastAsia="zh-CN"/>
              </w:rPr>
              <w:t>公安部门</w:t>
            </w:r>
          </w:p>
        </w:tc>
        <w:tc>
          <w:tcPr>
            <w:tcW w:w="1376" w:type="dxa"/>
            <w:noWrap/>
            <w:vAlign w:val="center"/>
          </w:tcPr>
          <w:p w14:paraId="5D9DBEA3">
            <w:pPr>
              <w:rPr>
                <w:rFonts w:hint="eastAsia" w:ascii="宋体" w:hAnsi="宋体" w:cs="宋体" w:eastAsiaTheme="minorEastAsia"/>
                <w:color w:val="000000"/>
                <w:sz w:val="24"/>
                <w:lang w:eastAsia="zh-CN"/>
              </w:rPr>
            </w:pPr>
            <w:r>
              <w:rPr>
                <w:rFonts w:hint="eastAsia" w:ascii="宋体" w:hAnsi="宋体" w:cs="宋体"/>
                <w:color w:val="000000"/>
                <w:sz w:val="24"/>
                <w:lang w:val="en-US" w:eastAsia="zh-CN"/>
              </w:rPr>
              <w:t xml:space="preserve"> </w:t>
            </w:r>
          </w:p>
        </w:tc>
      </w:tr>
      <w:tr w14:paraId="207FA0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4139" w:hRule="atLeast"/>
          <w:jc w:val="center"/>
        </w:trPr>
        <w:tc>
          <w:tcPr>
            <w:tcW w:w="920" w:type="dxa"/>
            <w:noWrap/>
            <w:vAlign w:val="center"/>
          </w:tcPr>
          <w:p w14:paraId="5181D56B">
            <w:pPr>
              <w:widowControl/>
              <w:jc w:val="center"/>
              <w:textAlignment w:val="center"/>
              <w:rPr>
                <w:rFonts w:hint="default" w:ascii="宋体" w:hAnsi="宋体" w:cs="宋体" w:eastAsiaTheme="minorEastAsia"/>
                <w:color w:val="000000"/>
                <w:kern w:val="2"/>
                <w:sz w:val="24"/>
                <w:szCs w:val="24"/>
                <w:lang w:val="en-US" w:eastAsia="zh-CN" w:bidi="ar-SA"/>
              </w:rPr>
            </w:pPr>
            <w:r>
              <w:rPr>
                <w:rFonts w:hint="eastAsia" w:ascii="宋体" w:hAnsi="宋体" w:cs="宋体"/>
                <w:color w:val="000000"/>
                <w:kern w:val="0"/>
                <w:sz w:val="24"/>
                <w:lang w:val="en-US" w:eastAsia="zh-CN" w:bidi="ar"/>
              </w:rPr>
              <w:t>25</w:t>
            </w:r>
          </w:p>
        </w:tc>
        <w:tc>
          <w:tcPr>
            <w:tcW w:w="1469" w:type="dxa"/>
            <w:noWrap w:val="0"/>
            <w:vAlign w:val="center"/>
          </w:tcPr>
          <w:p w14:paraId="11C7CC70">
            <w:pPr>
              <w:widowControl/>
              <w:jc w:val="center"/>
              <w:textAlignment w:val="center"/>
              <w:rPr>
                <w:rFonts w:hint="eastAsia" w:ascii="宋体" w:hAnsi="宋体" w:cs="宋体" w:eastAsiaTheme="minorEastAsia"/>
                <w:color w:val="000000"/>
                <w:kern w:val="2"/>
                <w:sz w:val="24"/>
                <w:szCs w:val="24"/>
                <w:lang w:val="en-US" w:eastAsia="zh-CN" w:bidi="ar-SA"/>
              </w:rPr>
            </w:pPr>
            <w:r>
              <w:rPr>
                <w:rFonts w:hint="eastAsia" w:ascii="宋体" w:hAnsi="宋体" w:cs="宋体"/>
                <w:color w:val="000000"/>
                <w:kern w:val="0"/>
                <w:sz w:val="24"/>
                <w:lang w:eastAsia="zh-CN" w:bidi="ar"/>
              </w:rPr>
              <w:t>荣成市市场监督管理局</w:t>
            </w:r>
          </w:p>
        </w:tc>
        <w:tc>
          <w:tcPr>
            <w:tcW w:w="1827" w:type="dxa"/>
            <w:noWrap w:val="0"/>
            <w:vAlign w:val="center"/>
          </w:tcPr>
          <w:p w14:paraId="27B0CA04">
            <w:pPr>
              <w:widowControl/>
              <w:jc w:val="center"/>
              <w:textAlignment w:val="center"/>
              <w:rPr>
                <w:rFonts w:hint="eastAsia" w:ascii="宋体" w:hAnsi="宋体" w:cs="宋体" w:eastAsiaTheme="minorEastAsia"/>
                <w:color w:val="000000"/>
                <w:kern w:val="2"/>
                <w:sz w:val="24"/>
                <w:szCs w:val="24"/>
                <w:lang w:val="en-US" w:eastAsia="zh-CN" w:bidi="ar-SA"/>
              </w:rPr>
            </w:pPr>
            <w:r>
              <w:rPr>
                <w:rFonts w:hint="eastAsia" w:ascii="宋体" w:hAnsi="宋体" w:cs="宋体"/>
                <w:color w:val="000000"/>
                <w:kern w:val="0"/>
                <w:sz w:val="24"/>
                <w:lang w:bidi="ar"/>
              </w:rPr>
              <w:t>房屋产权或使用权证明</w:t>
            </w:r>
          </w:p>
        </w:tc>
        <w:tc>
          <w:tcPr>
            <w:tcW w:w="2235" w:type="dxa"/>
            <w:noWrap w:val="0"/>
            <w:vAlign w:val="center"/>
          </w:tcPr>
          <w:p w14:paraId="641C0860">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药品零售企业经营许可</w:t>
            </w:r>
          </w:p>
        </w:tc>
        <w:tc>
          <w:tcPr>
            <w:tcW w:w="5593" w:type="dxa"/>
            <w:noWrap w:val="0"/>
            <w:vAlign w:val="center"/>
          </w:tcPr>
          <w:p w14:paraId="3D507ED4">
            <w:pPr>
              <w:widowControl/>
              <w:textAlignment w:val="center"/>
              <w:rPr>
                <w:rFonts w:hint="eastAsia" w:ascii="宋体" w:hAnsi="宋体" w:cs="宋体"/>
                <w:color w:val="000000"/>
                <w:sz w:val="24"/>
              </w:rPr>
            </w:pPr>
            <w:r>
              <w:rPr>
                <w:rFonts w:hint="eastAsia" w:ascii="宋体" w:hAnsi="宋体" w:cs="宋体"/>
                <w:color w:val="000000"/>
                <w:kern w:val="0"/>
                <w:sz w:val="24"/>
                <w:lang w:bidi="ar"/>
              </w:rPr>
              <w:t>1.【法律】《药品管理法》（1984年9月通过，2019年8月修订）第五十一条：“从事药品零售活动，应当经所在地县级以上地方人民政府药品监督管理部门批准，取得药品经营许可证。无药品经营许可证的，不得经营药品。”</w:t>
            </w:r>
            <w:r>
              <w:rPr>
                <w:rFonts w:hint="eastAsia" w:ascii="宋体" w:hAnsi="宋体" w:cs="宋体"/>
                <w:color w:val="000000"/>
                <w:kern w:val="0"/>
                <w:sz w:val="24"/>
                <w:lang w:bidi="ar"/>
              </w:rPr>
              <w:br w:type="textWrapping"/>
            </w:r>
            <w:r>
              <w:rPr>
                <w:rFonts w:hint="eastAsia" w:ascii="宋体" w:hAnsi="宋体" w:cs="宋体"/>
                <w:color w:val="000000"/>
                <w:kern w:val="0"/>
                <w:sz w:val="24"/>
                <w:lang w:bidi="ar"/>
              </w:rPr>
              <w:t>2.【部门规章】《药品经营许可证管理办法》（2004年2月4日公布2017年11月7日修正）第九条：“开办药品零售企业按照以下程序办理《药品经营许可证》：（四）申办人完成筹建后，向受理申请的食品药品监督管理部门提出验收申请，并提交以下材料：3.营业场所、仓库平面布置图及房屋产权或使用权证明；”</w:t>
            </w:r>
          </w:p>
        </w:tc>
        <w:tc>
          <w:tcPr>
            <w:tcW w:w="1673" w:type="dxa"/>
            <w:noWrap w:val="0"/>
            <w:vAlign w:val="center"/>
          </w:tcPr>
          <w:p w14:paraId="2F5CB10B">
            <w:pPr>
              <w:rPr>
                <w:rFonts w:hint="eastAsia" w:ascii="宋体" w:hAnsi="宋体" w:cs="宋体"/>
                <w:color w:val="000000"/>
                <w:sz w:val="24"/>
              </w:rPr>
            </w:pPr>
            <w:r>
              <w:rPr>
                <w:rFonts w:hint="eastAsia" w:ascii="宋体" w:hAnsi="宋体" w:cs="宋体"/>
                <w:color w:val="000000"/>
                <w:kern w:val="0"/>
                <w:sz w:val="24"/>
                <w:lang w:bidi="ar"/>
              </w:rPr>
              <w:t>不动产登记管理部门（产权证明）</w:t>
            </w:r>
          </w:p>
        </w:tc>
        <w:tc>
          <w:tcPr>
            <w:tcW w:w="1376" w:type="dxa"/>
            <w:noWrap/>
            <w:vAlign w:val="center"/>
          </w:tcPr>
          <w:p w14:paraId="7B8E847B">
            <w:pPr>
              <w:rPr>
                <w:rFonts w:hint="eastAsia" w:ascii="宋体" w:hAnsi="宋体" w:cs="宋体" w:eastAsiaTheme="minorEastAsia"/>
                <w:color w:val="000000"/>
                <w:sz w:val="24"/>
                <w:lang w:eastAsia="zh-CN"/>
              </w:rPr>
            </w:pPr>
            <w:r>
              <w:rPr>
                <w:rFonts w:hint="eastAsia" w:ascii="宋体" w:hAnsi="宋体" w:cs="宋体"/>
                <w:color w:val="000000"/>
                <w:sz w:val="24"/>
                <w:lang w:val="en-US" w:eastAsia="zh-CN"/>
              </w:rPr>
              <w:t xml:space="preserve"> </w:t>
            </w:r>
          </w:p>
        </w:tc>
      </w:tr>
      <w:tr w14:paraId="0FB04B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4139" w:hRule="atLeast"/>
          <w:jc w:val="center"/>
        </w:trPr>
        <w:tc>
          <w:tcPr>
            <w:tcW w:w="920" w:type="dxa"/>
            <w:noWrap/>
            <w:vAlign w:val="center"/>
          </w:tcPr>
          <w:p w14:paraId="066DCCF7">
            <w:pPr>
              <w:widowControl/>
              <w:jc w:val="center"/>
              <w:textAlignment w:val="center"/>
              <w:rPr>
                <w:rFonts w:hint="default" w:ascii="宋体" w:hAnsi="宋体" w:cs="宋体" w:eastAsiaTheme="minorEastAsia"/>
                <w:color w:val="000000"/>
                <w:sz w:val="24"/>
                <w:lang w:val="en-US" w:eastAsia="zh-CN"/>
              </w:rPr>
            </w:pPr>
            <w:r>
              <w:rPr>
                <w:rFonts w:hint="eastAsia" w:ascii="宋体" w:hAnsi="宋体" w:cs="宋体"/>
                <w:color w:val="000000"/>
                <w:kern w:val="0"/>
                <w:sz w:val="24"/>
                <w:lang w:val="en-US" w:eastAsia="zh-CN" w:bidi="ar"/>
              </w:rPr>
              <w:t>26</w:t>
            </w:r>
          </w:p>
        </w:tc>
        <w:tc>
          <w:tcPr>
            <w:tcW w:w="1469" w:type="dxa"/>
            <w:noWrap w:val="0"/>
            <w:vAlign w:val="center"/>
          </w:tcPr>
          <w:p w14:paraId="51FAACAC">
            <w:pPr>
              <w:widowControl/>
              <w:jc w:val="center"/>
              <w:textAlignment w:val="center"/>
              <w:rPr>
                <w:rFonts w:hint="eastAsia" w:ascii="宋体" w:hAnsi="宋体" w:cs="宋体"/>
                <w:color w:val="000000"/>
                <w:sz w:val="24"/>
              </w:rPr>
            </w:pPr>
            <w:r>
              <w:rPr>
                <w:rFonts w:hint="eastAsia" w:ascii="宋体" w:hAnsi="宋体" w:cs="宋体"/>
                <w:color w:val="000000"/>
                <w:kern w:val="0"/>
                <w:sz w:val="24"/>
                <w:lang w:eastAsia="zh-CN" w:bidi="ar"/>
              </w:rPr>
              <w:t>荣成市市场监督管理局</w:t>
            </w:r>
          </w:p>
        </w:tc>
        <w:tc>
          <w:tcPr>
            <w:tcW w:w="1827" w:type="dxa"/>
            <w:noWrap w:val="0"/>
            <w:vAlign w:val="center"/>
          </w:tcPr>
          <w:p w14:paraId="5A55243A">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房屋产权或使用权证明</w:t>
            </w:r>
          </w:p>
        </w:tc>
        <w:tc>
          <w:tcPr>
            <w:tcW w:w="2235" w:type="dxa"/>
            <w:noWrap w:val="0"/>
            <w:vAlign w:val="center"/>
          </w:tcPr>
          <w:p w14:paraId="32C0A68B">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第三类医疗器械经营许可</w:t>
            </w:r>
          </w:p>
        </w:tc>
        <w:tc>
          <w:tcPr>
            <w:tcW w:w="5593" w:type="dxa"/>
            <w:noWrap w:val="0"/>
            <w:vAlign w:val="center"/>
          </w:tcPr>
          <w:p w14:paraId="6826969F">
            <w:pPr>
              <w:widowControl/>
              <w:textAlignment w:val="center"/>
              <w:rPr>
                <w:rFonts w:hint="eastAsia" w:ascii="宋体" w:hAnsi="宋体" w:cs="宋体"/>
                <w:color w:val="000000"/>
                <w:sz w:val="24"/>
              </w:rPr>
            </w:pPr>
            <w:r>
              <w:rPr>
                <w:rFonts w:hint="eastAsia" w:ascii="宋体" w:hAnsi="宋体" w:cs="宋体"/>
                <w:color w:val="000000"/>
                <w:kern w:val="0"/>
                <w:sz w:val="24"/>
                <w:lang w:bidi="ar"/>
              </w:rPr>
              <w:t>1.【行政法规】《医疗器械监督管理条例》（2021年国务院令第739号修订）第四十二条：“从事第三类医疗器械经营的，经营企业应当向所在地设区的市级人民政府负责药品监督管理的部门申请经营许可并提交符合本条例第四十条规定条件的有关资料。”</w:t>
            </w:r>
            <w:r>
              <w:rPr>
                <w:rFonts w:hint="eastAsia" w:ascii="宋体" w:hAnsi="宋体" w:cs="宋体"/>
                <w:color w:val="000000"/>
                <w:kern w:val="0"/>
                <w:sz w:val="24"/>
                <w:lang w:bidi="ar"/>
              </w:rPr>
              <w:br w:type="textWrapping"/>
            </w:r>
            <w:r>
              <w:rPr>
                <w:rFonts w:hint="eastAsia" w:ascii="宋体" w:hAnsi="宋体" w:cs="宋体"/>
                <w:color w:val="000000"/>
                <w:kern w:val="0"/>
                <w:sz w:val="24"/>
                <w:lang w:bidi="ar"/>
              </w:rPr>
              <w:t>2.【部门规章】《医疗器械经营监督管理办法》（2022年3月国家市场监督管理总局令第54号公布）第十条：“从事第三类医疗器械经营的，经营企业应当向所在地设区的市级负责药品监督管理的部门提出申请，并提交下列资料：（一）法定代表人（企业负责人）、质量负责人身份证明、学历或者职称相关材料复印件；（二）企业组织机构与部门设置；（三）医疗器械经营范围、经营方式；（四）经营场所和库房的地理位置图、平面图、房屋产权文件或者租赁协议复印件；（五）主要经营设施、设备目录；（六）经营质量管理制度、工作程序等文件目录；（七）信息管理系统基本情况；（八）经办人授权文件。医疗器械经营许可申请人应当确保提交的资料合法、真实、准确、完整和可追溯。”</w:t>
            </w:r>
          </w:p>
        </w:tc>
        <w:tc>
          <w:tcPr>
            <w:tcW w:w="1673" w:type="dxa"/>
            <w:noWrap w:val="0"/>
            <w:vAlign w:val="center"/>
          </w:tcPr>
          <w:p w14:paraId="724373D5">
            <w:pPr>
              <w:widowControl/>
              <w:textAlignment w:val="center"/>
              <w:rPr>
                <w:rFonts w:hint="eastAsia" w:ascii="宋体" w:hAnsi="宋体" w:cs="宋体"/>
                <w:color w:val="000000"/>
                <w:sz w:val="24"/>
              </w:rPr>
            </w:pPr>
            <w:r>
              <w:rPr>
                <w:rFonts w:hint="eastAsia" w:ascii="宋体" w:hAnsi="宋体" w:cs="宋体"/>
                <w:color w:val="000000"/>
                <w:kern w:val="0"/>
                <w:sz w:val="24"/>
                <w:lang w:bidi="ar"/>
              </w:rPr>
              <w:t>不动产登记管理部门（产权证明）</w:t>
            </w:r>
          </w:p>
        </w:tc>
        <w:tc>
          <w:tcPr>
            <w:tcW w:w="1376" w:type="dxa"/>
            <w:noWrap/>
            <w:vAlign w:val="center"/>
          </w:tcPr>
          <w:p w14:paraId="3C9F5F55">
            <w:pPr>
              <w:rPr>
                <w:rFonts w:hint="eastAsia" w:ascii="宋体" w:hAnsi="宋体" w:cs="宋体" w:eastAsiaTheme="minorEastAsia"/>
                <w:color w:val="000000"/>
                <w:sz w:val="24"/>
                <w:lang w:eastAsia="zh-CN"/>
              </w:rPr>
            </w:pPr>
            <w:r>
              <w:rPr>
                <w:rFonts w:hint="eastAsia" w:ascii="宋体" w:hAnsi="宋体" w:cs="宋体"/>
                <w:color w:val="000000"/>
                <w:sz w:val="24"/>
                <w:lang w:val="en-US" w:eastAsia="zh-CN"/>
              </w:rPr>
              <w:t xml:space="preserve"> </w:t>
            </w:r>
          </w:p>
        </w:tc>
      </w:tr>
      <w:tr w14:paraId="185B42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3912" w:hRule="atLeast"/>
          <w:jc w:val="center"/>
        </w:trPr>
        <w:tc>
          <w:tcPr>
            <w:tcW w:w="920" w:type="dxa"/>
            <w:noWrap/>
            <w:vAlign w:val="center"/>
          </w:tcPr>
          <w:p w14:paraId="1BB3263F">
            <w:pPr>
              <w:widowControl/>
              <w:jc w:val="center"/>
              <w:textAlignment w:val="center"/>
              <w:rPr>
                <w:rFonts w:hint="default" w:ascii="宋体" w:hAnsi="宋体" w:cs="宋体" w:eastAsiaTheme="minorEastAsia"/>
                <w:color w:val="000000"/>
                <w:sz w:val="24"/>
                <w:lang w:val="en-US" w:eastAsia="zh-CN"/>
              </w:rPr>
            </w:pPr>
            <w:r>
              <w:rPr>
                <w:rFonts w:hint="eastAsia" w:ascii="宋体" w:hAnsi="宋体" w:cs="宋体"/>
                <w:color w:val="000000"/>
                <w:kern w:val="0"/>
                <w:sz w:val="24"/>
                <w:lang w:val="en-US" w:eastAsia="zh-CN" w:bidi="ar"/>
              </w:rPr>
              <w:t>27</w:t>
            </w:r>
          </w:p>
        </w:tc>
        <w:tc>
          <w:tcPr>
            <w:tcW w:w="1469" w:type="dxa"/>
            <w:noWrap w:val="0"/>
            <w:vAlign w:val="center"/>
          </w:tcPr>
          <w:p w14:paraId="3AF8FB7F">
            <w:pPr>
              <w:widowControl/>
              <w:jc w:val="center"/>
              <w:textAlignment w:val="center"/>
              <w:rPr>
                <w:rFonts w:hint="eastAsia" w:ascii="宋体" w:hAnsi="宋体" w:cs="宋体"/>
                <w:color w:val="000000"/>
                <w:sz w:val="24"/>
              </w:rPr>
            </w:pPr>
            <w:r>
              <w:rPr>
                <w:rFonts w:hint="eastAsia" w:ascii="宋体" w:hAnsi="宋体" w:cs="宋体"/>
                <w:color w:val="000000"/>
                <w:kern w:val="0"/>
                <w:sz w:val="24"/>
                <w:lang w:eastAsia="zh-CN" w:bidi="ar"/>
              </w:rPr>
              <w:t>荣成市市场监督管理局</w:t>
            </w:r>
          </w:p>
        </w:tc>
        <w:tc>
          <w:tcPr>
            <w:tcW w:w="1827" w:type="dxa"/>
            <w:noWrap w:val="0"/>
            <w:vAlign w:val="center"/>
          </w:tcPr>
          <w:p w14:paraId="526DC0B7">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执业药师资格证书</w:t>
            </w:r>
          </w:p>
        </w:tc>
        <w:tc>
          <w:tcPr>
            <w:tcW w:w="2235" w:type="dxa"/>
            <w:noWrap w:val="0"/>
            <w:vAlign w:val="center"/>
          </w:tcPr>
          <w:p w14:paraId="12C1F6EE">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药品零售企业经营许可</w:t>
            </w:r>
          </w:p>
        </w:tc>
        <w:tc>
          <w:tcPr>
            <w:tcW w:w="5593" w:type="dxa"/>
            <w:noWrap w:val="0"/>
            <w:vAlign w:val="center"/>
          </w:tcPr>
          <w:p w14:paraId="02F75199">
            <w:pPr>
              <w:widowControl/>
              <w:textAlignment w:val="center"/>
              <w:rPr>
                <w:rFonts w:hint="eastAsia" w:ascii="宋体" w:hAnsi="宋体" w:cs="宋体"/>
                <w:color w:val="000000"/>
                <w:sz w:val="24"/>
              </w:rPr>
            </w:pPr>
            <w:r>
              <w:rPr>
                <w:rFonts w:hint="eastAsia" w:ascii="宋体" w:hAnsi="宋体" w:cs="宋体"/>
                <w:color w:val="000000"/>
                <w:kern w:val="0"/>
                <w:sz w:val="24"/>
                <w:lang w:bidi="ar"/>
              </w:rPr>
              <w:t>1.【法律】《药品管理法》（1984年9月通过，2019年8月修订）第五十一条：“从事药品零售活动，应当经所在地县级以上地方人民政府药品监督管理部门批准，取得药品经营许可证。无药品经营许可证的，不得经营药品。”</w:t>
            </w:r>
            <w:r>
              <w:rPr>
                <w:rFonts w:hint="eastAsia" w:ascii="宋体" w:hAnsi="宋体" w:cs="宋体"/>
                <w:color w:val="000000"/>
                <w:kern w:val="0"/>
                <w:sz w:val="24"/>
                <w:lang w:bidi="ar"/>
              </w:rPr>
              <w:br w:type="textWrapping"/>
            </w:r>
            <w:r>
              <w:rPr>
                <w:rFonts w:hint="eastAsia" w:ascii="宋体" w:hAnsi="宋体" w:cs="宋体"/>
                <w:color w:val="000000"/>
                <w:kern w:val="0"/>
                <w:sz w:val="24"/>
                <w:lang w:bidi="ar"/>
              </w:rPr>
              <w:t>2.【部门规章】《药品经营许可证管理办法》（2004年2月通过，2017年11月修改）第八条：“开办药品批发企业按照以下程序办理《药品经营许可证》：（一）申办人向拟办企业所在地的省、自治区、直辖市（食品）药品监督管理部门提出筹建申请，并提交以下材料：2．执业药师执业证书原件、复印件。”第九条：“开办药品零售企业按照以下程序办理《药品经营许可证》：（一）申办人向拟办企业所在地设区的市级食品药品监督管理部门或省、自治区、直辖市食品药品监督管理部门直接设置的县级食品药品监督管理部门提出筹建申请，并提交以下材料：“1.拟办企业法定代表人、企业负责人、质量负责人的学历、执业资格或职称证明原件、复印件及个人简历及专业技术人员资格证书、聘书；”</w:t>
            </w:r>
          </w:p>
        </w:tc>
        <w:tc>
          <w:tcPr>
            <w:tcW w:w="1673" w:type="dxa"/>
            <w:noWrap w:val="0"/>
            <w:vAlign w:val="center"/>
          </w:tcPr>
          <w:p w14:paraId="1AE8DAD0">
            <w:pPr>
              <w:rPr>
                <w:rFonts w:hint="eastAsia" w:ascii="宋体" w:hAnsi="宋体" w:cs="宋体"/>
                <w:color w:val="000000"/>
                <w:sz w:val="24"/>
              </w:rPr>
            </w:pPr>
            <w:r>
              <w:rPr>
                <w:rFonts w:hint="eastAsia" w:ascii="宋体" w:hAnsi="宋体" w:cs="宋体"/>
                <w:color w:val="000000"/>
                <w:kern w:val="0"/>
                <w:sz w:val="24"/>
                <w:lang w:bidi="ar"/>
              </w:rPr>
              <w:t>人力资源和社会保障等部门</w:t>
            </w:r>
          </w:p>
        </w:tc>
        <w:tc>
          <w:tcPr>
            <w:tcW w:w="1376" w:type="dxa"/>
            <w:noWrap/>
            <w:vAlign w:val="center"/>
          </w:tcPr>
          <w:p w14:paraId="6F4B9902">
            <w:pPr>
              <w:rPr>
                <w:rFonts w:hint="eastAsia" w:ascii="宋体" w:hAnsi="宋体" w:cs="宋体" w:eastAsiaTheme="minorEastAsia"/>
                <w:color w:val="000000"/>
                <w:sz w:val="24"/>
                <w:lang w:eastAsia="zh-CN"/>
              </w:rPr>
            </w:pPr>
            <w:r>
              <w:rPr>
                <w:rFonts w:hint="eastAsia" w:ascii="宋体" w:hAnsi="宋体" w:cs="宋体"/>
                <w:color w:val="000000"/>
                <w:sz w:val="24"/>
                <w:lang w:val="en-US" w:eastAsia="zh-CN"/>
              </w:rPr>
              <w:t xml:space="preserve"> </w:t>
            </w:r>
          </w:p>
        </w:tc>
      </w:tr>
      <w:tr w14:paraId="5004E9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4139" w:hRule="atLeast"/>
          <w:jc w:val="center"/>
        </w:trPr>
        <w:tc>
          <w:tcPr>
            <w:tcW w:w="920" w:type="dxa"/>
            <w:noWrap/>
            <w:vAlign w:val="center"/>
          </w:tcPr>
          <w:p w14:paraId="0C82331A">
            <w:pPr>
              <w:widowControl/>
              <w:jc w:val="center"/>
              <w:textAlignment w:val="center"/>
              <w:rPr>
                <w:rFonts w:hint="default" w:ascii="宋体" w:hAnsi="宋体" w:cs="宋体" w:eastAsiaTheme="minorEastAsia"/>
                <w:color w:val="000000"/>
                <w:sz w:val="24"/>
                <w:lang w:val="en-US" w:eastAsia="zh-CN"/>
              </w:rPr>
            </w:pPr>
            <w:r>
              <w:rPr>
                <w:rFonts w:hint="eastAsia" w:ascii="宋体" w:hAnsi="宋体" w:cs="宋体"/>
                <w:color w:val="000000"/>
                <w:kern w:val="0"/>
                <w:sz w:val="24"/>
                <w:lang w:val="en-US" w:eastAsia="zh-CN" w:bidi="ar"/>
              </w:rPr>
              <w:t>28</w:t>
            </w:r>
          </w:p>
        </w:tc>
        <w:tc>
          <w:tcPr>
            <w:tcW w:w="1469" w:type="dxa"/>
            <w:noWrap w:val="0"/>
            <w:vAlign w:val="center"/>
          </w:tcPr>
          <w:p w14:paraId="433F9379">
            <w:pPr>
              <w:widowControl/>
              <w:jc w:val="center"/>
              <w:textAlignment w:val="center"/>
              <w:rPr>
                <w:rFonts w:hint="eastAsia" w:ascii="宋体" w:hAnsi="宋体" w:cs="宋体"/>
                <w:color w:val="000000"/>
                <w:sz w:val="24"/>
              </w:rPr>
            </w:pPr>
            <w:r>
              <w:rPr>
                <w:rFonts w:hint="eastAsia" w:ascii="宋体" w:hAnsi="宋体" w:cs="宋体"/>
                <w:color w:val="000000"/>
                <w:kern w:val="0"/>
                <w:sz w:val="24"/>
                <w:lang w:eastAsia="zh-CN" w:bidi="ar"/>
              </w:rPr>
              <w:t>荣成市市场监督管理局</w:t>
            </w:r>
          </w:p>
        </w:tc>
        <w:tc>
          <w:tcPr>
            <w:tcW w:w="1827" w:type="dxa"/>
            <w:noWrap w:val="0"/>
            <w:vAlign w:val="center"/>
          </w:tcPr>
          <w:p w14:paraId="5F0C205C">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执业药师继续教育学分证明</w:t>
            </w:r>
          </w:p>
        </w:tc>
        <w:tc>
          <w:tcPr>
            <w:tcW w:w="2235" w:type="dxa"/>
            <w:noWrap w:val="0"/>
            <w:vAlign w:val="center"/>
          </w:tcPr>
          <w:p w14:paraId="7E1D05C8">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执业药师注册</w:t>
            </w:r>
          </w:p>
        </w:tc>
        <w:tc>
          <w:tcPr>
            <w:tcW w:w="5593" w:type="dxa"/>
            <w:noWrap w:val="0"/>
            <w:vAlign w:val="center"/>
          </w:tcPr>
          <w:p w14:paraId="0361A29B">
            <w:pPr>
              <w:widowControl/>
              <w:textAlignment w:val="center"/>
              <w:rPr>
                <w:rFonts w:hint="eastAsia" w:ascii="宋体" w:hAnsi="宋体" w:cs="宋体"/>
                <w:color w:val="000000"/>
                <w:sz w:val="24"/>
              </w:rPr>
            </w:pPr>
            <w:r>
              <w:rPr>
                <w:rFonts w:hint="eastAsia" w:ascii="宋体" w:hAnsi="宋体" w:cs="宋体"/>
                <w:color w:val="000000"/>
                <w:kern w:val="0"/>
                <w:sz w:val="24"/>
                <w:lang w:bidi="ar"/>
              </w:rPr>
              <w:t>1.【行政法规】《国务院对确需保留的行政审批项目设定行政许可的决定》（2004年6月国务院令第412号，2016年8月修订）附件：“第355项执业药师注册实施机关为省级人民政府食品药品监管部门。”</w:t>
            </w:r>
            <w:r>
              <w:rPr>
                <w:rFonts w:hint="eastAsia" w:ascii="宋体" w:hAnsi="宋体" w:cs="宋体"/>
                <w:color w:val="000000"/>
                <w:kern w:val="0"/>
                <w:sz w:val="24"/>
                <w:lang w:bidi="ar"/>
              </w:rPr>
              <w:br w:type="textWrapping"/>
            </w:r>
            <w:r>
              <w:rPr>
                <w:rFonts w:hint="eastAsia" w:ascii="宋体" w:hAnsi="宋体" w:cs="宋体"/>
                <w:color w:val="000000"/>
                <w:kern w:val="0"/>
                <w:sz w:val="24"/>
                <w:lang w:bidi="ar"/>
              </w:rPr>
              <w:t>2.【地方政府规章】《山东省人民政府关于委托实施部分省级权力事项的决定》（省政府令第351号）：“131执业药师注册，委托设区的市实施。”</w:t>
            </w:r>
            <w:r>
              <w:rPr>
                <w:rFonts w:hint="eastAsia" w:ascii="宋体" w:hAnsi="宋体" w:cs="宋体"/>
                <w:color w:val="000000"/>
                <w:kern w:val="0"/>
                <w:sz w:val="24"/>
                <w:lang w:bidi="ar"/>
              </w:rPr>
              <w:br w:type="textWrapping"/>
            </w:r>
            <w:r>
              <w:rPr>
                <w:rFonts w:hint="eastAsia" w:ascii="宋体" w:hAnsi="宋体" w:cs="宋体"/>
                <w:color w:val="000000"/>
                <w:kern w:val="0"/>
                <w:sz w:val="24"/>
                <w:lang w:bidi="ar"/>
              </w:rPr>
              <w:t>3.【文件】《执业药师注册管理办法》（国药监人〔2021〕36号）第五条：“法律、行政法规、规章和相关质量管理规范规定需由具备执业药师资格的人员担任的岗位，应当按规定配备执业药师。”第十一条：“申请人申请首次注册需要提交以下材料：（五）继续教育学分证明。”</w:t>
            </w:r>
          </w:p>
        </w:tc>
        <w:tc>
          <w:tcPr>
            <w:tcW w:w="1673" w:type="dxa"/>
            <w:noWrap w:val="0"/>
            <w:vAlign w:val="center"/>
          </w:tcPr>
          <w:p w14:paraId="4074D908">
            <w:pPr>
              <w:widowControl/>
              <w:textAlignment w:val="center"/>
              <w:rPr>
                <w:rFonts w:hint="eastAsia" w:ascii="宋体" w:hAnsi="宋体" w:cs="宋体"/>
                <w:color w:val="000000"/>
                <w:sz w:val="24"/>
              </w:rPr>
            </w:pPr>
            <w:r>
              <w:rPr>
                <w:rFonts w:hint="eastAsia" w:ascii="宋体" w:hAnsi="宋体" w:cs="宋体"/>
                <w:color w:val="000000"/>
                <w:kern w:val="0"/>
                <w:sz w:val="24"/>
                <w:lang w:bidi="ar"/>
              </w:rPr>
              <w:t>继续教育管理机构</w:t>
            </w:r>
          </w:p>
        </w:tc>
        <w:tc>
          <w:tcPr>
            <w:tcW w:w="1376" w:type="dxa"/>
            <w:noWrap/>
            <w:vAlign w:val="center"/>
          </w:tcPr>
          <w:p w14:paraId="3249EDB4">
            <w:pPr>
              <w:rPr>
                <w:rFonts w:hint="eastAsia" w:ascii="宋体" w:hAnsi="宋体" w:cs="宋体" w:eastAsiaTheme="minorEastAsia"/>
                <w:color w:val="000000"/>
                <w:sz w:val="24"/>
                <w:lang w:eastAsia="zh-CN"/>
              </w:rPr>
            </w:pPr>
            <w:r>
              <w:rPr>
                <w:rFonts w:hint="eastAsia" w:ascii="宋体" w:hAnsi="宋体" w:cs="宋体"/>
                <w:color w:val="000000"/>
                <w:sz w:val="24"/>
                <w:lang w:val="en-US" w:eastAsia="zh-CN"/>
              </w:rPr>
              <w:t xml:space="preserve"> </w:t>
            </w:r>
          </w:p>
        </w:tc>
      </w:tr>
    </w:tbl>
    <w:p w14:paraId="1A1E488D"/>
    <w:p w14:paraId="66BBAB13"/>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altName w:val="Arial Unicode MS"/>
    <w:panose1 w:val="03000509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CEC5EDB"/>
    <w:multiLevelType w:val="singleLevel"/>
    <w:tmpl w:val="ACEC5EDB"/>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Y2Mjg0N2FjMTMyODQ5ZmM3MjkyNTFjMTA2YjU0OWIifQ=="/>
  </w:docVars>
  <w:rsids>
    <w:rsidRoot w:val="00000000"/>
    <w:rsid w:val="092D31FB"/>
    <w:rsid w:val="15347BD0"/>
    <w:rsid w:val="16223ECC"/>
    <w:rsid w:val="253A4D8F"/>
    <w:rsid w:val="26AC3A6A"/>
    <w:rsid w:val="2A8D3BB3"/>
    <w:rsid w:val="595F462F"/>
    <w:rsid w:val="5D153410"/>
    <w:rsid w:val="73F676A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table" w:styleId="3">
    <w:name w:val="Table Grid"/>
    <w:basedOn w:val="2"/>
    <w:qFormat/>
    <w:uiPriority w:val="0"/>
    <w:pPr>
      <w:keepNext w:val="0"/>
      <w:keepLines w:val="0"/>
      <w:widowControl w:val="0"/>
      <w:suppressLineNumbers w:val="0"/>
      <w:spacing w:before="0" w:beforeAutospacing="0" w:after="0" w:afterAutospacing="0"/>
      <w:ind w:left="0" w:right="0"/>
      <w:jc w:val="both"/>
    </w:pPr>
    <w:rPr>
      <w:rFonts w:hint="default" w:ascii="Calibri" w:hAnsi="Calibri" w:cs="Calibri"/>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tcBorders>
        <w:top w:val="single" w:color="auto" w:sz="4" w:space="0"/>
        <w:left w:val="single" w:color="auto" w:sz="4" w:space="0"/>
        <w:bottom w:val="single" w:color="auto" w:sz="4" w:space="0"/>
        <w:right w:val="single" w:color="auto" w:sz="4" w:space="0"/>
      </w:tcBorders>
    </w:tc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28</Pages>
  <Words>10916</Words>
  <Characters>11383</Characters>
  <Lines>0</Lines>
  <Paragraphs>0</Paragraphs>
  <TotalTime>7</TotalTime>
  <ScaleCrop>false</ScaleCrop>
  <LinksUpToDate>false</LinksUpToDate>
  <CharactersWithSpaces>11413</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2023-10-18T07:32:00Z</dcterms:created>
  <dc:creator>Administrator</dc:creator>
  <cp:lastModifiedBy>拼搏</cp:lastModifiedBy>
  <dcterms:modified xsi:type="dcterms:W3CDTF">2025-03-12T12:18:55Z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6D914892EF2240ED83F6BEF81C1F558C_12</vt:lpwstr>
  </property>
  <property fmtid="{D5CDD505-2E9C-101B-9397-08002B2CF9AE}" pid="4" name="KSOTemplateDocerSaveRecord">
    <vt:lpwstr>eyJoZGlkIjoiYzZiMmYzZmZmNTdlNDU1MTA1MTczMTQ2NzU2NGNjMjkiLCJ1c2VySWQiOiIzMTIwNjQ1MDUifQ==</vt:lpwstr>
  </property>
</Properties>
</file>