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0D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eastAsia="方正小标宋简体" w:cs="Times New Roman"/>
          <w:w w:val="96"/>
          <w:sz w:val="44"/>
          <w:szCs w:val="4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605155</wp:posOffset>
                </wp:positionV>
                <wp:extent cx="63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15pt;margin-top:47.65pt;height:0pt;width:0.05pt;z-index:251659264;mso-width-relative:page;mso-height-relative:page;" filled="f" stroked="t" coordsize="21600,21600" o:allowincell="f" o:gfxdata="UEsDBAoAAAAAAIdO4kAAAAAAAAAAAAAAAAAEAAAAZHJzL1BLAwQUAAAACACHTuJACUnUrtQAAAAH&#10;AQAADwAAAGRycy9kb3ducmV2LnhtbE2OzU7DMBCE70i8g7VIXCpqNwEEIU4PQG5cKCCu23hJIuJ1&#10;Grs/8PQs6gFOo9GMZr5yefCD2tEU+8AWFnMDirgJrufWwutLfXEDKiZkh0NgsvBFEZbV6UmJhQt7&#10;fqbdKrVKRjgWaKFLaSy0jk1HHuM8jMSSfYTJYxI7tdpNuJdxP+jMmGvtsWd56HCk+46az9XWW4j1&#10;G23q71kzM+95GyjbPDw9orXnZwtzByrRIf2V4Rdf0KESpnXYsotqsJBnuTQt3F6JSp5nl6DWR6+r&#10;Uv/nr34AUEsDBBQAAAAIAIdO4kChckE35QEAALQDAAAOAAAAZHJzL2Uyb0RvYy54bWytU7GOEzEQ&#10;7ZH4B8s92SQoJ1hlc0Wiozkg0h0f4Hi9WQvbY3mc7OYn+AEkOqgo6fmbOz6DsTcJ3NFcwRaWPX7z&#10;PO/N7Pyyt4btVUANruKT0Zgz5STU2m0r/uH26sUrzjAKVwsDTlX8oJBfLp4/m3e+VFNowdQqMCJx&#10;WHa+4m2MviwKlK2yAkfglaPLBoIVkY5hW9RBdMRuTTEdjy+KDkLtA0iFSNHVcMmPjOEphNA0WqoV&#10;yJ1VLg6sQRkRSRK22iNf5GqbRsn4vmlQRWYqTkpjXukR2m/SWizmotwG4VstjyWIp5TwSJMV2tGj&#10;Z6qViILtgv6HymoZAKGJIwm2GIRkR0jFZPzIm5tWeJW1kNXoz6bj/6OV7/brwHRNk8CZE5Yafv/5&#10;x92nr79+fqH1/vs3NkkmdR5Lwi7dOiSZsnc3/hrkR2QOlq1wW5WLvT14YsgZxYOUdEBPT226t1AT&#10;RuwiZMf6JthESV6wPjfmcG6M6iOTFLx4OeNMnuKFKE9JPmB8o8CytKm40S75JUqxv8ZIZRP0BElh&#10;B1famNxz41hX8dez6SwnIBhdp8sEw7DdLE1ge5GmJn/JAyJ7AAuwc/UQNy7lqTxwx5dPigfvNlAf&#10;1iGBU5yamemOg5em5e9zRv352R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lJ1K7UAAAABwEA&#10;AA8AAAAAAAAAAQAgAAAAIgAAAGRycy9kb3ducmV2LnhtbFBLAQIUABQAAAAIAIdO4kChckE35QEA&#10;ALQDAAAOAAAAAAAAAAEAIAAAACM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 w:cs="Times New Roman"/>
          <w:w w:val="96"/>
          <w:sz w:val="44"/>
          <w:szCs w:val="44"/>
          <w:lang w:val="en-US" w:eastAsia="zh-CN"/>
        </w:rPr>
        <w:t>荣成市市场监督管理局</w:t>
      </w:r>
    </w:p>
    <w:p w14:paraId="20B49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eastAsia="方正小标宋简体" w:cs="Times New Roman"/>
          <w:w w:val="96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w w:val="96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w w:val="96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w w:val="96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资质认定检验检测机构</w:t>
      </w:r>
    </w:p>
    <w:p w14:paraId="62F19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w w:val="9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1"/>
          <w:w w:val="96"/>
          <w:sz w:val="44"/>
          <w:szCs w:val="44"/>
        </w:rPr>
        <w:t>“双随机、一公开”</w:t>
      </w:r>
      <w:r>
        <w:rPr>
          <w:rFonts w:hint="default" w:ascii="Times New Roman" w:hAnsi="Times New Roman" w:eastAsia="方正小标宋简体" w:cs="Times New Roman"/>
          <w:w w:val="96"/>
          <w:sz w:val="44"/>
          <w:szCs w:val="44"/>
        </w:rPr>
        <w:t>抽查方案</w:t>
      </w:r>
    </w:p>
    <w:p w14:paraId="21C38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为进一步加强对资质认定检验检测机构的监督管理，规范从业行为，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《检验检测机构监督管理办法》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和省、市局文件要求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，拟对资质认定检验检测机构进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行抽查。为确保此次抽查工作公正公开，特制定如下工作方案：</w:t>
      </w:r>
    </w:p>
    <w:p w14:paraId="5B905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一、抽查对象</w:t>
      </w:r>
    </w:p>
    <w:p w14:paraId="43EE41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荣成市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资质认定检验检测机构</w:t>
      </w:r>
    </w:p>
    <w:p w14:paraId="46822D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二、抽查事项及抽查比例</w:t>
      </w:r>
    </w:p>
    <w:p w14:paraId="101189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资质认定检验检测机构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定向监督抽查，抽查比例为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%。</w:t>
      </w:r>
    </w:p>
    <w:p w14:paraId="2B359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三、抽查时间</w:t>
      </w:r>
    </w:p>
    <w:p w14:paraId="50A1F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4B882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四、抽查方式  </w:t>
      </w:r>
    </w:p>
    <w:p w14:paraId="495C2B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通过抽查监管平台按照“双随机、一公开”原则确定抽查对象和执法人员。</w:t>
      </w:r>
    </w:p>
    <w:p w14:paraId="4EF54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五、检查内容</w:t>
      </w:r>
    </w:p>
    <w:p w14:paraId="2ACC63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按照《检验检测机构监督管理办法》《检验检测机构资质认定管理办法》等部门规章，对资质认定检验检测机构违规行为进行监督检查。重点检查人员、设备、场地、设施等基本条件和技术能力是否持续保持资质认定的条件和要求。</w:t>
      </w:r>
    </w:p>
    <w:p w14:paraId="2FDBE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六、检查要求</w:t>
      </w:r>
    </w:p>
    <w:p w14:paraId="341983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（一）加强组织协调。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严格依据相关法律法规等要求开展检查，严守工作纪律、廉政纪律。检查组在检查前应当告知被检查企业有关检查依据、检查内容和目的、工作纪律等信息。检查时应认真查阅认证机构反馈企业的审核报告和相关材料，做好检查记录，固定有关证据。</w:t>
      </w:r>
    </w:p>
    <w:p w14:paraId="4FDD0B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（二）加强后处置工作。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对一般违法违规问题线索，依法依规采取后续处理措施，督促有关机构一个月整改到位，防止监管脱节；对发现严重违法违规问题线索需行政处罚的，依法及时进行立案查处；对涉嫌构成故意提供虚假证明文件、出具证明文件重大失实等违法犯罪的，依法移送司法机关追究刑事责任。</w:t>
      </w:r>
    </w:p>
    <w:p w14:paraId="725FCB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3DFB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C03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BEFC8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ascii="华文仿宋" w:hAnsi="华文仿宋" w:eastAsia="华文仿宋"/>
          <w:sz w:val="32"/>
          <w:szCs w:val="32"/>
        </w:rPr>
      </w:pPr>
    </w:p>
    <w:p w14:paraId="530BEA91">
      <w:pPr>
        <w:ind w:firstLine="4480" w:firstLineChars="1400"/>
        <w:rPr>
          <w:rFonts w:ascii="华文仿宋" w:hAnsi="华文仿宋" w:eastAsia="华文仿宋"/>
          <w:sz w:val="32"/>
          <w:szCs w:val="32"/>
        </w:rPr>
      </w:pPr>
    </w:p>
    <w:p w14:paraId="0EB2FD54"/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A45A5"/>
    <w:rsid w:val="11B55AF5"/>
    <w:rsid w:val="18B50B66"/>
    <w:rsid w:val="26B95C49"/>
    <w:rsid w:val="762A45A5"/>
    <w:rsid w:val="78B6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636</Characters>
  <Lines>0</Lines>
  <Paragraphs>0</Paragraphs>
  <TotalTime>10</TotalTime>
  <ScaleCrop>false</ScaleCrop>
  <LinksUpToDate>false</LinksUpToDate>
  <CharactersWithSpaces>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2025-09-16T14:46:00Z</dcterms:created>
  <dc:creator>妮OK</dc:creator>
  <cp:lastModifiedBy>Administrator</cp:lastModifiedBy>
  <dcterms:modified xsi:type="dcterms:W3CDTF">2026-08-18T07:30:00Z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0DAD10DC659B4CF488706DC07883651C_11</vt:lpwstr>
  </property>
  <property fmtid="{D5CDD505-2E9C-101B-9397-08002B2CF9AE}" pid="4" name="KSOTemplateDocerSaveRecord">
    <vt:lpwstr>eyJoZGlkIjoiMzJiMWQzMzZlZTE4MGMyN2Y3ODg5YzBhZjU0ZmQ1ODMifQ==</vt:lpwstr>
  </property>
</Properties>
</file>