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1442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205"/>
        <w:gridCol w:w="1966"/>
        <w:gridCol w:w="2928"/>
        <w:gridCol w:w="2009"/>
        <w:gridCol w:w="2026"/>
        <w:gridCol w:w="2286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144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方正小标宋简体" w:hAnsi="Verdana" w:eastAsia="方正小标宋简体" w:cs="宋体"/>
                <w:b/>
                <w:bCs/>
                <w:color w:val="000000"/>
                <w:kern w:val="0"/>
                <w:sz w:val="48"/>
              </w:rPr>
              <w:t> </w:t>
            </w:r>
            <w:r>
              <w:rPr>
                <w:rFonts w:ascii="方正小标宋简体" w:hAnsi="Verdana" w:eastAsia="方正小标宋简体" w:cs="宋体"/>
                <w:b/>
                <w:bCs/>
                <w:color w:val="000000"/>
                <w:kern w:val="0"/>
                <w:sz w:val="36"/>
              </w:rPr>
              <w:t>2014年荣成市部门决算收支总表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51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单位名称：中共荣成市委荣成市人民政府信访局</w:t>
            </w:r>
          </w:p>
        </w:tc>
        <w:tc>
          <w:tcPr>
            <w:tcW w:w="2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单位：千元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" w:hRule="atLeast"/>
        </w:trPr>
        <w:tc>
          <w:tcPr>
            <w:tcW w:w="51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收 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入 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部 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分</w:t>
            </w:r>
          </w:p>
        </w:tc>
        <w:tc>
          <w:tcPr>
            <w:tcW w:w="924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支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出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部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分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320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收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入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来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源</w:t>
            </w:r>
          </w:p>
        </w:tc>
        <w:tc>
          <w:tcPr>
            <w:tcW w:w="196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2014年决算数</w:t>
            </w:r>
          </w:p>
        </w:tc>
        <w:tc>
          <w:tcPr>
            <w:tcW w:w="493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公共财政决算</w:t>
            </w:r>
          </w:p>
        </w:tc>
        <w:tc>
          <w:tcPr>
            <w:tcW w:w="431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基金决算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320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96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项    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目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2014年决算数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项    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目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2014年决算数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一、一般公共预算收入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3490.98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一、一般公共服务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3490.98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一、文化体育与传媒支出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 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1、经费拨款（补助）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二、外交支出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二、社会保障和就业支出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 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2、行政事业性收费（专项收入）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三、国防支出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三、节能环保支出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 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3、罚没款收入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四、公共安全支出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四、城乡社区支出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 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4、国有资产有偿使用收入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五、教育支出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五、农林水支出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二、基金收入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六、科学技术支出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六、交通运输支出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三、财政专户资金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七、文化体育与传媒支出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七、资源勘探信息等支出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四、事业单位经营收入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八、社会保障和就业支出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八、商业服务业等支出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五、其他收入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九、医疗卫生与计划生育支出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九、其他支出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六、提取水利基金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十、节能环保支出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七、提取价格调节基金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十一、城乡社区支出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八、政府集中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十二、农林水支出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十三、交通运输支出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十四、资源勘探信息等支出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十五、商业服务业等支出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十六、金融支出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十七、援助其他地区支出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十八、国土资源气象等支出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十九、住房保障支出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二十、粮油物资储备支出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二十一、国债还本付息支出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  <w:t>二十二、其他支出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320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0"/>
              </w:rPr>
              <w:t>收入合计</w:t>
            </w:r>
          </w:p>
        </w:tc>
        <w:tc>
          <w:tcPr>
            <w:tcW w:w="19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3490.98</w:t>
            </w:r>
          </w:p>
        </w:tc>
        <w:tc>
          <w:tcPr>
            <w:tcW w:w="29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18"/>
              </w:rPr>
              <w:t>支出合计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3490.98</w:t>
            </w:r>
          </w:p>
        </w:tc>
        <w:tc>
          <w:tcPr>
            <w:tcW w:w="20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0"/>
              </w:rPr>
              <w:t>支出总计</w:t>
            </w:r>
          </w:p>
        </w:tc>
        <w:tc>
          <w:tcPr>
            <w:tcW w:w="22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0</w:t>
            </w:r>
          </w:p>
        </w:tc>
      </w:tr>
    </w:tbl>
    <w:p>
      <w:pPr>
        <w:widowControl/>
        <w:shd w:val="clear" w:color="auto" w:fill="FFFDFB"/>
        <w:spacing w:line="390" w:lineRule="atLeast"/>
        <w:jc w:val="left"/>
        <w:rPr>
          <w:rFonts w:ascii="Verdana" w:hAnsi="Verdana" w:eastAsia="宋体" w:cs="宋体"/>
          <w:vanish/>
          <w:color w:val="000000"/>
          <w:kern w:val="0"/>
          <w:sz w:val="18"/>
          <w:szCs w:val="18"/>
        </w:rPr>
      </w:pPr>
    </w:p>
    <w:tbl>
      <w:tblPr>
        <w:tblStyle w:val="6"/>
        <w:tblW w:w="1376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0"/>
        <w:gridCol w:w="820"/>
        <w:gridCol w:w="820"/>
        <w:gridCol w:w="2460"/>
        <w:gridCol w:w="1140"/>
        <w:gridCol w:w="1100"/>
        <w:gridCol w:w="1120"/>
        <w:gridCol w:w="1080"/>
        <w:gridCol w:w="1080"/>
        <w:gridCol w:w="1080"/>
        <w:gridCol w:w="1080"/>
        <w:gridCol w:w="1160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376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方正小标宋简体" w:hAnsi="Verdana" w:eastAsia="方正小标宋简体" w:cs="宋体"/>
                <w:b/>
                <w:bCs/>
                <w:color w:val="000000"/>
                <w:kern w:val="0"/>
                <w:sz w:val="36"/>
              </w:rPr>
              <w:t>2014年荣成市部门决算支出明细表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5" w:hRule="atLeast"/>
        </w:trPr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单位名称：中共荣成市委荣成市人民政府信访局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单位：千元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</w:trPr>
        <w:tc>
          <w:tcPr>
            <w:tcW w:w="24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科目编码</w:t>
            </w:r>
          </w:p>
        </w:tc>
        <w:tc>
          <w:tcPr>
            <w:tcW w:w="24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科目名称</w:t>
            </w:r>
          </w:p>
        </w:tc>
        <w:tc>
          <w:tcPr>
            <w:tcW w:w="11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 总计 </w:t>
            </w:r>
          </w:p>
        </w:tc>
        <w:tc>
          <w:tcPr>
            <w:tcW w:w="11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基本支出</w:t>
            </w:r>
          </w:p>
        </w:tc>
        <w:tc>
          <w:tcPr>
            <w:tcW w:w="11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项目支出</w:t>
            </w:r>
          </w:p>
        </w:tc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经营支出</w:t>
            </w:r>
          </w:p>
        </w:tc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上缴上级支出</w:t>
            </w:r>
          </w:p>
        </w:tc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其他支出</w:t>
            </w:r>
          </w:p>
        </w:tc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市级专项支出</w:t>
            </w:r>
          </w:p>
        </w:tc>
        <w:tc>
          <w:tcPr>
            <w:tcW w:w="11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备注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类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款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项</w:t>
            </w:r>
          </w:p>
        </w:tc>
        <w:tc>
          <w:tcPr>
            <w:tcW w:w="24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3490.98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1927.98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1563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</w:trPr>
        <w:tc>
          <w:tcPr>
            <w:tcW w:w="8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8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</w:tbl>
    <w:p>
      <w:pPr>
        <w:widowControl/>
        <w:shd w:val="clear" w:color="auto" w:fill="FFFDFB"/>
        <w:spacing w:line="390" w:lineRule="atLeast"/>
        <w:jc w:val="left"/>
        <w:rPr>
          <w:rFonts w:ascii="Verdana" w:hAnsi="Verdana" w:eastAsia="宋体" w:cs="宋体"/>
          <w:vanish/>
          <w:color w:val="000000"/>
          <w:kern w:val="0"/>
          <w:sz w:val="18"/>
          <w:szCs w:val="18"/>
        </w:rPr>
      </w:pPr>
    </w:p>
    <w:tbl>
      <w:tblPr>
        <w:tblStyle w:val="6"/>
        <w:tblW w:w="1452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80"/>
        <w:gridCol w:w="780"/>
        <w:gridCol w:w="780"/>
        <w:gridCol w:w="1480"/>
        <w:gridCol w:w="1100"/>
        <w:gridCol w:w="1240"/>
        <w:gridCol w:w="1160"/>
        <w:gridCol w:w="1260"/>
        <w:gridCol w:w="1180"/>
        <w:gridCol w:w="1200"/>
        <w:gridCol w:w="1200"/>
        <w:gridCol w:w="1200"/>
        <w:gridCol w:w="1160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452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方正小标宋简体" w:hAnsi="Verdana" w:eastAsia="方正小标宋简体" w:cs="宋体"/>
                <w:b/>
                <w:bCs/>
                <w:color w:val="000000"/>
                <w:kern w:val="0"/>
                <w:sz w:val="36"/>
              </w:rPr>
              <w:t>  2014年荣成市部门决算支出经济分类表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2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单位名称：中共荣成市委荣成市人民政府信访局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5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 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</w:rPr>
              <w:t> </w:t>
            </w: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单位：千元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2340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科目编码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科目名称</w:t>
            </w:r>
          </w:p>
        </w:tc>
        <w:tc>
          <w:tcPr>
            <w:tcW w:w="11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12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工资福利支出</w:t>
            </w:r>
          </w:p>
        </w:tc>
        <w:tc>
          <w:tcPr>
            <w:tcW w:w="11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商品和服务支出</w:t>
            </w:r>
          </w:p>
        </w:tc>
        <w:tc>
          <w:tcPr>
            <w:tcW w:w="12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对个人和家庭的补助</w:t>
            </w:r>
          </w:p>
        </w:tc>
        <w:tc>
          <w:tcPr>
            <w:tcW w:w="11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对企事业单位的补贴</w:t>
            </w:r>
          </w:p>
        </w:tc>
        <w:tc>
          <w:tcPr>
            <w:tcW w:w="12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基本建设支出</w:t>
            </w:r>
          </w:p>
        </w:tc>
        <w:tc>
          <w:tcPr>
            <w:tcW w:w="12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其他资本性支出</w:t>
            </w:r>
          </w:p>
        </w:tc>
        <w:tc>
          <w:tcPr>
            <w:tcW w:w="12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其他支出</w:t>
            </w:r>
          </w:p>
        </w:tc>
        <w:tc>
          <w:tcPr>
            <w:tcW w:w="11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备注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2340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4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类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款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项</w:t>
            </w:r>
          </w:p>
        </w:tc>
        <w:tc>
          <w:tcPr>
            <w:tcW w:w="14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1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1927.98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1381.15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164.74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255.28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126.81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b/>
                <w:bCs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1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</w:tbl>
    <w:p>
      <w:pPr>
        <w:widowControl/>
        <w:shd w:val="clear" w:color="auto" w:fill="FFFDFB"/>
        <w:spacing w:line="390" w:lineRule="atLeast"/>
        <w:jc w:val="left"/>
        <w:rPr>
          <w:rFonts w:ascii="Verdana" w:hAnsi="Verdana" w:eastAsia="宋体" w:cs="宋体"/>
          <w:vanish/>
          <w:color w:val="000000"/>
          <w:kern w:val="0"/>
          <w:sz w:val="18"/>
          <w:szCs w:val="18"/>
        </w:rPr>
      </w:pPr>
    </w:p>
    <w:tbl>
      <w:tblPr>
        <w:tblStyle w:val="6"/>
        <w:tblW w:w="908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580"/>
        <w:gridCol w:w="5500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</w:trPr>
        <w:tc>
          <w:tcPr>
            <w:tcW w:w="9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方正小标宋简体" w:hAnsi="Verdana" w:eastAsia="方正小标宋简体" w:cs="宋体"/>
                <w:color w:val="000000"/>
                <w:kern w:val="0"/>
                <w:sz w:val="36"/>
                <w:szCs w:val="36"/>
              </w:rPr>
              <w:t>2014年荣成市部门决算“三公”经费汇总表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部门名称：中共荣成市委荣成市人民政府信访局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单位：千元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</w:trPr>
        <w:tc>
          <w:tcPr>
            <w:tcW w:w="3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5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决算数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</w:trPr>
        <w:tc>
          <w:tcPr>
            <w:tcW w:w="3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合计</w:t>
            </w:r>
          </w:p>
        </w:tc>
        <w:tc>
          <w:tcPr>
            <w:tcW w:w="5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righ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57.62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</w:trPr>
        <w:tc>
          <w:tcPr>
            <w:tcW w:w="3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1、因公出国（境）费用</w:t>
            </w:r>
          </w:p>
        </w:tc>
        <w:tc>
          <w:tcPr>
            <w:tcW w:w="5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righ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</w:trPr>
        <w:tc>
          <w:tcPr>
            <w:tcW w:w="3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2、公务接待费</w:t>
            </w:r>
          </w:p>
        </w:tc>
        <w:tc>
          <w:tcPr>
            <w:tcW w:w="5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righ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</w:trPr>
        <w:tc>
          <w:tcPr>
            <w:tcW w:w="3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3、公务用车费</w:t>
            </w:r>
          </w:p>
        </w:tc>
        <w:tc>
          <w:tcPr>
            <w:tcW w:w="5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righ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57.62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</w:trPr>
        <w:tc>
          <w:tcPr>
            <w:tcW w:w="3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其中：（1）公务用车运行维护费</w:t>
            </w:r>
          </w:p>
        </w:tc>
        <w:tc>
          <w:tcPr>
            <w:tcW w:w="5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righ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57.62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</w:trPr>
        <w:tc>
          <w:tcPr>
            <w:tcW w:w="3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      （2）公务用车购置</w:t>
            </w:r>
          </w:p>
        </w:tc>
        <w:tc>
          <w:tcPr>
            <w:tcW w:w="5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righ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4"/>
                <w:szCs w:val="24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0" w:hRule="atLeast"/>
        </w:trPr>
        <w:tc>
          <w:tcPr>
            <w:tcW w:w="9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52" w:lineRule="atLeast"/>
              <w:jc w:val="left"/>
              <w:rPr>
                <w:rFonts w:ascii="Verdana" w:hAnsi="Verdana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备注：（1）因公出国（境）费用：指单位按照《山东省因公临时出国经费管理实施办法》和《山东省因公短期出国培训费用管理实施办法》开支的公务出国（境）的培训费、国际旅费、国外城市间交通费、住宿费、伙食费、公杂费和其他费用。（2）公务接待费：指单位按照《荣成市党政机关国内公务接待管理办法》和《荣成市党政机关外宾接待经费管理办法》开支</w:t>
            </w:r>
            <w:bookmarkStart w:id="0" w:name="_GoBack"/>
            <w:bookmarkEnd w:id="0"/>
            <w:r>
              <w:rPr>
                <w:rFonts w:ascii="Verdana" w:hAnsi="Verdana" w:eastAsia="宋体" w:cs="宋体"/>
                <w:color w:val="000000"/>
                <w:kern w:val="0"/>
                <w:sz w:val="20"/>
                <w:szCs w:val="20"/>
              </w:rPr>
              <w:t>的各类公务接待支出。（3）公务用车购置及运行费：指单位公务用车购置费及租用费、燃料费、维修费、过路过桥费、保险费、安全奖励费用等支出。公务用车指用于履行公务的机动车辆，包括一般公务用车和执法执勤用车。  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12A02"/>
    <w:rsid w:val="00286A29"/>
    <w:rsid w:val="00E12A02"/>
    <w:rsid w:val="00E3662D"/>
    <w:rsid w:val="00F937ED"/>
    <w:rsid w:val="15730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Strong"/>
    <w:basedOn w:val="4"/>
    <w:qFormat/>
    <w:uiPriority w:val="22"/>
    <w:rPr>
      <w:b/>
      <w:bCs/>
    </w:rPr>
  </w:style>
  <w:style w:type="character" w:customStyle="1" w:styleId="7">
    <w:name w:val="页眉 Char"/>
    <w:basedOn w:val="4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4"/>
    <w:link w:val="2"/>
    <w:semiHidden/>
    <w:uiPriority w:val="99"/>
    <w:rPr>
      <w:sz w:val="18"/>
      <w:szCs w:val="18"/>
    </w:rPr>
  </w:style>
  <w:style w:type="character" w:customStyle="1" w:styleId="9">
    <w:name w:val="apple-converted-space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5</Pages>
  <Words>278</Words>
  <Characters>1586</Characters>
  <Lines>13</Lines>
  <Paragraphs>3</Paragraphs>
  <TotalTime>7</TotalTime>
  <ScaleCrop>false</ScaleCrop>
  <LinksUpToDate>false</LinksUpToDate>
  <CharactersWithSpaces>1861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2016-11-18T06:04:00Z</dcterms:created>
  <dc:creator>微软用户</dc:creator>
  <cp:lastModifiedBy>Administrator</cp:lastModifiedBy>
  <dcterms:modified xsi:type="dcterms:W3CDTF">2023-10-17T01:15:39Z</dcterms:modified>
  <dc:title> 2014年荣成市部门决算收支总表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