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853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8292"/>
        <w:gridCol w:w="2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8292"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Style w:val="5"/>
                <w:rFonts w:hint="eastAsia" w:ascii="宋体" w:hAnsi="宋体" w:eastAsia="宋体" w:cs="宋体"/>
                <w:b/>
                <w:bCs/>
                <w:i w:val="0"/>
                <w:iCs w:val="0"/>
                <w:caps w:val="0"/>
                <w:color w:val="515151"/>
                <w:spacing w:val="15"/>
                <w:sz w:val="19"/>
                <w:szCs w:val="19"/>
              </w:rPr>
              <w:t>目    录</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第一部分  荣成市上庄镇人民政府概况</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一、机构职责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二、预算单位构成</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第二部分  2016年上庄镇人民政府“三公”经费预算表</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表一、2016年上庄镇人民政府“三公”经费预算表</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第三部分  2016年“三公”经费预算安排情况说明</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第四部分  名词解释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第一部分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概    况</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一、机构职责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上庄镇人民政府是乡镇一级人民政府，下设党政办公室、经济发展办公室、社会事务办公室和镇村建设办公室四大办公室。</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政府职责：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一、宣传、贯彻、落实党的路线、方针、政策和上级党委、政府的指示、决议、决定。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二、贯彻党和国家的政策、法律、法规，开展社会主义民主与法制宣传，弘扬社会公德，加强家庭美德教育，形成安全、稳定的社会新秩序。</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三、协调好本镇与外地区的经济交流与合作，抓好招商引资，搞好商品流通，促进经济发展。指导、协调村民委员会发展经济，开展科技兴镇，完成市政府下达的各项经济指标任务。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四、制定并组织实施村镇建设规划，部署重点工程建设，地方道路建设及公共设施，水利设施的管理，负责土地、林木、水等自然资源和生态环境的保护，做好护林防火工作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五、贯彻执行党和国家的计划生育方针、政策、法规，拟定本镇人口与计划生育的年度计划，协同有关部门开展计划生育、爱国卫生、防病保健、村容环境卫生、环境保护和劳动就业等管理工作，加强对村民委员会计生工作的指导</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六、指导、支持和帮助村民委员会开展工作，促进村民委员会的组织建设和制度建设。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七、管理本镇教育、文化、科技体育、卫生、人民调解组织建设；做好法制宣传、教育、法律服务、民间纠纷调解工作。依法逐级向市人民政府反映农民群众的意见和要求，接待、办理人民群众来信、来访事项。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八、实施本镇社会治安综合治理计划，并组织、指导、协调、检查各单位工作。做好定补、救灾救济扶贫、双拥、优待、抚恤、老龄、五保、殡改等工作。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九、搞好本镇民兵组织建设、国防教育、军事训练、征兵等工作。配合上级有关部门做好防汛、防震、防火、防灾、救灾工作。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十、编制财政预算内、预算外、自筹资金的年度预算、决算和管理，执行镇人代会审查批准的财政收支预算和市政府下达的收支任务，做好各项财政收入的征收管理、划解工作。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十一、建立健全各项财务会计制度，加强对本镇企业、事业、行政单位财务指导管理，提高财政资金使用效益，促进经济和社会事业的协调发展。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十二、抓好精神文明建设，丰富群众文化生活，提倡移风易俗，反对封建迷信，破除陈规陋习，树立社会主义新风尚。</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十三、完成上级政府部署的各项工作。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（一）党政办公室工作职责：</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1、贯彻执行党的路线、方针、政策，努力提高政治思想和理论水平，树立全心全意为人民服务的思想。</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2、认真履行职责，充分发挥参谋作用、助手作用、提供信息作用、协调组织作用，为党委、政府献计献策。</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3、严格按照公文处理办法，及时做好文件的收发、登记、拟办、承办、催办、传阅、清退、立卷归档等工作。</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4、保守秘密，认真做好各种会议的会务安排，负责记录、整理和保存各种会议资料。</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5、协调领导与领导、领导与部门、部门与部门之间的关系，督促检查各部门的工作开展情况，及时向有关领导和部门反馈信息。</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6、认真做好考勤、车辆、食堂等后勤管理工作，认真开展政务公开，做好人民群众的来信来访工作。</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7、完成镇党委、政府和上级有关部门交办的其他工作任务。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（二）社会事务办公室工作职责：</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研究拟订本辖区的工作计划、阶段性工作方案，提交会并负责组织实施；掌握、分析辖区内的社会治安形势和工作动态，及时向上反馈信息，重大问题提请镇党委、政府研究解决；组织、协调各有关部门共同解决辖区内突出的社会问题；指导、检查、督促基层党支部、村委会和辖区内的单位和企事业开展社会治安综合治理工作，对存在问题的单位提出整改意见，并视情况提出行使一票否决权的建议；协助有关部门，指导治保会、调解会和各种形式的群防群治队伍的工作；开展调查研究，总结推广经验；；办理上级交办的有关社会事务工作的</w:t>
            </w:r>
            <w:bookmarkStart w:id="0" w:name="_GoBack"/>
            <w:bookmarkEnd w:id="0"/>
            <w:r>
              <w:rPr>
                <w:rFonts w:hint="eastAsia" w:ascii="宋体" w:hAnsi="宋体" w:eastAsia="宋体" w:cs="宋体"/>
                <w:i w:val="0"/>
                <w:iCs w:val="0"/>
                <w:caps w:val="0"/>
                <w:color w:val="515151"/>
                <w:spacing w:val="15"/>
                <w:sz w:val="19"/>
                <w:szCs w:val="19"/>
              </w:rPr>
              <w:t>其他事项。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（三）经济发展办公室工作职责：</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贯彻执行党和政府有关发展乡镇经济的方针、政策和法规，监督检查执行情况，并做好镇企业的调查研究；负责拟定企业发展规划及编制指导年度计划，检查督促计划任务的完成，并做好目标责任制考核及评比工作；按照检查、指导、督促辖区内企业各项安全制度的执行，保证安全生产；认真承办镇党委、政府和上级业务部门交办的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（四）村镇建设办公室职责：</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1、宣传、贯彻《城市规划法》、《建筑法》、《环境保护法》以及国家和省、地、县有关村镇建设管理的方针、政策、法规，协助镇政府以及村委员制定和完善村镇建设管理的具体实施办法。</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2、参与编制本镇域的总体规划，参与和知道编制所辖各村的建设规划。</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3、责编制和实施村镇建设年度计划，包括计划工程量，投资估算，建设项目的选址定点，公建项目的材料、施工管理及竣工验收、分配上级部门调拨的农房建材等。</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4、认真组织各项建设用地及农民宅基用地的申报、查验工作，包括审查、汇总、报送各类用地（含宅基地）的申请；核发宅基地使用证和建设施工许可证；负责农宅及各类建设的放线、验线；负责农房及各类工程的建设质量监督和检验；解决村镇违章建房、不合理使用宅基地及有关宅基地纠纷等；协助上级部门完成国家建设征用土地工作。</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5、负责指导村级建设助理员的工作，在村镇建设中，推广和使用新材料、新技术、新方法、宣传和解决本乡镇规划的有关内容。</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6、认真做好村镇建设管理费的征收和使用，并接受财务、物价部门的检查和监督。</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7、了解和掌握本镇各项建设进展情况，做好村镇建设统计工作，按时填写并上报村镇建设统计报表，完成村镇建设基础材料，规划设计施工资料，有关文件、图片等的搜集、整理和存档工作。</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8、抓好建设项目的管理、督促建设和施工单位严格执行基本建设程序，杜绝各类事故的发生，保护测量标志。确保国家和本镇的各科测量标志不受破坏。</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9、积极主动的完成市建委和镇党委、政府交办的各项任务。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二、预算单位构成</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纳入2016年预算编制范围的单位详细情况见下表：</w:t>
            </w:r>
          </w:p>
          <w:tbl>
            <w:tblPr>
              <w:tblStyle w:val="3"/>
              <w:tblW w:w="0" w:type="auto"/>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904"/>
              <w:gridCol w:w="6035"/>
              <w:gridCol w:w="12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91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序号</w:t>
                  </w:r>
                </w:p>
              </w:tc>
              <w:tc>
                <w:tcPr>
                  <w:tcW w:w="6117"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单位名称</w:t>
                  </w:r>
                </w:p>
              </w:tc>
              <w:tc>
                <w:tcPr>
                  <w:tcW w:w="125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91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1</w:t>
                  </w:r>
                </w:p>
              </w:tc>
              <w:tc>
                <w:tcPr>
                  <w:tcW w:w="6117"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荣成市上庄镇人民政府</w:t>
                  </w:r>
                </w:p>
              </w:tc>
              <w:tc>
                <w:tcPr>
                  <w:tcW w:w="125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91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 </w:t>
                  </w:r>
                </w:p>
              </w:tc>
              <w:tc>
                <w:tcPr>
                  <w:tcW w:w="6117"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125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91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 </w:t>
                  </w:r>
                </w:p>
              </w:tc>
              <w:tc>
                <w:tcPr>
                  <w:tcW w:w="6117"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125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97" w:hRule="atLeast"/>
              </w:trPr>
              <w:tc>
                <w:tcPr>
                  <w:tcW w:w="91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 </w:t>
                  </w:r>
                </w:p>
              </w:tc>
              <w:tc>
                <w:tcPr>
                  <w:tcW w:w="6117"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125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20" w:lineRule="atLeast"/>
              <w:ind w:left="0" w:right="0"/>
              <w:jc w:val="left"/>
            </w:pPr>
            <w:r>
              <w:rPr>
                <w:rFonts w:hint="eastAsia" w:ascii="宋体" w:hAnsi="宋体" w:eastAsia="宋体" w:cs="宋体"/>
                <w:i w:val="0"/>
                <w:iCs w:val="0"/>
                <w:caps w:val="0"/>
                <w:color w:val="515151"/>
                <w:spacing w:val="15"/>
                <w:sz w:val="19"/>
                <w:szCs w:val="19"/>
              </w:rPr>
              <w:t>第二部分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2016年上庄镇人民政府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“三公”经费预算表</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tbl>
            <w:tblPr>
              <w:tblStyle w:val="3"/>
              <w:tblW w:w="0" w:type="auto"/>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214"/>
              <w:gridCol w:w="1336"/>
              <w:gridCol w:w="740"/>
              <w:gridCol w:w="1223"/>
              <w:gridCol w:w="1357"/>
              <w:gridCol w:w="1138"/>
              <w:gridCol w:w="11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8289" w:type="dxa"/>
                  <w:gridSpan w:val="7"/>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2016年荣成市上庄镇人民政府“三公”经费预算表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1230"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单位名称：</w:t>
                  </w:r>
                </w:p>
              </w:tc>
              <w:tc>
                <w:tcPr>
                  <w:tcW w:w="134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right"/>
                  </w:pPr>
                  <w:r>
                    <w:rPr>
                      <w:rFonts w:hint="eastAsia" w:ascii="宋体" w:hAnsi="宋体" w:eastAsia="宋体" w:cs="宋体"/>
                      <w:sz w:val="24"/>
                      <w:szCs w:val="24"/>
                    </w:rPr>
                    <w:t> </w:t>
                  </w:r>
                </w:p>
              </w:tc>
              <w:tc>
                <w:tcPr>
                  <w:tcW w:w="748" w:type="dxa"/>
                  <w:shd w:val="clear" w:color="auto" w:fill="auto"/>
                  <w:tcMar>
                    <w:top w:w="0" w:type="dxa"/>
                    <w:left w:w="0" w:type="dxa"/>
                    <w:bottom w:w="0" w:type="dxa"/>
                    <w:right w:w="0" w:type="dxa"/>
                  </w:tcMar>
                  <w:vAlign w:val="bottom"/>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1244" w:type="dxa"/>
                  <w:shd w:val="clear" w:color="auto" w:fill="auto"/>
                  <w:tcMar>
                    <w:top w:w="0" w:type="dxa"/>
                    <w:left w:w="0" w:type="dxa"/>
                    <w:bottom w:w="0" w:type="dxa"/>
                    <w:right w:w="0" w:type="dxa"/>
                  </w:tcMar>
                  <w:vAlign w:val="bottom"/>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1378" w:type="dxa"/>
                  <w:shd w:val="clear" w:color="auto" w:fill="auto"/>
                  <w:tcMar>
                    <w:top w:w="0" w:type="dxa"/>
                    <w:left w:w="0" w:type="dxa"/>
                    <w:bottom w:w="0" w:type="dxa"/>
                    <w:right w:w="0" w:type="dxa"/>
                  </w:tcMar>
                  <w:vAlign w:val="bottom"/>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2340" w:type="dxa"/>
                  <w:gridSpan w:val="2"/>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    单位：千元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1230" w:type="dxa"/>
                  <w:vMerge w:val="restart"/>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总计</w:t>
                  </w:r>
                </w:p>
              </w:tc>
              <w:tc>
                <w:tcPr>
                  <w:tcW w:w="1349" w:type="dxa"/>
                  <w:vMerge w:val="restart"/>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因公出国（境）经费</w:t>
                  </w:r>
                </w:p>
              </w:tc>
              <w:tc>
                <w:tcPr>
                  <w:tcW w:w="3370" w:type="dxa"/>
                  <w:gridSpan w:val="3"/>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公务用车购置和运行维护费</w:t>
                  </w:r>
                </w:p>
              </w:tc>
              <w:tc>
                <w:tcPr>
                  <w:tcW w:w="1149" w:type="dxa"/>
                  <w:vMerge w:val="restart"/>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公务接待费</w:t>
                  </w:r>
                </w:p>
              </w:tc>
              <w:tc>
                <w:tcPr>
                  <w:tcW w:w="1191" w:type="dxa"/>
                  <w:vMerge w:val="restart"/>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1230" w:type="dxa"/>
                  <w:vMerge w:val="continue"/>
                  <w:shd w:val="clear" w:color="auto" w:fill="auto"/>
                  <w:tcMar>
                    <w:top w:w="0" w:type="dxa"/>
                    <w:left w:w="0" w:type="dxa"/>
                    <w:bottom w:w="0" w:type="dxa"/>
                    <w:right w:w="0" w:type="dxa"/>
                  </w:tcMar>
                  <w:vAlign w:val="center"/>
                </w:tcPr>
                <w:p>
                  <w:pPr>
                    <w:rPr>
                      <w:rFonts w:hint="eastAsia" w:ascii="宋体"/>
                      <w:sz w:val="24"/>
                      <w:szCs w:val="24"/>
                    </w:rPr>
                  </w:pPr>
                </w:p>
              </w:tc>
              <w:tc>
                <w:tcPr>
                  <w:tcW w:w="1349" w:type="dxa"/>
                  <w:vMerge w:val="continue"/>
                  <w:shd w:val="clear" w:color="auto" w:fill="auto"/>
                  <w:tcMar>
                    <w:top w:w="0" w:type="dxa"/>
                    <w:left w:w="0" w:type="dxa"/>
                    <w:bottom w:w="0" w:type="dxa"/>
                    <w:right w:w="0" w:type="dxa"/>
                  </w:tcMar>
                  <w:vAlign w:val="center"/>
                </w:tcPr>
                <w:p>
                  <w:pPr>
                    <w:rPr>
                      <w:rFonts w:hint="eastAsia" w:ascii="宋体"/>
                      <w:sz w:val="24"/>
                      <w:szCs w:val="24"/>
                    </w:rPr>
                  </w:pPr>
                </w:p>
              </w:tc>
              <w:tc>
                <w:tcPr>
                  <w:tcW w:w="748"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小计</w:t>
                  </w:r>
                </w:p>
              </w:tc>
              <w:tc>
                <w:tcPr>
                  <w:tcW w:w="124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公务用车购置经费</w:t>
                  </w:r>
                </w:p>
              </w:tc>
              <w:tc>
                <w:tcPr>
                  <w:tcW w:w="1378"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公务用车运行维护费</w:t>
                  </w:r>
                </w:p>
              </w:tc>
              <w:tc>
                <w:tcPr>
                  <w:tcW w:w="1149" w:type="dxa"/>
                  <w:vMerge w:val="continue"/>
                  <w:shd w:val="clear" w:color="auto" w:fill="auto"/>
                  <w:tcMar>
                    <w:top w:w="0" w:type="dxa"/>
                    <w:left w:w="0" w:type="dxa"/>
                    <w:bottom w:w="0" w:type="dxa"/>
                    <w:right w:w="0" w:type="dxa"/>
                  </w:tcMar>
                  <w:vAlign w:val="center"/>
                </w:tcPr>
                <w:p>
                  <w:pPr>
                    <w:rPr>
                      <w:rFonts w:hint="eastAsia" w:ascii="宋体"/>
                      <w:sz w:val="24"/>
                      <w:szCs w:val="24"/>
                    </w:rPr>
                  </w:pPr>
                </w:p>
              </w:tc>
              <w:tc>
                <w:tcPr>
                  <w:tcW w:w="1191" w:type="dxa"/>
                  <w:vMerge w:val="continue"/>
                  <w:shd w:val="clear" w:color="auto" w:fill="auto"/>
                  <w:tcMar>
                    <w:top w:w="0" w:type="dxa"/>
                    <w:left w:w="0" w:type="dxa"/>
                    <w:bottom w:w="0" w:type="dxa"/>
                    <w:right w:w="0" w:type="dxa"/>
                  </w:tcMar>
                  <w:vAlign w:val="center"/>
                </w:tcPr>
                <w:p>
                  <w:pPr>
                    <w:rPr>
                      <w:rFonts w:hint="eastAsia" w:ascii="宋体"/>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1230"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1"/>
                      <w:szCs w:val="21"/>
                    </w:rPr>
                    <w:t>504</w:t>
                  </w:r>
                </w:p>
              </w:tc>
              <w:tc>
                <w:tcPr>
                  <w:tcW w:w="1349" w:type="dxa"/>
                  <w:shd w:val="clear" w:color="auto" w:fill="auto"/>
                  <w:tcMar>
                    <w:top w:w="0" w:type="dxa"/>
                    <w:left w:w="0" w:type="dxa"/>
                    <w:bottom w:w="0" w:type="dxa"/>
                    <w:right w:w="0" w:type="dxa"/>
                  </w:tcMar>
                  <w:vAlign w:val="center"/>
                </w:tcPr>
                <w:p>
                  <w:pPr>
                    <w:rPr>
                      <w:rFonts w:hint="eastAsia" w:ascii="宋体"/>
                      <w:sz w:val="24"/>
                      <w:szCs w:val="24"/>
                    </w:rPr>
                  </w:pPr>
                </w:p>
              </w:tc>
              <w:tc>
                <w:tcPr>
                  <w:tcW w:w="748"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500</w:t>
                  </w:r>
                </w:p>
              </w:tc>
              <w:tc>
                <w:tcPr>
                  <w:tcW w:w="124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0</w:t>
                  </w:r>
                </w:p>
              </w:tc>
              <w:tc>
                <w:tcPr>
                  <w:tcW w:w="1378"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500</w:t>
                  </w:r>
                </w:p>
              </w:tc>
              <w:tc>
                <w:tcPr>
                  <w:tcW w:w="114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1"/>
                      <w:szCs w:val="21"/>
                    </w:rPr>
                    <w:t>4</w:t>
                  </w:r>
                </w:p>
              </w:tc>
              <w:tc>
                <w:tcPr>
                  <w:tcW w:w="1191"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第三部分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2016年上庄镇人民政府预算</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“三公”经费情况说明</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Style w:val="5"/>
                <w:rFonts w:hint="eastAsia" w:ascii="宋体" w:hAnsi="宋体" w:eastAsia="宋体" w:cs="宋体"/>
                <w:b/>
                <w:bCs/>
                <w:i w:val="0"/>
                <w:iCs w:val="0"/>
                <w:caps w:val="0"/>
                <w:color w:val="515151"/>
                <w:spacing w:val="15"/>
                <w:sz w:val="19"/>
                <w:szCs w:val="19"/>
              </w:rPr>
              <w:t>一、预算编制的基本原则和方法</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（一）、预算编制的基本原则：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合法性原则:部门预算的编制要符合《预算法》和国家其他法律、法规，充分体现 国家的有关方针、政策，还要在法律赋予部门的职能范围内编制。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真实性原则:部门预算收支的预测必须以国家社会经济发展计划和履行部门职能的 需要为依据，对每一收支项目的数字指标运用科学合理的方法加以测算，力求各项收支 数据真实准确。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稳妥性原则:部门预算的编制要做到稳妥可靠，量入为出，收支平衡，不得编制赤 字预算。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重点性原则:部门预算编制要做到合理安排各项资金，本着“一要吃饭，二要建设” 的方针，在兼顾一般的同时优先保证重点支出。根据重点性原则，要先保证基本支出， 后安排项目支出;先重点、急需项目，后一般项目。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完整性原则:部门预算编制要体现综合预算的思想。各种预算外资金要严格执行收 支两条线管理，所有收入和支出全部纳入预算管理。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透明性原则:部门预算要体现公平、透明原则。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部门参与性原则:部门预算应为各单位提供一种规范的模式，使部门可以将其所有 收支情况通过法定预算的形式进行编制和使用。部门应根据本部门职能、事业发展规划 制订年度预算框架。</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（二）、预算编制方法：</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1、制定预算编制方案，根据预算编制原则制定部门预算编制方案，明确预算编制的口径、标准、时间要求等，经领导审批后实施。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2、编制预算。财政所对预算单位上报的基础数据资料进行审核，依据定额标准及政策规定，提取预算安排意见，报送镇领导审批。</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3、形成预算草案。根据领导提出的修改建议，财政所对预算安排意见进行修改调整，形成预算草案。</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4、提交人大审议。预算草案报镇政府汇报通过后，提交镇人代会审议。</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5、组织实施。镇人大会批准后，财政部门对批准后的预算组织实施。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r>
              <w:rPr>
                <w:rStyle w:val="5"/>
                <w:rFonts w:hint="eastAsia" w:ascii="宋体" w:hAnsi="宋体" w:eastAsia="宋体" w:cs="宋体"/>
                <w:b/>
                <w:bCs/>
                <w:i w:val="0"/>
                <w:iCs w:val="0"/>
                <w:caps w:val="0"/>
                <w:color w:val="515151"/>
                <w:spacing w:val="15"/>
                <w:sz w:val="19"/>
                <w:szCs w:val="19"/>
              </w:rPr>
              <w:t>“三公”经费预算情况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2016年，“三公”经费预算共50.4万元，其中：因公出国（境）费0 万元，公务用车购置及运行费50万元，公务接待费4000元。</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2016年“三公”经费预算比2015年增加5.7 万元，其中：因公出国（境）费增加0万元、公务用车购置及运行费增加5.7万元。公务用车购置及运行费增加的主要原因是2015年 新购置一台安监车和洒水运行维护费增加。</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第四部分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名词解释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一、“三公”经费：包括因公出国（境）费、公务接待费、公务用车购置及运行维护费。</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二、因公出国（境）费用：指单位按照《山东省因公临时出国经费管理实施办法》和《山东省因公短期出国培训费用管理实施办法》开支的公务出国（境）的培训费、国际旅费、国外城市间交通费、住宿费、伙食费、公杂费和其他费用。</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三、公务用车购置及运行费：指单位公务用车购置费及租用费、燃料费、维修费、过路过桥费、保险费、安全奖励费用等支出。公务用车指用于履行公务的机动车辆，包括一般公务用车和执法执勤用车。</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四、公务接待费：指单位按照《荣成市党政机关国内公务接待管理办法》和《荣成市党政机关外宾接待经费管理办法》开支的的各类公务接待支出。</w:t>
            </w:r>
          </w:p>
        </w:tc>
        <w:tc>
          <w:tcPr>
            <w:tcW w:w="240" w:type="dxa"/>
            <w:shd w:val="clear" w:color="auto" w:fill="auto"/>
            <w:tcMar>
              <w:top w:w="0" w:type="dxa"/>
              <w:left w:w="0" w:type="dxa"/>
              <w:bottom w:w="0" w:type="dxa"/>
              <w:right w:w="0" w:type="dxa"/>
            </w:tcMar>
            <w:vAlign w:val="center"/>
          </w:tcPr>
          <w:p>
            <w:pPr>
              <w:rPr>
                <w:rFonts w:hint="eastAsia" w:ascii="sans-serif" w:hAnsi="sans-serif" w:eastAsia="sans-serif" w:cs="sans-serif"/>
                <w:i w:val="0"/>
                <w:iCs w:val="0"/>
                <w:caps w:val="0"/>
                <w:color w:val="000000"/>
                <w:spacing w:val="0"/>
                <w:sz w:val="24"/>
                <w:szCs w:val="24"/>
              </w:rPr>
            </w:pPr>
          </w:p>
        </w:tc>
      </w:tr>
    </w:tbl>
    <w:p/>
    <w:sectPr>
      <w:pgSz w:w="11905" w:h="16838"/>
      <w:pgMar w:top="1701" w:right="1418" w:bottom="1814" w:left="1474" w:header="851" w:footer="1417" w:gutter="0"/>
      <w:pgNumType w:fmt="decimal"/>
      <w:cols w:space="0" w:num="1"/>
      <w:titlePg/>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JjNDU3OGUxZTA3YmE4ZTMyYzBiYWJiYzVhOWM4YTgifQ=="/>
  </w:docVars>
  <w:rsids>
    <w:rsidRoot w:val="00000000"/>
    <w:rsid w:val="28651051"/>
    <w:rsid w:val="2DE2640B"/>
    <w:rsid w:val="694F6D4D"/>
    <w:rsid w:val="75A150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Owner</dc:creator>
  <cp:lastModifiedBy>李宗达</cp:lastModifiedBy>
  <dcterms:modified xsi:type="dcterms:W3CDTF">2024-01-18T00:54:10Z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9FC21F7ECB9749678892D169BABA1D57</vt:lpwstr>
  </property>
</Properties>
</file>