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F53D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企业退休独生子女父母奖励扶助项目</w:t>
      </w:r>
    </w:p>
    <w:p w14:paraId="5BBED4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绩效评价报告</w:t>
      </w:r>
    </w:p>
    <w:p w14:paraId="30305A9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40"/>
          <w:lang w:val="en-US" w:eastAsia="zh-CN"/>
        </w:rPr>
      </w:pPr>
    </w:p>
    <w:p w14:paraId="0A7474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黑体"/>
          <w:sz w:val="32"/>
          <w:szCs w:val="40"/>
          <w:lang w:val="en-US" w:eastAsia="zh-CN"/>
        </w:rPr>
      </w:pPr>
      <w:r>
        <w:rPr>
          <w:rFonts w:hint="eastAsia" w:ascii="Times New Roman" w:hAnsi="Times New Roman" w:eastAsia="黑体" w:cs="黑体"/>
          <w:sz w:val="32"/>
          <w:szCs w:val="40"/>
          <w:lang w:val="en-US" w:eastAsia="zh-CN"/>
        </w:rPr>
        <w:t>一、项目基本情况</w:t>
      </w:r>
    </w:p>
    <w:p w14:paraId="410315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sz w:val="32"/>
          <w:szCs w:val="40"/>
          <w:lang w:val="en-US" w:eastAsia="zh-CN"/>
        </w:rPr>
      </w:pPr>
      <w:r>
        <w:rPr>
          <w:rFonts w:hint="eastAsia" w:ascii="Times New Roman" w:hAnsi="Times New Roman" w:eastAsia="楷体_GB2312" w:cs="楷体_GB2312"/>
          <w:sz w:val="32"/>
          <w:szCs w:val="40"/>
          <w:lang w:val="en-US" w:eastAsia="zh-CN"/>
        </w:rPr>
        <w:t>（一）项目概况</w:t>
      </w:r>
    </w:p>
    <w:p w14:paraId="446A86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根据《关于做好威海市全面两孩政策调整前独生子女父母奖励扶助金发放工作的通知》（威卫办【2023】5号）的内容：二、奖励扶助内容（一）企业、社会团体、民办非企业等单位退休独生子女父母年老奖励扶助1.补助标准。自退休后每人每月领取100元的奖励扶助。2.确认程序。①本人申请。</w:t>
      </w:r>
    </w:p>
    <w:p w14:paraId="3672A59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sz w:val="32"/>
          <w:szCs w:val="40"/>
          <w:lang w:val="en-US" w:eastAsia="zh-CN"/>
        </w:rPr>
      </w:pPr>
      <w:r>
        <w:rPr>
          <w:rFonts w:hint="eastAsia" w:ascii="Times New Roman" w:hAnsi="Times New Roman" w:eastAsia="楷体_GB2312" w:cs="楷体_GB2312"/>
          <w:sz w:val="32"/>
          <w:szCs w:val="40"/>
          <w:lang w:val="en-US" w:eastAsia="zh-CN"/>
        </w:rPr>
        <w:t>（二）项目绩效目标</w:t>
      </w:r>
    </w:p>
    <w:p w14:paraId="036FCE32">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1.总体目标。落实《关于做好威海市全面两孩政策调整前独生子女父母奖励扶助金发放工作的通知》，</w:t>
      </w:r>
      <w:r>
        <w:rPr>
          <w:rFonts w:hint="eastAsia" w:ascii="Times New Roman" w:hAnsi="Times New Roman" w:eastAsia="仿宋_GB2312"/>
          <w:sz w:val="32"/>
          <w:szCs w:val="32"/>
        </w:rPr>
        <w:t>保障</w:t>
      </w:r>
      <w:r>
        <w:rPr>
          <w:rFonts w:hint="eastAsia" w:ascii="Times New Roman" w:hAnsi="Times New Roman" w:eastAsia="仿宋_GB2312"/>
          <w:sz w:val="32"/>
          <w:szCs w:val="32"/>
          <w:lang w:eastAsia="zh-CN"/>
        </w:rPr>
        <w:t>企业退休独生子女父母奖励扶助</w:t>
      </w:r>
      <w:r>
        <w:rPr>
          <w:rFonts w:hint="eastAsia" w:ascii="Times New Roman" w:hAnsi="Times New Roman" w:eastAsia="仿宋_GB2312"/>
          <w:sz w:val="32"/>
          <w:szCs w:val="32"/>
        </w:rPr>
        <w:t>及时足额发放。</w:t>
      </w:r>
    </w:p>
    <w:p w14:paraId="1644632A">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default"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2.年度目标。</w:t>
      </w:r>
      <w:r>
        <w:rPr>
          <w:rFonts w:hint="eastAsia" w:ascii="Times New Roman" w:hAnsi="Times New Roman" w:eastAsia="仿宋_GB2312" w:cs="仿宋_GB2312"/>
          <w:sz w:val="32"/>
          <w:szCs w:val="32"/>
          <w:lang w:val="en-US" w:eastAsia="zh-CN"/>
        </w:rPr>
        <w:t>2025年</w:t>
      </w:r>
      <w:r>
        <w:rPr>
          <w:rFonts w:hint="eastAsia" w:ascii="Times New Roman" w:hAnsi="Times New Roman" w:eastAsia="仿宋_GB2312" w:cs="仿宋_GB2312"/>
          <w:sz w:val="32"/>
          <w:szCs w:val="32"/>
        </w:rPr>
        <w:t>全市共确认对象</w:t>
      </w:r>
      <w:r>
        <w:rPr>
          <w:rFonts w:hint="eastAsia" w:ascii="Times New Roman" w:hAnsi="Times New Roman" w:eastAsia="仿宋_GB2312" w:cs="仿宋_GB2312"/>
          <w:sz w:val="32"/>
          <w:szCs w:val="32"/>
          <w:lang w:val="en-US" w:eastAsia="zh-CN"/>
        </w:rPr>
        <w:t>4827</w:t>
      </w:r>
      <w:r>
        <w:rPr>
          <w:rFonts w:hint="eastAsia" w:ascii="Times New Roman" w:hAnsi="Times New Roman" w:eastAsia="仿宋_GB2312" w:cs="仿宋_GB2312"/>
          <w:sz w:val="32"/>
          <w:szCs w:val="32"/>
        </w:rPr>
        <w:t>人，共发生支出</w:t>
      </w:r>
      <w:r>
        <w:rPr>
          <w:rFonts w:hint="eastAsia" w:ascii="Times New Roman" w:hAnsi="Times New Roman" w:eastAsia="仿宋_GB2312" w:cs="仿宋_GB2312"/>
          <w:sz w:val="32"/>
          <w:szCs w:val="32"/>
          <w:lang w:val="en-US" w:eastAsia="zh-CN"/>
        </w:rPr>
        <w:t>611.95</w:t>
      </w:r>
      <w:r>
        <w:rPr>
          <w:rFonts w:hint="eastAsia" w:ascii="Times New Roman" w:hAnsi="Times New Roman" w:eastAsia="仿宋_GB2312" w:cs="仿宋_GB2312"/>
          <w:sz w:val="32"/>
          <w:szCs w:val="32"/>
        </w:rPr>
        <w:t>万元，其中</w:t>
      </w:r>
      <w:r>
        <w:rPr>
          <w:rFonts w:hint="eastAsia" w:ascii="Times New Roman" w:hAnsi="Times New Roman" w:eastAsia="仿宋_GB2312" w:cs="仿宋_GB2312"/>
          <w:sz w:val="32"/>
          <w:szCs w:val="32"/>
          <w:lang w:eastAsia="zh-CN"/>
        </w:rPr>
        <w:t>市级负担</w:t>
      </w:r>
      <w:r>
        <w:rPr>
          <w:rFonts w:hint="eastAsia" w:ascii="Times New Roman" w:hAnsi="Times New Roman" w:eastAsia="仿宋_GB2312" w:cs="仿宋_GB2312"/>
          <w:sz w:val="32"/>
          <w:szCs w:val="32"/>
        </w:rPr>
        <w:t>资金</w:t>
      </w:r>
      <w:r>
        <w:rPr>
          <w:rFonts w:hint="eastAsia" w:ascii="Times New Roman" w:hAnsi="Times New Roman" w:eastAsia="仿宋_GB2312" w:cs="仿宋_GB2312"/>
          <w:sz w:val="32"/>
          <w:szCs w:val="32"/>
          <w:lang w:val="en-US" w:eastAsia="zh-CN"/>
        </w:rPr>
        <w:t>122.39</w:t>
      </w:r>
      <w:r>
        <w:rPr>
          <w:rFonts w:hint="eastAsia" w:ascii="Times New Roman" w:hAnsi="Times New Roman" w:eastAsia="仿宋_GB2312" w:cs="仿宋_GB2312"/>
          <w:sz w:val="32"/>
          <w:szCs w:val="32"/>
        </w:rPr>
        <w:t>万元，</w:t>
      </w:r>
      <w:r>
        <w:rPr>
          <w:rFonts w:hint="eastAsia" w:ascii="Times New Roman" w:hAnsi="Times New Roman" w:eastAsia="仿宋_GB2312" w:cs="仿宋_GB2312"/>
          <w:sz w:val="32"/>
          <w:szCs w:val="32"/>
          <w:lang w:eastAsia="zh-CN"/>
        </w:rPr>
        <w:t>本级负担</w:t>
      </w:r>
      <w:r>
        <w:rPr>
          <w:rFonts w:hint="eastAsia" w:ascii="Times New Roman" w:hAnsi="Times New Roman" w:eastAsia="仿宋_GB2312" w:cs="仿宋_GB2312"/>
          <w:sz w:val="32"/>
          <w:szCs w:val="32"/>
        </w:rPr>
        <w:t>资金</w:t>
      </w:r>
      <w:r>
        <w:rPr>
          <w:rFonts w:hint="eastAsia" w:ascii="Times New Roman" w:hAnsi="Times New Roman" w:eastAsia="仿宋_GB2312" w:cs="仿宋_GB2312"/>
          <w:sz w:val="32"/>
          <w:szCs w:val="32"/>
          <w:lang w:val="en-US" w:eastAsia="zh-CN"/>
        </w:rPr>
        <w:t>489.56</w:t>
      </w:r>
      <w:r>
        <w:rPr>
          <w:rFonts w:hint="eastAsia" w:ascii="Times New Roman" w:hAnsi="Times New Roman" w:eastAsia="仿宋_GB2312" w:cs="仿宋_GB2312"/>
          <w:sz w:val="32"/>
          <w:szCs w:val="32"/>
        </w:rPr>
        <w:t>万元。</w:t>
      </w:r>
    </w:p>
    <w:p w14:paraId="4E4521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黑体"/>
          <w:sz w:val="32"/>
          <w:szCs w:val="40"/>
          <w:lang w:val="en-US" w:eastAsia="zh-CN"/>
        </w:rPr>
      </w:pPr>
      <w:r>
        <w:rPr>
          <w:rFonts w:hint="eastAsia" w:ascii="Times New Roman" w:hAnsi="Times New Roman" w:eastAsia="黑体" w:cs="黑体"/>
          <w:sz w:val="32"/>
          <w:szCs w:val="40"/>
          <w:lang w:val="en-US" w:eastAsia="zh-CN"/>
        </w:rPr>
        <w:t>二、绩效评价工作开展情况</w:t>
      </w:r>
    </w:p>
    <w:p w14:paraId="3A3A2B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sz w:val="32"/>
          <w:szCs w:val="40"/>
          <w:lang w:val="en-US" w:eastAsia="zh-CN"/>
        </w:rPr>
      </w:pPr>
      <w:r>
        <w:rPr>
          <w:rFonts w:hint="eastAsia" w:ascii="Times New Roman" w:hAnsi="Times New Roman" w:eastAsia="楷体_GB2312" w:cs="楷体_GB2312"/>
          <w:sz w:val="32"/>
          <w:szCs w:val="40"/>
          <w:lang w:val="en-US" w:eastAsia="zh-CN"/>
        </w:rPr>
        <w:t>（一）评价目的、评价对象和范围</w:t>
      </w:r>
    </w:p>
    <w:p w14:paraId="6F9DAFB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1.评价目的</w:t>
      </w:r>
    </w:p>
    <w:p w14:paraId="6DBA0357">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为客观公正的评价本项目预期绩效目标的实现程度，评价资金支出效率和综合效果，促进项目实施单位采取有效措施改进和加强财政专项资金管理。通过对项目的决策、过程、产出和效果四个方面进行客观、公正的评价，总结经验、发现问题，提出改进本项目资金使用、财务管理、业务管理及实施情况的具体措施建议，最终实现绩效评价成果的有效应用。</w:t>
      </w:r>
    </w:p>
    <w:p w14:paraId="2BB90948">
      <w:pPr>
        <w:keepNext w:val="0"/>
        <w:keepLines w:val="0"/>
        <w:pageBreakBefore w:val="0"/>
        <w:kinsoku/>
        <w:wordWrap/>
        <w:overflowPunct/>
        <w:topLinePunct w:val="0"/>
        <w:autoSpaceDE/>
        <w:autoSpaceDN/>
        <w:bidi w:val="0"/>
        <w:spacing w:line="560" w:lineRule="exact"/>
        <w:ind w:firstLine="640" w:firstLineChars="200"/>
        <w:jc w:val="left"/>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sz w:val="32"/>
          <w:szCs w:val="32"/>
          <w:lang w:val="en-US" w:eastAsia="zh-CN"/>
        </w:rPr>
        <w:t>2.</w:t>
      </w:r>
      <w:r>
        <w:rPr>
          <w:rFonts w:hint="eastAsia" w:ascii="Times New Roman" w:hAnsi="Times New Roman" w:eastAsia="仿宋_GB2312" w:cs="仿宋_GB2312"/>
          <w:sz w:val="32"/>
          <w:szCs w:val="40"/>
          <w:lang w:val="en-US" w:eastAsia="zh-CN"/>
        </w:rPr>
        <w:t>评价对象</w:t>
      </w:r>
    </w:p>
    <w:p w14:paraId="3662E3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w:t>
      </w:r>
      <w:r>
        <w:rPr>
          <w:rFonts w:hint="eastAsia" w:ascii="Times New Roman" w:hAnsi="Times New Roman" w:eastAsia="仿宋_GB2312"/>
          <w:sz w:val="32"/>
          <w:szCs w:val="32"/>
          <w:lang w:val="en-US" w:eastAsia="zh-CN"/>
        </w:rPr>
        <w:t>022年11月1日后山东省行政区域内企业、社会团体、民办非企业等单位退休职工符合奖励扶助条件的。</w:t>
      </w:r>
    </w:p>
    <w:p w14:paraId="3979E0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仿宋_GB2312"/>
          <w:sz w:val="32"/>
          <w:szCs w:val="40"/>
          <w:lang w:val="en-US" w:eastAsia="zh-CN"/>
        </w:rPr>
      </w:pPr>
      <w:r>
        <w:rPr>
          <w:rFonts w:hint="eastAsia" w:ascii="Times New Roman" w:hAnsi="Times New Roman" w:eastAsia="仿宋_GB2312"/>
          <w:sz w:val="32"/>
          <w:szCs w:val="32"/>
          <w:lang w:val="en-US" w:eastAsia="zh-CN"/>
        </w:rPr>
        <w:t>3.</w:t>
      </w:r>
      <w:r>
        <w:rPr>
          <w:rFonts w:hint="eastAsia" w:ascii="Times New Roman" w:hAnsi="Times New Roman" w:eastAsia="仿宋_GB2312" w:cs="仿宋_GB2312"/>
          <w:sz w:val="32"/>
          <w:szCs w:val="40"/>
          <w:lang w:val="en-US" w:eastAsia="zh-CN"/>
        </w:rPr>
        <w:t>评价范围</w:t>
      </w:r>
    </w:p>
    <w:p w14:paraId="65F14E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仿宋_GB2312"/>
          <w:sz w:val="32"/>
          <w:szCs w:val="40"/>
          <w:lang w:val="en-US" w:eastAsia="zh-CN"/>
        </w:rPr>
      </w:pPr>
      <w:r>
        <w:rPr>
          <w:rFonts w:hint="eastAsia" w:ascii="Times New Roman" w:hAnsi="Times New Roman" w:eastAsia="仿宋_GB2312"/>
          <w:sz w:val="32"/>
          <w:szCs w:val="32"/>
        </w:rPr>
        <w:t>荣成市卫生健康局专项资金的预算安排、分配使用、资金拨付、审核及拨付后的监管情况。</w:t>
      </w:r>
    </w:p>
    <w:p w14:paraId="31B4FE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楷体_GB2312"/>
          <w:sz w:val="32"/>
          <w:szCs w:val="40"/>
          <w:lang w:val="en-US" w:eastAsia="zh-CN"/>
        </w:rPr>
      </w:pPr>
      <w:r>
        <w:rPr>
          <w:rFonts w:hint="eastAsia" w:ascii="Times New Roman" w:hAnsi="Times New Roman" w:eastAsia="楷体_GB2312" w:cs="楷体_GB2312"/>
          <w:sz w:val="32"/>
          <w:szCs w:val="40"/>
          <w:lang w:val="en-US" w:eastAsia="zh-CN"/>
        </w:rPr>
        <w:t>（二）评价思路、评价重点、评价指标体系和评价标准</w:t>
      </w:r>
    </w:p>
    <w:p w14:paraId="73AF5726">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1.评价思路。</w:t>
      </w:r>
      <w:r>
        <w:rPr>
          <w:rFonts w:hint="eastAsia" w:ascii="Times New Roman" w:hAnsi="Times New Roman" w:eastAsia="仿宋_GB2312"/>
          <w:sz w:val="32"/>
          <w:szCs w:val="32"/>
        </w:rPr>
        <w:t>科学规范、绩效相关、公开透明、激励约束。</w:t>
      </w:r>
    </w:p>
    <w:p w14:paraId="0E9E5B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2.评价重点。是否是</w:t>
      </w:r>
      <w:r>
        <w:rPr>
          <w:rFonts w:hint="eastAsia" w:ascii="Times New Roman" w:hAnsi="Times New Roman" w:eastAsia="仿宋_GB2312"/>
          <w:sz w:val="32"/>
          <w:szCs w:val="32"/>
        </w:rPr>
        <w:t>2</w:t>
      </w:r>
      <w:r>
        <w:rPr>
          <w:rFonts w:hint="eastAsia" w:ascii="Times New Roman" w:hAnsi="Times New Roman" w:eastAsia="仿宋_GB2312"/>
          <w:sz w:val="32"/>
          <w:szCs w:val="32"/>
          <w:lang w:val="en-US" w:eastAsia="zh-CN"/>
        </w:rPr>
        <w:t>022年11月1日后山东省行政区域内企业、社会团体、民办非企业等单位退休职工符合奖励扶助条件的。</w:t>
      </w:r>
    </w:p>
    <w:p w14:paraId="6F463F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sz w:val="32"/>
          <w:szCs w:val="32"/>
        </w:rPr>
      </w:pPr>
      <w:r>
        <w:rPr>
          <w:rFonts w:hint="eastAsia" w:ascii="Times New Roman" w:hAnsi="Times New Roman" w:eastAsia="仿宋_GB2312" w:cs="仿宋_GB2312"/>
          <w:sz w:val="32"/>
          <w:szCs w:val="40"/>
          <w:lang w:val="en-US" w:eastAsia="zh-CN"/>
        </w:rPr>
        <w:t>3.评价指标体系。</w:t>
      </w:r>
      <w:r>
        <w:rPr>
          <w:rFonts w:hint="eastAsia" w:ascii="Times New Roman" w:hAnsi="Times New Roman" w:eastAsia="仿宋_GB2312"/>
          <w:sz w:val="32"/>
          <w:szCs w:val="32"/>
        </w:rPr>
        <w:t>按决策、过程、产出、效益共四方面进行指标设计，每方面再根据相关政策文件，逐级设计二级、三级指标。在体系框架中选取最能体现绩效评价对象特征的共性指标，针对部门具体绩效评价对象的特点，另行设计具体的个性绩效评价指标，赋予各类评价指标科学合理的权重分值，明确具体的评价标准，从而形成完善的绩效评价指标体系。</w:t>
      </w:r>
    </w:p>
    <w:p w14:paraId="21E1A2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4.评价标准。</w:t>
      </w:r>
      <w:r>
        <w:rPr>
          <w:rFonts w:hint="eastAsia" w:ascii="Times New Roman" w:hAnsi="Times New Roman" w:eastAsia="仿宋_GB2312"/>
          <w:sz w:val="32"/>
          <w:szCs w:val="32"/>
        </w:rPr>
        <w:t>在对评价项目的绩效情况进行全面分析的基础上，本着客观、公正、准确的原则，进行综合评分。评价结果包括综合评分和评级，分类如下：优（90分（含）-100分）、良（80分（含）-90分）、中（60分（含）-80分）、差（0-60分以下）。</w:t>
      </w:r>
    </w:p>
    <w:p w14:paraId="38BC17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sz w:val="32"/>
          <w:szCs w:val="40"/>
          <w:lang w:val="en-US" w:eastAsia="zh-CN"/>
        </w:rPr>
      </w:pPr>
      <w:r>
        <w:rPr>
          <w:rFonts w:hint="eastAsia" w:ascii="Times New Roman" w:hAnsi="Times New Roman" w:eastAsia="楷体_GB2312" w:cs="楷体_GB2312"/>
          <w:sz w:val="32"/>
          <w:szCs w:val="40"/>
          <w:lang w:val="en-US" w:eastAsia="zh-CN"/>
        </w:rPr>
        <w:t>（三）评价组织实施与评价方法</w:t>
      </w:r>
    </w:p>
    <w:p w14:paraId="39ECD9CB">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1.评价组织实施。</w:t>
      </w:r>
    </w:p>
    <w:p w14:paraId="1159A34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前期准备。一是印发绩效评价工作文件。二是研究设计了项目评价指标体系及工作方案。</w:t>
      </w:r>
    </w:p>
    <w:p w14:paraId="15657311">
      <w:pPr>
        <w:keepNext w:val="0"/>
        <w:keepLines w:val="0"/>
        <w:pageBreakBefore w:val="0"/>
        <w:kinsoku/>
        <w:wordWrap/>
        <w:overflowPunct/>
        <w:topLinePunct w:val="0"/>
        <w:autoSpaceDE/>
        <w:autoSpaceDN/>
        <w:bidi w:val="0"/>
        <w:spacing w:line="56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组织实施。一是荣成市卫生健康局依据202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企业退休独生子女父母奖励扶助”项目绩效评价工作方案及评价指标体系进行自查和自评。二是根据荣成市卫生健康局自查和自评情况，绩效评价工作小组到被评价单位进行现场调查取证，到项目实施地进行现场调查和问卷调查。</w:t>
      </w:r>
    </w:p>
    <w:p w14:paraId="3FB07677">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仿宋_GB2312"/>
          <w:sz w:val="32"/>
          <w:szCs w:val="40"/>
          <w:lang w:val="en-US" w:eastAsia="zh-CN"/>
        </w:rPr>
      </w:pP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分析评价。一是根据相关文件成立项目绩效评价工作小组。二是通过调查了解，收集评价所需的基础资料。在征求相关部门意见的基础上，制订本次荣成市卫生健康局202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企业退休独生子女父母奖励扶助”项目绩效评价工作方案及评价指标体系。三是收集绩效评价所需资料，核实评价基础数据，对绩效评价指标项目进行打分，结合绩效评价工作小组抽查情况进行分析评价，形成评价结论。</w:t>
      </w:r>
    </w:p>
    <w:p w14:paraId="61972A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sz w:val="32"/>
          <w:szCs w:val="40"/>
          <w:lang w:val="en-US" w:eastAsia="zh-CN"/>
        </w:rPr>
      </w:pPr>
      <w:r>
        <w:rPr>
          <w:rFonts w:hint="eastAsia" w:ascii="Times New Roman" w:hAnsi="Times New Roman" w:eastAsia="楷体_GB2312" w:cs="楷体_GB2312"/>
          <w:sz w:val="32"/>
          <w:szCs w:val="40"/>
          <w:lang w:val="en-US" w:eastAsia="zh-CN"/>
        </w:rPr>
        <w:t>（四）评价局限性（如有）</w:t>
      </w:r>
    </w:p>
    <w:p w14:paraId="7E5DAAB3">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无。</w:t>
      </w:r>
    </w:p>
    <w:p w14:paraId="2D6CE7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黑体"/>
          <w:sz w:val="32"/>
          <w:szCs w:val="40"/>
          <w:lang w:val="en-US" w:eastAsia="zh-CN"/>
        </w:rPr>
      </w:pPr>
      <w:r>
        <w:rPr>
          <w:rFonts w:hint="eastAsia" w:ascii="Times New Roman" w:hAnsi="Times New Roman" w:eastAsia="黑体" w:cs="黑体"/>
          <w:sz w:val="32"/>
          <w:szCs w:val="40"/>
          <w:lang w:val="en-US" w:eastAsia="zh-CN"/>
        </w:rPr>
        <w:t>三、评价结论及分析</w:t>
      </w:r>
    </w:p>
    <w:p w14:paraId="14EF99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sz w:val="32"/>
          <w:szCs w:val="40"/>
          <w:lang w:val="en-US" w:eastAsia="zh-CN"/>
        </w:rPr>
      </w:pPr>
      <w:r>
        <w:rPr>
          <w:rFonts w:hint="eastAsia" w:ascii="Times New Roman" w:hAnsi="Times New Roman" w:eastAsia="楷体_GB2312" w:cs="楷体_GB2312"/>
          <w:sz w:val="32"/>
          <w:szCs w:val="40"/>
          <w:lang w:val="en-US" w:eastAsia="zh-CN"/>
        </w:rPr>
        <w:t>（一）综合评价结论（附得分情况表）</w:t>
      </w:r>
    </w:p>
    <w:p w14:paraId="5CD8F25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该项目绩效评价得分100分（详见表企业退休独生子女父母奖励扶助项目绩效评价得分情况表）。</w:t>
      </w:r>
    </w:p>
    <w:p w14:paraId="2458C6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lang w:val="en-US" w:eastAsia="zh-CN"/>
        </w:rPr>
        <w:t>企业退休独生子女父母奖励扶助项目绩效评价得分情况表</w:t>
      </w:r>
    </w:p>
    <w:tbl>
      <w:tblPr>
        <w:tblStyle w:val="6"/>
        <w:tblW w:w="0" w:type="auto"/>
        <w:tblInd w:w="2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7"/>
        <w:gridCol w:w="2087"/>
        <w:gridCol w:w="2087"/>
        <w:gridCol w:w="2088"/>
      </w:tblGrid>
      <w:tr w14:paraId="2AA16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7" w:type="dxa"/>
          </w:tcPr>
          <w:p w14:paraId="0691618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一级指标</w:t>
            </w:r>
          </w:p>
        </w:tc>
        <w:tc>
          <w:tcPr>
            <w:tcW w:w="2087" w:type="dxa"/>
          </w:tcPr>
          <w:p w14:paraId="173611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指标分值</w:t>
            </w:r>
          </w:p>
        </w:tc>
        <w:tc>
          <w:tcPr>
            <w:tcW w:w="2087" w:type="dxa"/>
          </w:tcPr>
          <w:p w14:paraId="67276E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得分</w:t>
            </w:r>
          </w:p>
        </w:tc>
        <w:tc>
          <w:tcPr>
            <w:tcW w:w="2088" w:type="dxa"/>
          </w:tcPr>
          <w:p w14:paraId="50E4B6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得分率</w:t>
            </w:r>
          </w:p>
        </w:tc>
      </w:tr>
      <w:tr w14:paraId="18E82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7" w:type="dxa"/>
          </w:tcPr>
          <w:p w14:paraId="0BC911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决策</w:t>
            </w:r>
          </w:p>
        </w:tc>
        <w:tc>
          <w:tcPr>
            <w:tcW w:w="2087" w:type="dxa"/>
          </w:tcPr>
          <w:p w14:paraId="75F875E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15</w:t>
            </w:r>
          </w:p>
        </w:tc>
        <w:tc>
          <w:tcPr>
            <w:tcW w:w="2087" w:type="dxa"/>
          </w:tcPr>
          <w:p w14:paraId="02DE4F9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15</w:t>
            </w:r>
          </w:p>
        </w:tc>
        <w:tc>
          <w:tcPr>
            <w:tcW w:w="2088" w:type="dxa"/>
          </w:tcPr>
          <w:p w14:paraId="7586CB8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100%</w:t>
            </w:r>
          </w:p>
        </w:tc>
      </w:tr>
      <w:tr w14:paraId="21B3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7" w:type="dxa"/>
          </w:tcPr>
          <w:p w14:paraId="451563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过程</w:t>
            </w:r>
          </w:p>
        </w:tc>
        <w:tc>
          <w:tcPr>
            <w:tcW w:w="2087" w:type="dxa"/>
          </w:tcPr>
          <w:p w14:paraId="6DE6C1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25</w:t>
            </w:r>
          </w:p>
        </w:tc>
        <w:tc>
          <w:tcPr>
            <w:tcW w:w="2087" w:type="dxa"/>
          </w:tcPr>
          <w:p w14:paraId="50FAB0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24</w:t>
            </w:r>
          </w:p>
        </w:tc>
        <w:tc>
          <w:tcPr>
            <w:tcW w:w="2088" w:type="dxa"/>
          </w:tcPr>
          <w:p w14:paraId="08CD155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96%</w:t>
            </w:r>
          </w:p>
        </w:tc>
      </w:tr>
      <w:tr w14:paraId="14EF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7" w:type="dxa"/>
          </w:tcPr>
          <w:p w14:paraId="6ABE10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产出</w:t>
            </w:r>
          </w:p>
        </w:tc>
        <w:tc>
          <w:tcPr>
            <w:tcW w:w="2087" w:type="dxa"/>
          </w:tcPr>
          <w:p w14:paraId="48D3E6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20</w:t>
            </w:r>
          </w:p>
        </w:tc>
        <w:tc>
          <w:tcPr>
            <w:tcW w:w="2087" w:type="dxa"/>
          </w:tcPr>
          <w:p w14:paraId="3A7831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20</w:t>
            </w:r>
          </w:p>
        </w:tc>
        <w:tc>
          <w:tcPr>
            <w:tcW w:w="2088" w:type="dxa"/>
          </w:tcPr>
          <w:p w14:paraId="0FBB7CD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100%</w:t>
            </w:r>
          </w:p>
        </w:tc>
      </w:tr>
      <w:tr w14:paraId="6671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7" w:type="dxa"/>
          </w:tcPr>
          <w:p w14:paraId="730760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效益</w:t>
            </w:r>
          </w:p>
        </w:tc>
        <w:tc>
          <w:tcPr>
            <w:tcW w:w="2087" w:type="dxa"/>
          </w:tcPr>
          <w:p w14:paraId="642A0C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40</w:t>
            </w:r>
          </w:p>
        </w:tc>
        <w:tc>
          <w:tcPr>
            <w:tcW w:w="2087" w:type="dxa"/>
          </w:tcPr>
          <w:p w14:paraId="029610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40</w:t>
            </w:r>
          </w:p>
        </w:tc>
        <w:tc>
          <w:tcPr>
            <w:tcW w:w="2088" w:type="dxa"/>
          </w:tcPr>
          <w:p w14:paraId="609077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100%</w:t>
            </w:r>
          </w:p>
        </w:tc>
      </w:tr>
      <w:tr w14:paraId="2DF6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7" w:type="dxa"/>
          </w:tcPr>
          <w:p w14:paraId="581C3D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合计</w:t>
            </w:r>
          </w:p>
        </w:tc>
        <w:tc>
          <w:tcPr>
            <w:tcW w:w="2087" w:type="dxa"/>
          </w:tcPr>
          <w:p w14:paraId="048175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100</w:t>
            </w:r>
          </w:p>
        </w:tc>
        <w:tc>
          <w:tcPr>
            <w:tcW w:w="2087" w:type="dxa"/>
          </w:tcPr>
          <w:p w14:paraId="0387EF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99</w:t>
            </w:r>
          </w:p>
        </w:tc>
        <w:tc>
          <w:tcPr>
            <w:tcW w:w="2088" w:type="dxa"/>
          </w:tcPr>
          <w:p w14:paraId="7A6492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仿宋_GB2312"/>
                <w:sz w:val="28"/>
                <w:szCs w:val="28"/>
                <w:vertAlign w:val="baseline"/>
                <w:lang w:val="en-US" w:eastAsia="zh-CN"/>
              </w:rPr>
            </w:pPr>
            <w:r>
              <w:rPr>
                <w:rFonts w:hint="eastAsia" w:ascii="Times New Roman" w:hAnsi="Times New Roman" w:eastAsia="仿宋_GB2312" w:cs="仿宋_GB2312"/>
                <w:sz w:val="28"/>
                <w:szCs w:val="28"/>
                <w:vertAlign w:val="baseline"/>
                <w:lang w:val="en-US" w:eastAsia="zh-CN"/>
              </w:rPr>
              <w:t>99%</w:t>
            </w:r>
          </w:p>
        </w:tc>
      </w:tr>
    </w:tbl>
    <w:p w14:paraId="5D0E3D3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黑体"/>
          <w:sz w:val="28"/>
          <w:szCs w:val="28"/>
          <w:lang w:val="en-US" w:eastAsia="zh-CN"/>
        </w:rPr>
      </w:pPr>
    </w:p>
    <w:p w14:paraId="7E94C24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sz w:val="32"/>
          <w:szCs w:val="40"/>
          <w:lang w:val="en-US" w:eastAsia="zh-CN"/>
        </w:rPr>
      </w:pPr>
      <w:r>
        <w:rPr>
          <w:rFonts w:hint="eastAsia" w:ascii="Times New Roman" w:hAnsi="Times New Roman" w:eastAsia="楷体_GB2312" w:cs="楷体_GB2312"/>
          <w:sz w:val="32"/>
          <w:szCs w:val="40"/>
          <w:lang w:val="en-US" w:eastAsia="zh-CN"/>
        </w:rPr>
        <w:t>分市评价得分及结论（根据项目情况和评价实际需要，确定是否保留）</w:t>
      </w:r>
    </w:p>
    <w:p w14:paraId="5B47CC96">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楷体_GB2312"/>
          <w:sz w:val="32"/>
          <w:szCs w:val="40"/>
          <w:lang w:val="en-US" w:eastAsia="zh-CN"/>
        </w:rPr>
      </w:pPr>
      <w:r>
        <w:rPr>
          <w:rFonts w:hint="eastAsia" w:ascii="Times New Roman" w:hAnsi="Times New Roman" w:eastAsia="仿宋_GB2312" w:cs="仿宋_GB2312"/>
          <w:sz w:val="32"/>
          <w:szCs w:val="32"/>
          <w:lang w:val="en-US" w:eastAsia="zh-CN"/>
        </w:rPr>
        <w:t>2025年</w:t>
      </w:r>
      <w:r>
        <w:rPr>
          <w:rFonts w:hint="eastAsia" w:ascii="Times New Roman" w:hAnsi="Times New Roman" w:eastAsia="仿宋_GB2312" w:cs="仿宋_GB2312"/>
          <w:sz w:val="32"/>
          <w:szCs w:val="32"/>
        </w:rPr>
        <w:t>全市共确认对象</w:t>
      </w:r>
      <w:r>
        <w:rPr>
          <w:rFonts w:hint="eastAsia" w:ascii="Times New Roman" w:hAnsi="Times New Roman" w:eastAsia="仿宋_GB2312" w:cs="仿宋_GB2312"/>
          <w:sz w:val="32"/>
          <w:szCs w:val="32"/>
          <w:lang w:val="en-US" w:eastAsia="zh-CN"/>
        </w:rPr>
        <w:t>4827</w:t>
      </w:r>
      <w:r>
        <w:rPr>
          <w:rFonts w:hint="eastAsia" w:ascii="Times New Roman" w:hAnsi="Times New Roman" w:eastAsia="仿宋_GB2312" w:cs="仿宋_GB2312"/>
          <w:sz w:val="32"/>
          <w:szCs w:val="32"/>
        </w:rPr>
        <w:t>人，共发生支出</w:t>
      </w:r>
      <w:r>
        <w:rPr>
          <w:rFonts w:hint="eastAsia" w:ascii="Times New Roman" w:hAnsi="Times New Roman" w:eastAsia="仿宋_GB2312" w:cs="仿宋_GB2312"/>
          <w:sz w:val="32"/>
          <w:szCs w:val="32"/>
          <w:lang w:val="en-US" w:eastAsia="zh-CN"/>
        </w:rPr>
        <w:t>611.95</w:t>
      </w:r>
      <w:r>
        <w:rPr>
          <w:rFonts w:hint="eastAsia" w:ascii="Times New Roman" w:hAnsi="Times New Roman" w:eastAsia="仿宋_GB2312" w:cs="仿宋_GB2312"/>
          <w:sz w:val="32"/>
          <w:szCs w:val="32"/>
        </w:rPr>
        <w:t>万元，其中</w:t>
      </w:r>
      <w:r>
        <w:rPr>
          <w:rFonts w:hint="eastAsia" w:ascii="Times New Roman" w:hAnsi="Times New Roman" w:eastAsia="仿宋_GB2312" w:cs="仿宋_GB2312"/>
          <w:sz w:val="32"/>
          <w:szCs w:val="32"/>
          <w:lang w:eastAsia="zh-CN"/>
        </w:rPr>
        <w:t>市级负担</w:t>
      </w:r>
      <w:r>
        <w:rPr>
          <w:rFonts w:hint="eastAsia" w:ascii="Times New Roman" w:hAnsi="Times New Roman" w:eastAsia="仿宋_GB2312" w:cs="仿宋_GB2312"/>
          <w:sz w:val="32"/>
          <w:szCs w:val="32"/>
        </w:rPr>
        <w:t>资金</w:t>
      </w:r>
      <w:r>
        <w:rPr>
          <w:rFonts w:hint="eastAsia" w:ascii="Times New Roman" w:hAnsi="Times New Roman" w:eastAsia="仿宋_GB2312" w:cs="仿宋_GB2312"/>
          <w:sz w:val="32"/>
          <w:szCs w:val="32"/>
          <w:lang w:val="en-US" w:eastAsia="zh-CN"/>
        </w:rPr>
        <w:t>122.39</w:t>
      </w:r>
      <w:r>
        <w:rPr>
          <w:rFonts w:hint="eastAsia" w:ascii="Times New Roman" w:hAnsi="Times New Roman" w:eastAsia="仿宋_GB2312" w:cs="仿宋_GB2312"/>
          <w:sz w:val="32"/>
          <w:szCs w:val="32"/>
        </w:rPr>
        <w:t>万元，</w:t>
      </w:r>
      <w:r>
        <w:rPr>
          <w:rFonts w:hint="eastAsia" w:ascii="Times New Roman" w:hAnsi="Times New Roman" w:eastAsia="仿宋_GB2312" w:cs="仿宋_GB2312"/>
          <w:sz w:val="32"/>
          <w:szCs w:val="32"/>
          <w:lang w:eastAsia="zh-CN"/>
        </w:rPr>
        <w:t>本级负担</w:t>
      </w:r>
      <w:r>
        <w:rPr>
          <w:rFonts w:hint="eastAsia" w:ascii="Times New Roman" w:hAnsi="Times New Roman" w:eastAsia="仿宋_GB2312" w:cs="仿宋_GB2312"/>
          <w:sz w:val="32"/>
          <w:szCs w:val="32"/>
        </w:rPr>
        <w:t>资金</w:t>
      </w:r>
      <w:r>
        <w:rPr>
          <w:rFonts w:hint="eastAsia" w:ascii="Times New Roman" w:hAnsi="Times New Roman" w:eastAsia="仿宋_GB2312" w:cs="仿宋_GB2312"/>
          <w:sz w:val="32"/>
          <w:szCs w:val="32"/>
          <w:lang w:val="en-US" w:eastAsia="zh-CN"/>
        </w:rPr>
        <w:t>489.56</w:t>
      </w:r>
      <w:r>
        <w:rPr>
          <w:rFonts w:hint="eastAsia" w:ascii="Times New Roman" w:hAnsi="Times New Roman" w:eastAsia="仿宋_GB2312" w:cs="仿宋_GB2312"/>
          <w:sz w:val="32"/>
          <w:szCs w:val="32"/>
        </w:rPr>
        <w:t>万元。</w:t>
      </w:r>
      <w:r>
        <w:rPr>
          <w:rFonts w:hint="eastAsia" w:ascii="Times New Roman" w:hAnsi="Times New Roman" w:eastAsia="仿宋_GB2312" w:cs="仿宋_GB2312"/>
          <w:sz w:val="32"/>
          <w:szCs w:val="32"/>
          <w:lang w:eastAsia="zh-CN"/>
        </w:rPr>
        <w:t>绩效评价达</w:t>
      </w:r>
      <w:r>
        <w:rPr>
          <w:rFonts w:hint="eastAsia" w:ascii="Times New Roman" w:hAnsi="Times New Roman" w:eastAsia="仿宋_GB2312" w:cs="仿宋_GB2312"/>
          <w:sz w:val="32"/>
          <w:szCs w:val="32"/>
          <w:lang w:val="en-US" w:eastAsia="zh-CN"/>
        </w:rPr>
        <w:t>99%。</w:t>
      </w:r>
      <w:r>
        <w:rPr>
          <w:rFonts w:hint="eastAsia" w:ascii="Times New Roman" w:hAnsi="Times New Roman" w:eastAsia="仿宋_GB2312"/>
          <w:sz w:val="32"/>
          <w:szCs w:val="32"/>
        </w:rPr>
        <w:t>综合来看，由荣成市财政局负责监管、荣成市卫生健康局主管的202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年荣成市企业退休独生子女父母奖励扶助项目基本达到了预期目标。</w:t>
      </w:r>
    </w:p>
    <w:p w14:paraId="703029F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楷体_GB2312" w:cs="楷体_GB2312"/>
          <w:sz w:val="32"/>
          <w:szCs w:val="40"/>
          <w:lang w:val="en-US" w:eastAsia="zh-CN"/>
        </w:rPr>
      </w:pPr>
      <w:r>
        <w:rPr>
          <w:rFonts w:hint="eastAsia" w:ascii="Times New Roman" w:hAnsi="Times New Roman" w:eastAsia="楷体_GB2312" w:cs="楷体_GB2312"/>
          <w:sz w:val="32"/>
          <w:szCs w:val="40"/>
          <w:lang w:val="en-US" w:eastAsia="zh-CN"/>
        </w:rPr>
        <w:t>（三）指标分析（主要分析各项一级指标的得分和完成情况）</w:t>
      </w:r>
    </w:p>
    <w:p w14:paraId="713F3E8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1.决策指标分析</w:t>
      </w:r>
    </w:p>
    <w:p w14:paraId="1E07878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项目决策，分值15分，得分15分，得分率100%。</w:t>
      </w:r>
    </w:p>
    <w:p w14:paraId="55DBCE7A">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sz w:val="32"/>
          <w:szCs w:val="32"/>
        </w:rPr>
        <w:t>根据《</w:t>
      </w:r>
      <w:r>
        <w:rPr>
          <w:rFonts w:hint="eastAsia" w:ascii="Times New Roman" w:hAnsi="Times New Roman" w:eastAsia="仿宋_GB2312" w:cs="仿宋_GB2312"/>
          <w:sz w:val="32"/>
          <w:szCs w:val="40"/>
          <w:lang w:val="en-US" w:eastAsia="zh-CN"/>
        </w:rPr>
        <w:t>关于做好威海市全面两孩政策调整前独生子女父母奖励扶助金发放工作的通知</w:t>
      </w:r>
      <w:r>
        <w:rPr>
          <w:rFonts w:hint="eastAsia" w:ascii="Times New Roman" w:hAnsi="Times New Roman" w:eastAsia="仿宋_GB2312"/>
          <w:sz w:val="32"/>
          <w:szCs w:val="32"/>
        </w:rPr>
        <w:t>》、《山东省</w:t>
      </w:r>
      <w:r>
        <w:rPr>
          <w:rFonts w:hint="eastAsia" w:ascii="Times New Roman" w:hAnsi="Times New Roman" w:eastAsia="仿宋_GB2312"/>
          <w:sz w:val="32"/>
          <w:szCs w:val="32"/>
          <w:lang w:eastAsia="zh-CN"/>
        </w:rPr>
        <w:t>计划生育与人口条例</w:t>
      </w:r>
      <w:r>
        <w:rPr>
          <w:rFonts w:hint="eastAsia" w:ascii="Times New Roman" w:hAnsi="Times New Roman" w:eastAsia="仿宋_GB2312"/>
          <w:sz w:val="32"/>
          <w:szCs w:val="32"/>
        </w:rPr>
        <w:t>》等法律法规，实行企业退休独生子女父母奖励扶助。该项目符合国民经济和社会发展规划、行业发展规划与项目有关的战略和政策重点，项目的申请和设立符合国家文件要求，具有详细的实施方案及绩效指标。</w:t>
      </w:r>
    </w:p>
    <w:p w14:paraId="50334BC5">
      <w:pPr>
        <w:keepNext w:val="0"/>
        <w:keepLines w:val="0"/>
        <w:pageBreakBefore w:val="0"/>
        <w:widowControl w:val="0"/>
        <w:numPr>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2.过程指标分析</w:t>
      </w:r>
    </w:p>
    <w:p w14:paraId="7E9D98E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项目过程，分值25分，得分24分，得分率为96%。</w:t>
      </w:r>
    </w:p>
    <w:p w14:paraId="56D69DE0">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sz w:val="32"/>
          <w:szCs w:val="32"/>
          <w:lang w:eastAsia="zh-CN"/>
        </w:rPr>
        <w:t>该</w:t>
      </w:r>
      <w:r>
        <w:rPr>
          <w:rFonts w:hint="eastAsia" w:ascii="Times New Roman" w:hAnsi="Times New Roman" w:eastAsia="仿宋_GB2312"/>
          <w:sz w:val="32"/>
          <w:szCs w:val="32"/>
        </w:rPr>
        <w:t>项目资金管理制度健全，资金拨付和使用规范及时，资金支付审批流程齐全，资金使用合规，未发现截留、挤占、挪用、虚假支出的情况。但年度预算指标未全部执行，预算执行率扣分。</w:t>
      </w:r>
    </w:p>
    <w:p w14:paraId="67F4B9AD">
      <w:pPr>
        <w:keepNext w:val="0"/>
        <w:keepLines w:val="0"/>
        <w:pageBreakBefore w:val="0"/>
        <w:widowControl w:val="0"/>
        <w:numPr>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3.产出指标分析</w:t>
      </w:r>
    </w:p>
    <w:p w14:paraId="1FA46574">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项目产出，分值20分，得分</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分，得分率为</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0827756D">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sz w:val="32"/>
          <w:szCs w:val="32"/>
        </w:rPr>
        <w:t>项目202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年受益人共</w:t>
      </w:r>
      <w:r>
        <w:rPr>
          <w:rFonts w:hint="eastAsia" w:ascii="Times New Roman" w:hAnsi="Times New Roman" w:eastAsia="仿宋_GB2312"/>
          <w:sz w:val="32"/>
          <w:szCs w:val="32"/>
          <w:lang w:val="en-US" w:eastAsia="zh-CN"/>
        </w:rPr>
        <w:t>4827</w:t>
      </w:r>
      <w:r>
        <w:rPr>
          <w:rFonts w:hint="eastAsia" w:ascii="Times New Roman" w:hAnsi="Times New Roman" w:eastAsia="仿宋_GB2312"/>
          <w:sz w:val="32"/>
          <w:szCs w:val="32"/>
        </w:rPr>
        <w:t>人，发放</w:t>
      </w:r>
      <w:r>
        <w:rPr>
          <w:rFonts w:hint="eastAsia" w:ascii="Times New Roman" w:hAnsi="Times New Roman" w:eastAsia="仿宋_GB2312"/>
          <w:sz w:val="32"/>
          <w:szCs w:val="32"/>
          <w:lang w:val="en-US" w:eastAsia="zh-CN"/>
        </w:rPr>
        <w:t>611.95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，人员应退尽退。</w:t>
      </w:r>
    </w:p>
    <w:p w14:paraId="0EB057D3">
      <w:pPr>
        <w:keepNext w:val="0"/>
        <w:keepLines w:val="0"/>
        <w:pageBreakBefore w:val="0"/>
        <w:widowControl w:val="0"/>
        <w:numPr>
          <w:numId w:val="0"/>
        </w:numPr>
        <w:kinsoku/>
        <w:wordWrap/>
        <w:overflowPunct/>
        <w:topLinePunct w:val="0"/>
        <w:autoSpaceDE/>
        <w:autoSpaceDN/>
        <w:bidi w:val="0"/>
        <w:adjustRightInd/>
        <w:snapToGrid/>
        <w:spacing w:line="560" w:lineRule="exact"/>
        <w:ind w:leftChars="200" w:firstLine="320" w:firstLineChars="1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4.效益指标分析</w:t>
      </w:r>
    </w:p>
    <w:p w14:paraId="490BFB5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项目效益，分值40分，得分40分，得分率100%。</w:t>
      </w:r>
    </w:p>
    <w:p w14:paraId="7384F793">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通过实施企业退休独生子女父母奖励扶助为</w:t>
      </w:r>
      <w:r>
        <w:rPr>
          <w:rFonts w:hint="eastAsia" w:ascii="Times New Roman" w:hAnsi="Times New Roman" w:eastAsia="仿宋_GB2312"/>
          <w:sz w:val="32"/>
          <w:szCs w:val="32"/>
          <w:lang w:eastAsia="zh-CN"/>
        </w:rPr>
        <w:t>群众</w:t>
      </w:r>
      <w:r>
        <w:rPr>
          <w:rFonts w:hint="eastAsia" w:ascii="Times New Roman" w:hAnsi="Times New Roman" w:eastAsia="仿宋_GB2312"/>
          <w:sz w:val="32"/>
          <w:szCs w:val="32"/>
        </w:rPr>
        <w:t>提供更高标准的生活服务保障，极大地提升他们的生活水平，推动了社会和谐发展，在社会效益和可持续影响方面效益显著，服务对象满意度高。</w:t>
      </w:r>
    </w:p>
    <w:p w14:paraId="5AA0614B">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黑体"/>
          <w:sz w:val="32"/>
          <w:szCs w:val="40"/>
          <w:lang w:val="en-US" w:eastAsia="zh-CN"/>
        </w:rPr>
      </w:pPr>
      <w:r>
        <w:rPr>
          <w:rFonts w:hint="eastAsia" w:ascii="Times New Roman" w:hAnsi="Times New Roman" w:eastAsia="黑体" w:cs="黑体"/>
          <w:sz w:val="32"/>
          <w:szCs w:val="40"/>
          <w:lang w:val="en-US" w:eastAsia="zh-CN"/>
        </w:rPr>
        <w:t>项目实施成效</w:t>
      </w:r>
    </w:p>
    <w:p w14:paraId="55E45A87">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加强培训，提高工作人员的业务水平。主管部门组织业务人员进行高龄津贴发放对象的条件、标准、申报程序等政策法规业务培训，在工作中严格认定对象。确保各项数据准确无误，核减人员不漏减、不减错。</w:t>
      </w:r>
    </w:p>
    <w:p w14:paraId="3BD64F6B">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黑体" w:cs="黑体"/>
          <w:sz w:val="32"/>
          <w:szCs w:val="40"/>
          <w:lang w:val="en-US" w:eastAsia="zh-CN"/>
        </w:rPr>
      </w:pPr>
      <w:r>
        <w:rPr>
          <w:rFonts w:hint="eastAsia" w:ascii="Times New Roman" w:hAnsi="Times New Roman" w:eastAsia="仿宋_GB2312"/>
          <w:sz w:val="32"/>
          <w:szCs w:val="32"/>
        </w:rPr>
        <w:t>加强监督，坚持公平、公正、公开。将申请和审批程序及时公开公示，并设置举报电话，主动接受社会和群众的监督，增加了工作的透明度。</w:t>
      </w:r>
    </w:p>
    <w:p w14:paraId="5620D7A3">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黑体" w:cs="黑体"/>
          <w:sz w:val="32"/>
          <w:szCs w:val="40"/>
          <w:lang w:val="en-US" w:eastAsia="zh-CN"/>
        </w:rPr>
      </w:pPr>
      <w:r>
        <w:rPr>
          <w:rFonts w:hint="eastAsia" w:ascii="Times New Roman" w:hAnsi="Times New Roman" w:eastAsia="黑体" w:cs="黑体"/>
          <w:sz w:val="32"/>
          <w:szCs w:val="40"/>
          <w:lang w:val="en-US" w:eastAsia="zh-CN"/>
        </w:rPr>
        <w:t>发现的问题及原因分析</w:t>
      </w:r>
    </w:p>
    <w:p w14:paraId="42685703">
      <w:pPr>
        <w:keepNext w:val="0"/>
        <w:keepLines w:val="0"/>
        <w:pageBreakBefore w:val="0"/>
        <w:widowControl w:val="0"/>
        <w:kinsoku/>
        <w:wordWrap/>
        <w:overflowPunct/>
        <w:topLinePunct w:val="0"/>
        <w:autoSpaceDE/>
        <w:autoSpaceDN/>
        <w:bidi w:val="0"/>
        <w:adjustRightInd/>
        <w:snapToGrid/>
        <w:spacing w:line="560" w:lineRule="exact"/>
        <w:ind w:firstLine="755" w:firstLineChars="236"/>
        <w:jc w:val="left"/>
        <w:textAlignment w:val="auto"/>
        <w:rPr>
          <w:rFonts w:hint="eastAsia" w:ascii="Times New Roman" w:hAnsi="Times New Roman" w:eastAsia="黑体" w:cs="黑体"/>
          <w:sz w:val="32"/>
          <w:szCs w:val="40"/>
          <w:lang w:val="en-US" w:eastAsia="zh-CN"/>
        </w:rPr>
      </w:pPr>
      <w:r>
        <w:rPr>
          <w:rFonts w:hint="eastAsia" w:ascii="Times New Roman" w:hAnsi="Times New Roman" w:eastAsia="仿宋_GB2312"/>
          <w:color w:val="auto"/>
          <w:sz w:val="32"/>
          <w:szCs w:val="32"/>
          <w:lang w:eastAsia="zh-CN"/>
        </w:rPr>
        <w:t>未偏离绩效目标，</w:t>
      </w:r>
      <w:r>
        <w:rPr>
          <w:rFonts w:hint="eastAsia" w:ascii="Times New Roman" w:hAnsi="Times New Roman" w:eastAsia="仿宋_GB2312" w:cs="仿宋_GB2312"/>
          <w:color w:val="auto"/>
          <w:sz w:val="32"/>
          <w:szCs w:val="32"/>
          <w:lang w:eastAsia="zh-CN"/>
        </w:rPr>
        <w:t>下一步工作中将进一步严格规范扶助对象资格确认程序，严格实行“四权分离”，加强监督及公示制度，做</w:t>
      </w:r>
      <w:r>
        <w:rPr>
          <w:rFonts w:hint="eastAsia" w:ascii="Times New Roman" w:hAnsi="Times New Roman" w:eastAsia="仿宋_GB2312" w:cs="仿宋_GB2312"/>
          <w:color w:val="auto"/>
          <w:sz w:val="32"/>
          <w:szCs w:val="32"/>
        </w:rPr>
        <w:t>到公开透明，切实保障群众的合法权益，确保政策的一致性，</w:t>
      </w:r>
      <w:r>
        <w:rPr>
          <w:rFonts w:hint="eastAsia" w:ascii="Times New Roman" w:hAnsi="Times New Roman" w:eastAsia="仿宋_GB2312" w:cs="仿宋_GB2312"/>
          <w:color w:val="auto"/>
          <w:sz w:val="32"/>
          <w:szCs w:val="32"/>
          <w:lang w:eastAsia="zh-CN"/>
        </w:rPr>
        <w:t>努力</w:t>
      </w:r>
      <w:r>
        <w:rPr>
          <w:rFonts w:hint="eastAsia" w:ascii="Times New Roman" w:hAnsi="Times New Roman" w:eastAsia="仿宋_GB2312" w:cs="仿宋_GB2312"/>
          <w:color w:val="auto"/>
          <w:sz w:val="32"/>
          <w:szCs w:val="32"/>
        </w:rPr>
        <w:t>做到一个不错、一个不漏。</w:t>
      </w:r>
      <w:r>
        <w:rPr>
          <w:rFonts w:hint="eastAsia" w:ascii="Times New Roman" w:hAnsi="Times New Roman" w:eastAsia="仿宋_GB2312" w:cs="仿宋_GB2312"/>
          <w:color w:val="auto"/>
          <w:sz w:val="32"/>
          <w:szCs w:val="32"/>
          <w:lang w:eastAsia="zh-CN"/>
        </w:rPr>
        <w:t>同时，继续加大政策宣传力度，提高群众知晓率及满意度。</w:t>
      </w:r>
    </w:p>
    <w:p w14:paraId="14E864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黑体" w:cs="黑体"/>
          <w:sz w:val="32"/>
          <w:szCs w:val="40"/>
          <w:lang w:val="en-US" w:eastAsia="zh-CN"/>
        </w:rPr>
      </w:pPr>
      <w:r>
        <w:rPr>
          <w:rFonts w:hint="eastAsia" w:ascii="Times New Roman" w:hAnsi="Times New Roman" w:eastAsia="黑体" w:cs="黑体"/>
          <w:sz w:val="32"/>
          <w:szCs w:val="40"/>
          <w:lang w:val="en-US" w:eastAsia="zh-CN"/>
        </w:rPr>
        <w:t>六、相关建议（问题及建议部分占比原则上不低于30%）</w:t>
      </w:r>
    </w:p>
    <w:p w14:paraId="1E43381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无。</w:t>
      </w:r>
    </w:p>
    <w:p w14:paraId="33AC22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sz w:val="32"/>
          <w:szCs w:val="40"/>
          <w:lang w:val="en-US" w:eastAsia="zh-CN"/>
        </w:rPr>
      </w:pPr>
    </w:p>
    <w:p w14:paraId="3BEED2CF">
      <w:pPr>
        <w:keepNext w:val="0"/>
        <w:keepLines w:val="0"/>
        <w:pageBreakBefore w:val="0"/>
        <w:widowControl w:val="0"/>
        <w:kinsoku/>
        <w:wordWrap/>
        <w:overflowPunct/>
        <w:topLinePunct w:val="0"/>
        <w:autoSpaceDE/>
        <w:autoSpaceDN/>
        <w:bidi w:val="0"/>
        <w:adjustRightInd/>
        <w:snapToGrid/>
        <w:spacing w:line="560" w:lineRule="exact"/>
        <w:ind w:left="1598" w:leftChars="304" w:hanging="960" w:hangingChars="30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附件：1.企业退休独生子女父母奖励扶助项目绩效评价指标体系</w:t>
      </w:r>
    </w:p>
    <w:p w14:paraId="3662EC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2.企业退休独生子女父母奖励扶助项目绩效评价得分表</w:t>
      </w:r>
    </w:p>
    <w:p w14:paraId="114706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3.企业退休独生子女父母奖励扶助项目问题清单（参考格式）</w:t>
      </w:r>
    </w:p>
    <w:p w14:paraId="630D89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4.企业退休独生子女父母奖励扶助项目调查问卷分析报告（如有）</w:t>
      </w:r>
    </w:p>
    <w:p w14:paraId="45CFF2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0" w:leftChars="0"/>
        <w:jc w:val="both"/>
        <w:textAlignment w:val="auto"/>
        <w:rPr>
          <w:rFonts w:hint="eastAsia" w:ascii="Times New Roman" w:hAnsi="Times New Roman" w:eastAsia="仿宋_GB2312" w:cs="仿宋_GB2312"/>
          <w:sz w:val="32"/>
          <w:szCs w:val="40"/>
          <w:lang w:val="en-US" w:eastAsia="zh-CN"/>
        </w:rPr>
      </w:pPr>
      <w:r>
        <w:rPr>
          <w:rFonts w:hint="eastAsia" w:ascii="Times New Roman" w:hAnsi="Times New Roman" w:eastAsia="仿宋_GB2312" w:cs="仿宋_GB2312"/>
          <w:sz w:val="32"/>
          <w:szCs w:val="40"/>
          <w:lang w:val="en-US" w:eastAsia="zh-CN"/>
        </w:rPr>
        <w:t>5.其他需在附件中反映的内容</w:t>
      </w:r>
    </w:p>
    <w:p w14:paraId="5E0A430C">
      <w:pPr>
        <w:pStyle w:val="4"/>
        <w:keepNext w:val="0"/>
        <w:keepLines w:val="0"/>
        <w:pageBreakBefore w:val="0"/>
        <w:kinsoku/>
        <w:wordWrap/>
        <w:overflowPunct/>
        <w:topLinePunct w:val="0"/>
        <w:autoSpaceDE/>
        <w:autoSpaceDN/>
        <w:bidi w:val="0"/>
        <w:spacing w:line="560" w:lineRule="exact"/>
        <w:ind w:left="0" w:leftChars="0" w:firstLine="0" w:firstLineChars="0"/>
        <w:textAlignment w:val="auto"/>
        <w:rPr>
          <w:rFonts w:hint="eastAsia" w:ascii="Times New Roman" w:hAnsi="Times New Roman"/>
          <w:lang w:val="en-US" w:eastAsia="zh-CN"/>
        </w:rPr>
        <w:sectPr>
          <w:footerReference r:id="rId3" w:type="default"/>
          <w:pgSz w:w="11906" w:h="16838"/>
          <w:pgMar w:top="1814" w:right="1417" w:bottom="1814" w:left="1474" w:header="851" w:footer="1361" w:gutter="0"/>
          <w:pgNumType w:fmt="decimal" w:start="1"/>
          <w:cols w:space="0" w:num="1"/>
          <w:rtlGutter w:val="0"/>
          <w:docGrid w:linePitch="312" w:charSpace="0"/>
        </w:sectPr>
      </w:pPr>
      <w:bookmarkStart w:id="0" w:name="_GoBack"/>
      <w:bookmarkEnd w:id="0"/>
    </w:p>
    <w:p w14:paraId="1EC97E3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黑体"/>
          <w:sz w:val="32"/>
          <w:szCs w:val="40"/>
          <w:lang w:val="en-US" w:eastAsia="zh-CN"/>
        </w:rPr>
      </w:pPr>
      <w:r>
        <w:rPr>
          <w:rFonts w:hint="eastAsia" w:ascii="Times New Roman" w:hAnsi="Times New Roman" w:eastAsia="黑体" w:cs="黑体"/>
          <w:sz w:val="32"/>
          <w:szCs w:val="40"/>
          <w:lang w:val="en-US" w:eastAsia="zh-CN"/>
        </w:rPr>
        <w:t>附件1：</w:t>
      </w:r>
    </w:p>
    <w:p w14:paraId="4A8DB94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36"/>
          <w:szCs w:val="44"/>
          <w:lang w:val="en-US" w:eastAsia="zh-CN"/>
        </w:rPr>
      </w:pPr>
      <w:r>
        <w:rPr>
          <w:rFonts w:hint="eastAsia" w:ascii="Times New Roman" w:hAnsi="Times New Roman" w:eastAsia="方正小标宋简体" w:cs="方正小标宋简体"/>
          <w:sz w:val="36"/>
          <w:szCs w:val="44"/>
          <w:lang w:val="en-US" w:eastAsia="zh-CN"/>
        </w:rPr>
        <w:t>企业退休独生子女父母奖励扶助项目绩效评价指标体系</w:t>
      </w:r>
    </w:p>
    <w:tbl>
      <w:tblPr>
        <w:tblStyle w:val="6"/>
        <w:tblW w:w="0" w:type="auto"/>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824"/>
        <w:gridCol w:w="823"/>
        <w:gridCol w:w="825"/>
        <w:gridCol w:w="822"/>
        <w:gridCol w:w="826"/>
        <w:gridCol w:w="3802"/>
        <w:gridCol w:w="3810"/>
      </w:tblGrid>
      <w:tr w14:paraId="3133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884" w:type="dxa"/>
            <w:gridSpan w:val="2"/>
            <w:vAlign w:val="center"/>
          </w:tcPr>
          <w:p w14:paraId="4435A03B">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32"/>
                <w:vertAlign w:val="baseline"/>
                <w:lang w:val="en-US" w:eastAsia="zh-CN"/>
              </w:rPr>
            </w:pPr>
            <w:r>
              <w:rPr>
                <w:rFonts w:hint="eastAsia" w:ascii="Times New Roman" w:hAnsi="Times New Roman" w:eastAsia="黑体" w:cs="黑体"/>
                <w:sz w:val="24"/>
                <w:szCs w:val="32"/>
                <w:vertAlign w:val="baseline"/>
                <w:lang w:val="en-US" w:eastAsia="zh-CN"/>
              </w:rPr>
              <w:t>一级指标</w:t>
            </w:r>
          </w:p>
        </w:tc>
        <w:tc>
          <w:tcPr>
            <w:tcW w:w="1654" w:type="dxa"/>
            <w:gridSpan w:val="2"/>
            <w:vAlign w:val="center"/>
          </w:tcPr>
          <w:p w14:paraId="5B8F17A4">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32"/>
                <w:vertAlign w:val="baseline"/>
                <w:lang w:val="en-US" w:eastAsia="zh-CN"/>
              </w:rPr>
            </w:pPr>
            <w:r>
              <w:rPr>
                <w:rFonts w:hint="eastAsia" w:ascii="Times New Roman" w:hAnsi="Times New Roman" w:eastAsia="黑体" w:cs="黑体"/>
                <w:sz w:val="24"/>
                <w:szCs w:val="32"/>
                <w:vertAlign w:val="baseline"/>
                <w:lang w:val="en-US" w:eastAsia="zh-CN"/>
              </w:rPr>
              <w:t>二级指标</w:t>
            </w:r>
          </w:p>
        </w:tc>
        <w:tc>
          <w:tcPr>
            <w:tcW w:w="1656" w:type="dxa"/>
            <w:gridSpan w:val="2"/>
            <w:vAlign w:val="center"/>
          </w:tcPr>
          <w:p w14:paraId="191926CF">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32"/>
                <w:vertAlign w:val="baseline"/>
                <w:lang w:val="en-US" w:eastAsia="zh-CN"/>
              </w:rPr>
            </w:pPr>
            <w:r>
              <w:rPr>
                <w:rFonts w:hint="eastAsia" w:ascii="Times New Roman" w:hAnsi="Times New Roman" w:eastAsia="黑体" w:cs="黑体"/>
                <w:sz w:val="24"/>
                <w:szCs w:val="32"/>
                <w:vertAlign w:val="baseline"/>
                <w:lang w:val="en-US" w:eastAsia="zh-CN"/>
              </w:rPr>
              <w:t>三级指标</w:t>
            </w:r>
          </w:p>
        </w:tc>
        <w:tc>
          <w:tcPr>
            <w:tcW w:w="3837" w:type="dxa"/>
            <w:vMerge w:val="restart"/>
            <w:vAlign w:val="center"/>
          </w:tcPr>
          <w:p w14:paraId="4F917FDB">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32"/>
                <w:vertAlign w:val="baseline"/>
                <w:lang w:val="en-US" w:eastAsia="zh-CN"/>
              </w:rPr>
            </w:pPr>
            <w:r>
              <w:rPr>
                <w:rFonts w:hint="eastAsia" w:ascii="Times New Roman" w:hAnsi="Times New Roman" w:eastAsia="黑体" w:cs="黑体"/>
                <w:sz w:val="24"/>
                <w:szCs w:val="32"/>
                <w:vertAlign w:val="baseline"/>
                <w:lang w:val="en-US" w:eastAsia="zh-CN"/>
              </w:rPr>
              <w:t>指标解释及评价要点</w:t>
            </w:r>
          </w:p>
        </w:tc>
        <w:tc>
          <w:tcPr>
            <w:tcW w:w="3837" w:type="dxa"/>
            <w:vMerge w:val="restart"/>
            <w:vAlign w:val="center"/>
          </w:tcPr>
          <w:p w14:paraId="252101E0">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32"/>
                <w:vertAlign w:val="baseline"/>
                <w:lang w:val="en-US" w:eastAsia="zh-CN"/>
              </w:rPr>
            </w:pPr>
            <w:r>
              <w:rPr>
                <w:rFonts w:hint="eastAsia" w:ascii="Times New Roman" w:hAnsi="Times New Roman" w:eastAsia="黑体" w:cs="黑体"/>
                <w:sz w:val="24"/>
                <w:szCs w:val="32"/>
                <w:vertAlign w:val="baseline"/>
                <w:lang w:val="en-US" w:eastAsia="zh-CN"/>
              </w:rPr>
              <w:t>评分规则</w:t>
            </w:r>
          </w:p>
        </w:tc>
      </w:tr>
      <w:tr w14:paraId="4EFB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Align w:val="center"/>
          </w:tcPr>
          <w:p w14:paraId="2059DE41">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名称</w:t>
            </w:r>
          </w:p>
        </w:tc>
        <w:tc>
          <w:tcPr>
            <w:tcW w:w="828" w:type="dxa"/>
            <w:vAlign w:val="center"/>
          </w:tcPr>
          <w:p w14:paraId="68884232">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分值</w:t>
            </w:r>
          </w:p>
        </w:tc>
        <w:tc>
          <w:tcPr>
            <w:tcW w:w="826" w:type="dxa"/>
            <w:vAlign w:val="center"/>
          </w:tcPr>
          <w:p w14:paraId="10768A58">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名称</w:t>
            </w:r>
          </w:p>
        </w:tc>
        <w:tc>
          <w:tcPr>
            <w:tcW w:w="828" w:type="dxa"/>
            <w:vAlign w:val="center"/>
          </w:tcPr>
          <w:p w14:paraId="1B5C1463">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分值</w:t>
            </w:r>
          </w:p>
        </w:tc>
        <w:tc>
          <w:tcPr>
            <w:tcW w:w="826" w:type="dxa"/>
            <w:vAlign w:val="center"/>
          </w:tcPr>
          <w:p w14:paraId="2A7319D0">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名称</w:t>
            </w:r>
          </w:p>
        </w:tc>
        <w:tc>
          <w:tcPr>
            <w:tcW w:w="830" w:type="dxa"/>
            <w:vAlign w:val="center"/>
          </w:tcPr>
          <w:p w14:paraId="2537A55B">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分值</w:t>
            </w:r>
          </w:p>
        </w:tc>
        <w:tc>
          <w:tcPr>
            <w:tcW w:w="3837" w:type="dxa"/>
            <w:vMerge w:val="continue"/>
          </w:tcPr>
          <w:p w14:paraId="3D1A308E">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仿宋_GB2312"/>
                <w:sz w:val="32"/>
                <w:szCs w:val="40"/>
                <w:vertAlign w:val="baseline"/>
                <w:lang w:val="en-US" w:eastAsia="zh-CN"/>
              </w:rPr>
            </w:pPr>
          </w:p>
        </w:tc>
        <w:tc>
          <w:tcPr>
            <w:tcW w:w="3837" w:type="dxa"/>
            <w:vMerge w:val="continue"/>
          </w:tcPr>
          <w:p w14:paraId="7C1C128D">
            <w:pPr>
              <w:keepNext w:val="0"/>
              <w:keepLines w:val="0"/>
              <w:pageBreakBefore w:val="0"/>
              <w:kinsoku/>
              <w:wordWrap/>
              <w:overflowPunct/>
              <w:topLinePunct w:val="0"/>
              <w:autoSpaceDE/>
              <w:autoSpaceDN/>
              <w:bidi w:val="0"/>
              <w:adjustRightInd/>
              <w:snapToGrid/>
              <w:spacing w:line="280" w:lineRule="exact"/>
              <w:textAlignment w:val="auto"/>
              <w:rPr>
                <w:rFonts w:hint="default" w:ascii="Times New Roman" w:hAnsi="Times New Roman" w:eastAsia="仿宋_GB2312" w:cs="仿宋_GB2312"/>
                <w:sz w:val="32"/>
                <w:szCs w:val="40"/>
                <w:vertAlign w:val="baseline"/>
                <w:lang w:val="en-US" w:eastAsia="zh-CN"/>
              </w:rPr>
            </w:pPr>
          </w:p>
        </w:tc>
      </w:tr>
      <w:tr w14:paraId="6A82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restart"/>
            <w:vAlign w:val="center"/>
          </w:tcPr>
          <w:p w14:paraId="3F126974">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r>
              <w:rPr>
                <w:rFonts w:hint="eastAsia" w:ascii="Times New Roman" w:hAnsi="Times New Roman" w:eastAsiaTheme="minorEastAsia" w:cstheme="minorEastAsia"/>
                <w:sz w:val="24"/>
                <w:szCs w:val="24"/>
                <w:vertAlign w:val="baseline"/>
                <w:lang w:val="en-US" w:eastAsia="zh-CN"/>
              </w:rPr>
              <w:t>决策</w:t>
            </w:r>
          </w:p>
          <w:p w14:paraId="218868CB">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Theme="minorEastAsia" w:cstheme="minorEastAsia"/>
                <w:sz w:val="24"/>
                <w:szCs w:val="24"/>
                <w:vertAlign w:val="baseline"/>
                <w:lang w:val="en-US" w:eastAsia="zh-CN"/>
              </w:rPr>
            </w:pPr>
            <w:r>
              <w:rPr>
                <w:rFonts w:hint="eastAsia" w:ascii="Times New Roman" w:hAnsi="Times New Roman" w:cstheme="minorEastAsia"/>
                <w:sz w:val="24"/>
                <w:szCs w:val="24"/>
                <w:vertAlign w:val="baseline"/>
                <w:lang w:val="en-US" w:eastAsia="zh-CN"/>
              </w:rPr>
              <w:t>（15%）</w:t>
            </w:r>
          </w:p>
        </w:tc>
        <w:tc>
          <w:tcPr>
            <w:tcW w:w="828" w:type="dxa"/>
            <w:vMerge w:val="restart"/>
            <w:vAlign w:val="center"/>
          </w:tcPr>
          <w:p w14:paraId="13DFECE1">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7</w:t>
            </w:r>
          </w:p>
        </w:tc>
        <w:tc>
          <w:tcPr>
            <w:tcW w:w="826" w:type="dxa"/>
            <w:vMerge w:val="restart"/>
            <w:vAlign w:val="center"/>
          </w:tcPr>
          <w:p w14:paraId="7F17633D">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项目立项</w:t>
            </w:r>
          </w:p>
        </w:tc>
        <w:tc>
          <w:tcPr>
            <w:tcW w:w="828" w:type="dxa"/>
            <w:vMerge w:val="restart"/>
            <w:vAlign w:val="center"/>
          </w:tcPr>
          <w:p w14:paraId="05D590F8">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5</w:t>
            </w:r>
          </w:p>
        </w:tc>
        <w:tc>
          <w:tcPr>
            <w:tcW w:w="826" w:type="dxa"/>
            <w:vAlign w:val="center"/>
          </w:tcPr>
          <w:p w14:paraId="685DED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cs="宋体"/>
                <w:color w:val="000000"/>
                <w:kern w:val="0"/>
                <w:szCs w:val="21"/>
              </w:rPr>
            </w:pPr>
            <w:r>
              <w:rPr>
                <w:rFonts w:hint="eastAsia" w:ascii="Times New Roman" w:hAnsi="Times New Roman" w:cs="宋体"/>
                <w:color w:val="000000"/>
                <w:kern w:val="0"/>
                <w:szCs w:val="21"/>
              </w:rPr>
              <w:t>立项依据</w:t>
            </w:r>
          </w:p>
          <w:p w14:paraId="49792B95">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充分性</w:t>
            </w:r>
          </w:p>
        </w:tc>
        <w:tc>
          <w:tcPr>
            <w:tcW w:w="830" w:type="dxa"/>
            <w:vAlign w:val="center"/>
          </w:tcPr>
          <w:p w14:paraId="03A328C3">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3</w:t>
            </w:r>
          </w:p>
        </w:tc>
        <w:tc>
          <w:tcPr>
            <w:tcW w:w="3837" w:type="dxa"/>
            <w:vAlign w:val="center"/>
          </w:tcPr>
          <w:p w14:paraId="749F9341">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项目立项是否符合法律法规、相关政策、发展规划以及部门职责，用以反映和考核项目立项依据情况。</w:t>
            </w:r>
          </w:p>
        </w:tc>
        <w:tc>
          <w:tcPr>
            <w:tcW w:w="3837" w:type="dxa"/>
            <w:vAlign w:val="center"/>
          </w:tcPr>
          <w:p w14:paraId="5DFBD51F">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评价要点：</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①项目立项是否符合国家法律法规、国民经济发展规划和相关政策；</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②项目立项是否符合行业发展规划和政策要求；</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③项目立项是否与部门职责范围相符，属于部门履职所需；</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④项目是否属于公共财政支持范围，是否符合中央、地方事权支出责任划分原则；</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⑤项目是否与相关部门同类项目或部门内部相关项目重复。</w:t>
            </w:r>
          </w:p>
        </w:tc>
      </w:tr>
      <w:tr w14:paraId="1F7A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continue"/>
            <w:vAlign w:val="center"/>
          </w:tcPr>
          <w:p w14:paraId="646E7158">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8" w:type="dxa"/>
            <w:vMerge w:val="continue"/>
            <w:vAlign w:val="center"/>
          </w:tcPr>
          <w:p w14:paraId="55D527F9">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Merge w:val="continue"/>
            <w:vAlign w:val="center"/>
          </w:tcPr>
          <w:p w14:paraId="48E26C21">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8" w:type="dxa"/>
            <w:vMerge w:val="continue"/>
            <w:vAlign w:val="center"/>
          </w:tcPr>
          <w:p w14:paraId="2F6E8E00">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Align w:val="center"/>
          </w:tcPr>
          <w:p w14:paraId="00E6D2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cs="宋体"/>
                <w:color w:val="000000"/>
                <w:kern w:val="0"/>
                <w:szCs w:val="21"/>
              </w:rPr>
            </w:pPr>
            <w:r>
              <w:rPr>
                <w:rFonts w:hint="eastAsia" w:ascii="Times New Roman" w:hAnsi="Times New Roman" w:cs="宋体"/>
                <w:color w:val="000000"/>
                <w:kern w:val="0"/>
                <w:szCs w:val="21"/>
              </w:rPr>
              <w:t>立项程序</w:t>
            </w:r>
          </w:p>
          <w:p w14:paraId="7913F395">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规范性</w:t>
            </w:r>
          </w:p>
        </w:tc>
        <w:tc>
          <w:tcPr>
            <w:tcW w:w="830" w:type="dxa"/>
            <w:vAlign w:val="center"/>
          </w:tcPr>
          <w:p w14:paraId="2297F39F">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2</w:t>
            </w:r>
          </w:p>
        </w:tc>
        <w:tc>
          <w:tcPr>
            <w:tcW w:w="3837" w:type="dxa"/>
            <w:vAlign w:val="center"/>
          </w:tcPr>
          <w:p w14:paraId="5AAF3486">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项目申请、设立过程是否符合相关要求，用以反映和考核项目立项的规范情况。</w:t>
            </w:r>
          </w:p>
        </w:tc>
        <w:tc>
          <w:tcPr>
            <w:tcW w:w="3837" w:type="dxa"/>
            <w:vAlign w:val="center"/>
          </w:tcPr>
          <w:p w14:paraId="51E827E4">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评价要点：</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①项目是否按照规定的程序申请设立；</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②审批文件、材料是否符合相关要求；</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③事前是否已经过必要的可行性研究、专家论证、风险评估、绩效评估、集体决策。</w:t>
            </w:r>
          </w:p>
        </w:tc>
      </w:tr>
      <w:tr w14:paraId="7062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continue"/>
            <w:vAlign w:val="center"/>
          </w:tcPr>
          <w:p w14:paraId="67E2781F">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8" w:type="dxa"/>
            <w:vMerge w:val="continue"/>
            <w:vAlign w:val="center"/>
          </w:tcPr>
          <w:p w14:paraId="27E3F290">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Align w:val="center"/>
          </w:tcPr>
          <w:p w14:paraId="034212A9">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绩效目标</w:t>
            </w:r>
          </w:p>
        </w:tc>
        <w:tc>
          <w:tcPr>
            <w:tcW w:w="828" w:type="dxa"/>
            <w:vAlign w:val="center"/>
          </w:tcPr>
          <w:p w14:paraId="27DBE491">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Align w:val="center"/>
          </w:tcPr>
          <w:p w14:paraId="211CEB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cs="宋体"/>
                <w:color w:val="000000"/>
                <w:kern w:val="0"/>
                <w:szCs w:val="21"/>
              </w:rPr>
            </w:pPr>
            <w:r>
              <w:rPr>
                <w:rFonts w:hint="eastAsia" w:ascii="Times New Roman" w:hAnsi="Times New Roman" w:cs="宋体"/>
                <w:color w:val="000000"/>
                <w:kern w:val="0"/>
                <w:szCs w:val="21"/>
              </w:rPr>
              <w:t>绩效目标</w:t>
            </w:r>
          </w:p>
          <w:p w14:paraId="7C33F187">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合理性</w:t>
            </w:r>
          </w:p>
        </w:tc>
        <w:tc>
          <w:tcPr>
            <w:tcW w:w="830" w:type="dxa"/>
            <w:vAlign w:val="center"/>
          </w:tcPr>
          <w:p w14:paraId="176749E8">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2</w:t>
            </w:r>
          </w:p>
        </w:tc>
        <w:tc>
          <w:tcPr>
            <w:tcW w:w="3837" w:type="dxa"/>
            <w:vAlign w:val="center"/>
          </w:tcPr>
          <w:p w14:paraId="19AFF8CE">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项目所设定的绩效目标是否依据充分，是否符合客观实际，用以反映和考核项目绩效目标与项目实施的相符情况。</w:t>
            </w:r>
          </w:p>
        </w:tc>
        <w:tc>
          <w:tcPr>
            <w:tcW w:w="3837" w:type="dxa"/>
            <w:vAlign w:val="center"/>
          </w:tcPr>
          <w:p w14:paraId="77EA35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ascii="Times New Roman" w:hAnsi="Times New Roman" w:cs="宋体"/>
                <w:color w:val="000000"/>
                <w:kern w:val="0"/>
                <w:szCs w:val="21"/>
              </w:rPr>
            </w:pPr>
            <w:r>
              <w:rPr>
                <w:rFonts w:hint="eastAsia" w:ascii="Times New Roman" w:hAnsi="Times New Roman" w:cs="宋体"/>
                <w:color w:val="000000"/>
                <w:kern w:val="0"/>
                <w:szCs w:val="21"/>
              </w:rPr>
              <w:t>评价要点：</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（如未设定预算绩效目标，也可考核其他工作任务目标）</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①项目是否有绩效目标；</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②项目绩效目标与实际工作内容是否具有相关性；</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③项目预期产出效益和效果是否符合正常的业绩水平；</w:t>
            </w:r>
          </w:p>
          <w:p w14:paraId="140D4966">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④是否与预算确定的项目投资额或资金量相匹配。</w:t>
            </w:r>
          </w:p>
        </w:tc>
      </w:tr>
      <w:tr w14:paraId="7F6A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restart"/>
            <w:vAlign w:val="center"/>
          </w:tcPr>
          <w:p w14:paraId="1B89896F">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r>
              <w:rPr>
                <w:rFonts w:hint="eastAsia" w:ascii="Times New Roman" w:hAnsi="Times New Roman" w:eastAsiaTheme="minorEastAsia" w:cstheme="minorEastAsia"/>
                <w:sz w:val="24"/>
                <w:szCs w:val="24"/>
                <w:vertAlign w:val="baseline"/>
                <w:lang w:val="en-US" w:eastAsia="zh-CN"/>
              </w:rPr>
              <w:t>过程</w:t>
            </w:r>
          </w:p>
          <w:p w14:paraId="3736B0C5">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Theme="minorEastAsia" w:cstheme="minorEastAsia"/>
                <w:sz w:val="24"/>
                <w:szCs w:val="24"/>
                <w:vertAlign w:val="baseline"/>
                <w:lang w:val="en-US" w:eastAsia="zh-CN"/>
              </w:rPr>
            </w:pPr>
            <w:r>
              <w:rPr>
                <w:rFonts w:hint="eastAsia" w:ascii="Times New Roman" w:hAnsi="Times New Roman" w:cstheme="minorEastAsia"/>
                <w:sz w:val="24"/>
                <w:szCs w:val="24"/>
                <w:vertAlign w:val="baseline"/>
                <w:lang w:val="en-US" w:eastAsia="zh-CN"/>
              </w:rPr>
              <w:t>（25%）</w:t>
            </w:r>
          </w:p>
        </w:tc>
        <w:tc>
          <w:tcPr>
            <w:tcW w:w="828" w:type="dxa"/>
            <w:vMerge w:val="restart"/>
            <w:vAlign w:val="center"/>
          </w:tcPr>
          <w:p w14:paraId="4DAA943C">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13</w:t>
            </w:r>
          </w:p>
        </w:tc>
        <w:tc>
          <w:tcPr>
            <w:tcW w:w="826" w:type="dxa"/>
            <w:vMerge w:val="restart"/>
            <w:vAlign w:val="center"/>
          </w:tcPr>
          <w:p w14:paraId="448E2DFF">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资金管理</w:t>
            </w:r>
          </w:p>
        </w:tc>
        <w:tc>
          <w:tcPr>
            <w:tcW w:w="828" w:type="dxa"/>
            <w:vMerge w:val="restart"/>
            <w:vAlign w:val="center"/>
          </w:tcPr>
          <w:p w14:paraId="60A10EB2">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13</w:t>
            </w:r>
          </w:p>
        </w:tc>
        <w:tc>
          <w:tcPr>
            <w:tcW w:w="826" w:type="dxa"/>
            <w:vAlign w:val="center"/>
          </w:tcPr>
          <w:p w14:paraId="48AAA94B">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资金到位率</w:t>
            </w:r>
          </w:p>
        </w:tc>
        <w:tc>
          <w:tcPr>
            <w:tcW w:w="830" w:type="dxa"/>
            <w:vAlign w:val="center"/>
          </w:tcPr>
          <w:p w14:paraId="4B1936CD">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5</w:t>
            </w:r>
          </w:p>
        </w:tc>
        <w:tc>
          <w:tcPr>
            <w:tcW w:w="3837" w:type="dxa"/>
            <w:vAlign w:val="center"/>
          </w:tcPr>
          <w:p w14:paraId="2C6A93AB">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实际到位资金与预算资金的比率，用以反映和考核资金落实情况对项目实施的总体保障程度。</w:t>
            </w:r>
          </w:p>
        </w:tc>
        <w:tc>
          <w:tcPr>
            <w:tcW w:w="3837" w:type="dxa"/>
            <w:vAlign w:val="center"/>
          </w:tcPr>
          <w:p w14:paraId="16AB0720">
            <w:pPr>
              <w:keepNext w:val="0"/>
              <w:keepLines w:val="0"/>
              <w:pageBreakBefore w:val="0"/>
              <w:widowControl/>
              <w:kinsoku/>
              <w:wordWrap/>
              <w:overflowPunct/>
              <w:topLinePunct w:val="0"/>
              <w:autoSpaceDE/>
              <w:autoSpaceDN/>
              <w:bidi w:val="0"/>
              <w:adjustRightInd/>
              <w:snapToGrid/>
              <w:spacing w:line="280" w:lineRule="exact"/>
              <w:textAlignment w:val="auto"/>
              <w:rPr>
                <w:rFonts w:ascii="Times New Roman" w:hAnsi="Times New Roman" w:cs="宋体"/>
                <w:color w:val="000000"/>
                <w:kern w:val="0"/>
                <w:szCs w:val="21"/>
              </w:rPr>
            </w:pPr>
            <w:r>
              <w:rPr>
                <w:rFonts w:hint="eastAsia" w:ascii="Times New Roman" w:hAnsi="Times New Roman" w:cs="宋体"/>
                <w:color w:val="000000"/>
                <w:kern w:val="0"/>
                <w:szCs w:val="21"/>
              </w:rPr>
              <w:t>资金到位率=（实际到位资金/预算资金）×100%。</w:t>
            </w:r>
          </w:p>
          <w:p w14:paraId="29D7F22E">
            <w:pPr>
              <w:keepNext w:val="0"/>
              <w:keepLines w:val="0"/>
              <w:pageBreakBefore w:val="0"/>
              <w:widowControl/>
              <w:kinsoku/>
              <w:wordWrap/>
              <w:overflowPunct/>
              <w:topLinePunct w:val="0"/>
              <w:autoSpaceDE/>
              <w:autoSpaceDN/>
              <w:bidi w:val="0"/>
              <w:adjustRightInd/>
              <w:snapToGrid/>
              <w:spacing w:line="280" w:lineRule="exact"/>
              <w:textAlignment w:val="auto"/>
              <w:rPr>
                <w:rFonts w:ascii="Times New Roman" w:hAnsi="Times New Roman" w:cs="宋体"/>
                <w:color w:val="000000"/>
                <w:kern w:val="0"/>
                <w:szCs w:val="21"/>
              </w:rPr>
            </w:pPr>
            <w:r>
              <w:rPr>
                <w:rFonts w:hint="eastAsia" w:ascii="Times New Roman" w:hAnsi="Times New Roman" w:cs="宋体"/>
                <w:color w:val="000000"/>
                <w:kern w:val="0"/>
                <w:szCs w:val="21"/>
              </w:rPr>
              <w:t>实际到位资金：一定时期（本年度或项目期）内落实到具体项目的资金。</w:t>
            </w:r>
          </w:p>
          <w:p w14:paraId="743BBECB">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预算资金：一定时期（本年度或项目期）内预算安排到具体项目的资金。</w:t>
            </w:r>
          </w:p>
        </w:tc>
      </w:tr>
      <w:tr w14:paraId="1533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continue"/>
            <w:vAlign w:val="center"/>
          </w:tcPr>
          <w:p w14:paraId="57E8C7DC">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cstheme="minorEastAsia"/>
                <w:sz w:val="24"/>
                <w:szCs w:val="24"/>
                <w:vertAlign w:val="baseline"/>
                <w:lang w:val="en-US" w:eastAsia="zh-CN"/>
              </w:rPr>
            </w:pPr>
          </w:p>
        </w:tc>
        <w:tc>
          <w:tcPr>
            <w:tcW w:w="828" w:type="dxa"/>
            <w:vMerge w:val="continue"/>
            <w:vAlign w:val="center"/>
          </w:tcPr>
          <w:p w14:paraId="46F71E92">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Merge w:val="continue"/>
            <w:vAlign w:val="center"/>
          </w:tcPr>
          <w:p w14:paraId="73D842B5">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_GB2312" w:cs="仿宋_GB2312"/>
                <w:sz w:val="32"/>
                <w:szCs w:val="40"/>
                <w:vertAlign w:val="baseline"/>
                <w:lang w:val="en-US" w:eastAsia="zh-CN"/>
              </w:rPr>
            </w:pPr>
          </w:p>
        </w:tc>
        <w:tc>
          <w:tcPr>
            <w:tcW w:w="828" w:type="dxa"/>
            <w:vMerge w:val="continue"/>
            <w:vAlign w:val="center"/>
          </w:tcPr>
          <w:p w14:paraId="22E43071">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仿宋_GB2312" w:cs="仿宋_GB2312"/>
                <w:sz w:val="32"/>
                <w:szCs w:val="40"/>
                <w:vertAlign w:val="baseline"/>
                <w:lang w:val="en-US" w:eastAsia="zh-CN"/>
              </w:rPr>
            </w:pPr>
          </w:p>
        </w:tc>
        <w:tc>
          <w:tcPr>
            <w:tcW w:w="826" w:type="dxa"/>
            <w:vAlign w:val="center"/>
          </w:tcPr>
          <w:p w14:paraId="4CB3D1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cs="宋体"/>
                <w:color w:val="000000"/>
                <w:kern w:val="0"/>
                <w:szCs w:val="21"/>
              </w:rPr>
            </w:pPr>
            <w:r>
              <w:rPr>
                <w:rFonts w:hint="eastAsia" w:ascii="Times New Roman" w:hAnsi="Times New Roman" w:cs="宋体"/>
                <w:color w:val="000000"/>
                <w:kern w:val="0"/>
                <w:szCs w:val="21"/>
              </w:rPr>
              <w:t>资金使用</w:t>
            </w:r>
          </w:p>
          <w:p w14:paraId="3EDBDFE3">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cs="宋体"/>
                <w:color w:val="000000"/>
                <w:kern w:val="0"/>
                <w:szCs w:val="21"/>
              </w:rPr>
            </w:pPr>
            <w:r>
              <w:rPr>
                <w:rFonts w:hint="eastAsia" w:ascii="Times New Roman" w:hAnsi="Times New Roman" w:cs="宋体"/>
                <w:color w:val="000000"/>
                <w:kern w:val="0"/>
                <w:szCs w:val="21"/>
              </w:rPr>
              <w:t>合规性</w:t>
            </w:r>
          </w:p>
        </w:tc>
        <w:tc>
          <w:tcPr>
            <w:tcW w:w="830" w:type="dxa"/>
            <w:vAlign w:val="center"/>
          </w:tcPr>
          <w:p w14:paraId="2B4E52D5">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3</w:t>
            </w:r>
          </w:p>
        </w:tc>
        <w:tc>
          <w:tcPr>
            <w:tcW w:w="3837" w:type="dxa"/>
            <w:vAlign w:val="center"/>
          </w:tcPr>
          <w:p w14:paraId="21A3EF32">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cs="宋体"/>
                <w:color w:val="000000"/>
                <w:kern w:val="0"/>
                <w:szCs w:val="21"/>
              </w:rPr>
            </w:pPr>
            <w:r>
              <w:rPr>
                <w:rFonts w:hint="eastAsia" w:ascii="Times New Roman" w:hAnsi="Times New Roman" w:cs="宋体"/>
                <w:color w:val="000000"/>
                <w:kern w:val="0"/>
                <w:szCs w:val="21"/>
              </w:rPr>
              <w:t>项目资金使用是否符合相关的财务管理制度规定，用以反映和考核项目资金的规范运行情况。</w:t>
            </w:r>
          </w:p>
        </w:tc>
        <w:tc>
          <w:tcPr>
            <w:tcW w:w="3837" w:type="dxa"/>
            <w:vAlign w:val="center"/>
          </w:tcPr>
          <w:p w14:paraId="25B63D3D">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cs="宋体"/>
                <w:color w:val="000000"/>
                <w:kern w:val="0"/>
                <w:szCs w:val="21"/>
              </w:rPr>
            </w:pPr>
            <w:r>
              <w:rPr>
                <w:rFonts w:hint="eastAsia" w:ascii="Times New Roman" w:hAnsi="Times New Roman" w:cs="宋体"/>
                <w:color w:val="000000"/>
                <w:kern w:val="0"/>
                <w:szCs w:val="21"/>
              </w:rPr>
              <w:t>评价要点：</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①是否符合国家财经法规和财务管理制度以及有关专项资金管理办法的规定；</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②资金的拨付是否有完整的审批程序和手续；</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③是否符合项目预算批复或合同规定的用途；</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④是否存在截留、挤占、挪用、虚列支出等情况。</w:t>
            </w:r>
          </w:p>
        </w:tc>
      </w:tr>
      <w:tr w14:paraId="0D35A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056" w:type="dxa"/>
            <w:vMerge w:val="continue"/>
            <w:vAlign w:val="center"/>
          </w:tcPr>
          <w:p w14:paraId="2441BBC5">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8" w:type="dxa"/>
            <w:vMerge w:val="continue"/>
            <w:vAlign w:val="center"/>
          </w:tcPr>
          <w:p w14:paraId="0143B440">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Merge w:val="continue"/>
            <w:vAlign w:val="center"/>
          </w:tcPr>
          <w:p w14:paraId="5CDB8ADF">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8" w:type="dxa"/>
            <w:vMerge w:val="continue"/>
            <w:vAlign w:val="center"/>
          </w:tcPr>
          <w:p w14:paraId="33F47955">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Align w:val="center"/>
          </w:tcPr>
          <w:p w14:paraId="3049E199">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预算执行率</w:t>
            </w:r>
          </w:p>
        </w:tc>
        <w:tc>
          <w:tcPr>
            <w:tcW w:w="830" w:type="dxa"/>
            <w:vAlign w:val="center"/>
          </w:tcPr>
          <w:p w14:paraId="677E5BED">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5</w:t>
            </w:r>
          </w:p>
        </w:tc>
        <w:tc>
          <w:tcPr>
            <w:tcW w:w="3837" w:type="dxa"/>
            <w:vAlign w:val="center"/>
          </w:tcPr>
          <w:p w14:paraId="0BC07F9D">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项目预算资金是否按照计划执行，用以反映或考核项目预算执行情况。</w:t>
            </w:r>
          </w:p>
        </w:tc>
        <w:tc>
          <w:tcPr>
            <w:tcW w:w="3837" w:type="dxa"/>
            <w:vAlign w:val="center"/>
          </w:tcPr>
          <w:p w14:paraId="2C180597">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预算执行率=（实际支出资金/实际到位资金）×100%。</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实际支出资金：一定时期（本年度或项目期）内项目实际拨付的资金。</w:t>
            </w:r>
          </w:p>
        </w:tc>
      </w:tr>
      <w:tr w14:paraId="6DD4A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restart"/>
            <w:vAlign w:val="center"/>
          </w:tcPr>
          <w:p w14:paraId="0F278A83">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r>
              <w:rPr>
                <w:rFonts w:hint="eastAsia" w:ascii="Times New Roman" w:hAnsi="Times New Roman" w:eastAsiaTheme="minorEastAsia" w:cstheme="minorEastAsia"/>
                <w:sz w:val="24"/>
                <w:szCs w:val="24"/>
                <w:vertAlign w:val="baseline"/>
                <w:lang w:val="en-US" w:eastAsia="zh-CN"/>
              </w:rPr>
              <w:t>产出</w:t>
            </w:r>
          </w:p>
          <w:p w14:paraId="360DC862">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Theme="minorEastAsia" w:cstheme="minorEastAsia"/>
                <w:sz w:val="24"/>
                <w:szCs w:val="24"/>
                <w:vertAlign w:val="baseline"/>
                <w:lang w:val="en-US" w:eastAsia="zh-CN"/>
              </w:rPr>
            </w:pPr>
            <w:r>
              <w:rPr>
                <w:rFonts w:hint="eastAsia" w:ascii="Times New Roman" w:hAnsi="Times New Roman" w:cstheme="minorEastAsia"/>
                <w:sz w:val="24"/>
                <w:szCs w:val="24"/>
                <w:vertAlign w:val="baseline"/>
                <w:lang w:val="en-US" w:eastAsia="zh-CN"/>
              </w:rPr>
              <w:t>（20%）</w:t>
            </w:r>
          </w:p>
        </w:tc>
        <w:tc>
          <w:tcPr>
            <w:tcW w:w="828" w:type="dxa"/>
            <w:vMerge w:val="restart"/>
            <w:vAlign w:val="center"/>
          </w:tcPr>
          <w:p w14:paraId="6AC725D0">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20</w:t>
            </w:r>
          </w:p>
        </w:tc>
        <w:tc>
          <w:tcPr>
            <w:tcW w:w="826" w:type="dxa"/>
            <w:vAlign w:val="center"/>
          </w:tcPr>
          <w:p w14:paraId="70A3AA59">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产出数量</w:t>
            </w:r>
          </w:p>
        </w:tc>
        <w:tc>
          <w:tcPr>
            <w:tcW w:w="828" w:type="dxa"/>
            <w:vAlign w:val="center"/>
          </w:tcPr>
          <w:p w14:paraId="74F3DEAB">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6</w:t>
            </w:r>
          </w:p>
        </w:tc>
        <w:tc>
          <w:tcPr>
            <w:tcW w:w="826" w:type="dxa"/>
            <w:shd w:val="clear" w:color="auto" w:fill="auto"/>
            <w:vAlign w:val="center"/>
          </w:tcPr>
          <w:p w14:paraId="289CC94B">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kern w:val="2"/>
                <w:sz w:val="32"/>
                <w:szCs w:val="40"/>
                <w:vertAlign w:val="baseline"/>
                <w:lang w:val="en-US" w:eastAsia="zh-CN" w:bidi="ar-SA"/>
              </w:rPr>
            </w:pPr>
            <w:r>
              <w:rPr>
                <w:rFonts w:hint="eastAsia" w:ascii="Times New Roman" w:hAnsi="Times New Roman" w:cs="宋体"/>
                <w:color w:val="000000"/>
                <w:kern w:val="0"/>
                <w:szCs w:val="21"/>
              </w:rPr>
              <w:t>实际完成率</w:t>
            </w:r>
          </w:p>
        </w:tc>
        <w:tc>
          <w:tcPr>
            <w:tcW w:w="830" w:type="dxa"/>
            <w:vAlign w:val="center"/>
          </w:tcPr>
          <w:p w14:paraId="20698C60">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6</w:t>
            </w:r>
          </w:p>
        </w:tc>
        <w:tc>
          <w:tcPr>
            <w:tcW w:w="3837" w:type="dxa"/>
            <w:shd w:val="clear" w:color="000000" w:fill="FFFFFF"/>
            <w:vAlign w:val="center"/>
          </w:tcPr>
          <w:p w14:paraId="18B3D631">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项目实施的实际产出数与计划产出数的比率，用以反映和考核项目产出数量目标的实现程度。</w:t>
            </w:r>
          </w:p>
        </w:tc>
        <w:tc>
          <w:tcPr>
            <w:tcW w:w="3837" w:type="dxa"/>
            <w:shd w:val="clear" w:color="000000" w:fill="FFFFFF"/>
            <w:vAlign w:val="center"/>
          </w:tcPr>
          <w:p w14:paraId="11D42420">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实际完成率=（实际产出数/计划产出数）×100%。</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实际产出数：一定时期（本年度或项目期）内项目实际产出的产品或提供的服务数量。</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计划产出数：项目绩效目标确定的在一定时期（本年度或项目期）内计划产出的产品或提供的服务数量。</w:t>
            </w:r>
          </w:p>
        </w:tc>
      </w:tr>
      <w:tr w14:paraId="3F37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continue"/>
            <w:vAlign w:val="center"/>
          </w:tcPr>
          <w:p w14:paraId="740E560B">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Theme="minorEastAsia" w:cstheme="minorEastAsia"/>
                <w:sz w:val="24"/>
                <w:szCs w:val="24"/>
                <w:vertAlign w:val="baseline"/>
                <w:lang w:val="en-US" w:eastAsia="zh-CN"/>
              </w:rPr>
            </w:pPr>
          </w:p>
        </w:tc>
        <w:tc>
          <w:tcPr>
            <w:tcW w:w="828" w:type="dxa"/>
            <w:vMerge w:val="continue"/>
            <w:vAlign w:val="center"/>
          </w:tcPr>
          <w:p w14:paraId="54926A7D">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Align w:val="center"/>
          </w:tcPr>
          <w:p w14:paraId="13ED645A">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产出质量</w:t>
            </w:r>
          </w:p>
        </w:tc>
        <w:tc>
          <w:tcPr>
            <w:tcW w:w="828" w:type="dxa"/>
            <w:vAlign w:val="center"/>
          </w:tcPr>
          <w:p w14:paraId="36724EA5">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8</w:t>
            </w:r>
          </w:p>
        </w:tc>
        <w:tc>
          <w:tcPr>
            <w:tcW w:w="826" w:type="dxa"/>
            <w:shd w:val="clear" w:color="auto" w:fill="auto"/>
            <w:vAlign w:val="center"/>
          </w:tcPr>
          <w:p w14:paraId="01BE5414">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kern w:val="2"/>
                <w:sz w:val="32"/>
                <w:szCs w:val="40"/>
                <w:vertAlign w:val="baseline"/>
                <w:lang w:val="en-US" w:eastAsia="zh-CN" w:bidi="ar-SA"/>
              </w:rPr>
            </w:pPr>
            <w:r>
              <w:rPr>
                <w:rFonts w:hint="eastAsia" w:ascii="Times New Roman" w:hAnsi="Times New Roman" w:cs="宋体"/>
                <w:color w:val="000000"/>
                <w:kern w:val="0"/>
                <w:szCs w:val="21"/>
              </w:rPr>
              <w:t>质量达标率</w:t>
            </w:r>
          </w:p>
        </w:tc>
        <w:tc>
          <w:tcPr>
            <w:tcW w:w="830" w:type="dxa"/>
            <w:vAlign w:val="center"/>
          </w:tcPr>
          <w:p w14:paraId="59839F6D">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8</w:t>
            </w:r>
          </w:p>
        </w:tc>
        <w:tc>
          <w:tcPr>
            <w:tcW w:w="3837" w:type="dxa"/>
            <w:shd w:val="clear" w:color="000000" w:fill="FFFFFF"/>
            <w:vAlign w:val="center"/>
          </w:tcPr>
          <w:p w14:paraId="5FA806F8">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项目完成的质量达标产出数与实际产出数的比率，用以反映和考核项目产出质量目标的实现程度。</w:t>
            </w:r>
          </w:p>
        </w:tc>
        <w:tc>
          <w:tcPr>
            <w:tcW w:w="3837" w:type="dxa"/>
            <w:shd w:val="clear" w:color="000000" w:fill="FFFFFF"/>
            <w:vAlign w:val="center"/>
          </w:tcPr>
          <w:p w14:paraId="3BE95522">
            <w:pPr>
              <w:keepNext w:val="0"/>
              <w:keepLines w:val="0"/>
              <w:pageBreakBefore w:val="0"/>
              <w:widowControl/>
              <w:kinsoku/>
              <w:wordWrap/>
              <w:overflowPunct/>
              <w:topLinePunct w:val="0"/>
              <w:autoSpaceDE/>
              <w:autoSpaceDN/>
              <w:bidi w:val="0"/>
              <w:adjustRightInd/>
              <w:snapToGrid/>
              <w:spacing w:line="280" w:lineRule="exact"/>
              <w:textAlignment w:val="auto"/>
              <w:rPr>
                <w:rFonts w:ascii="Times New Roman" w:hAnsi="Times New Roman" w:cs="宋体"/>
                <w:color w:val="000000"/>
                <w:kern w:val="0"/>
                <w:szCs w:val="21"/>
              </w:rPr>
            </w:pPr>
            <w:r>
              <w:rPr>
                <w:rFonts w:hint="eastAsia" w:ascii="Times New Roman" w:hAnsi="Times New Roman" w:cs="宋体"/>
                <w:color w:val="000000"/>
                <w:kern w:val="0"/>
                <w:szCs w:val="21"/>
              </w:rPr>
              <w:t>质量达标率=（质量达标产出数/实际产出数）×100%。</w:t>
            </w:r>
          </w:p>
          <w:p w14:paraId="071E0FD7">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质量达标产出数：一定时期（本年度或项目期）内实际达到既定质量标准的产品或服务数量。既定质量标准是指项目实施单位设立绩效目标时依据计划标准、行业标准、历史标准或其他标准而设定的绩效指标值。</w:t>
            </w:r>
          </w:p>
        </w:tc>
      </w:tr>
      <w:tr w14:paraId="73A53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continue"/>
            <w:vAlign w:val="center"/>
          </w:tcPr>
          <w:p w14:paraId="1BDC1DA9">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Theme="minorEastAsia" w:cstheme="minorEastAsia"/>
                <w:sz w:val="24"/>
                <w:szCs w:val="24"/>
                <w:vertAlign w:val="baseline"/>
                <w:lang w:val="en-US" w:eastAsia="zh-CN"/>
              </w:rPr>
            </w:pPr>
          </w:p>
        </w:tc>
        <w:tc>
          <w:tcPr>
            <w:tcW w:w="828" w:type="dxa"/>
            <w:vMerge w:val="continue"/>
            <w:vAlign w:val="center"/>
          </w:tcPr>
          <w:p w14:paraId="501A502C">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Align w:val="center"/>
          </w:tcPr>
          <w:p w14:paraId="27CFD0D5">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cs="宋体"/>
                <w:color w:val="000000"/>
                <w:kern w:val="0"/>
                <w:szCs w:val="21"/>
              </w:rPr>
              <w:t>产出时效</w:t>
            </w:r>
          </w:p>
        </w:tc>
        <w:tc>
          <w:tcPr>
            <w:tcW w:w="828" w:type="dxa"/>
            <w:vAlign w:val="center"/>
          </w:tcPr>
          <w:p w14:paraId="29C61F1A">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3</w:t>
            </w:r>
          </w:p>
        </w:tc>
        <w:tc>
          <w:tcPr>
            <w:tcW w:w="826" w:type="dxa"/>
            <w:shd w:val="clear" w:color="auto" w:fill="auto"/>
            <w:vAlign w:val="center"/>
          </w:tcPr>
          <w:p w14:paraId="3E6FEE1E">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kern w:val="2"/>
                <w:sz w:val="32"/>
                <w:szCs w:val="40"/>
                <w:vertAlign w:val="baseline"/>
                <w:lang w:val="en-US" w:eastAsia="zh-CN" w:bidi="ar-SA"/>
              </w:rPr>
            </w:pPr>
            <w:r>
              <w:rPr>
                <w:rFonts w:hint="eastAsia" w:ascii="Times New Roman" w:hAnsi="Times New Roman" w:cs="宋体"/>
                <w:color w:val="000000"/>
                <w:kern w:val="0"/>
                <w:szCs w:val="21"/>
              </w:rPr>
              <w:t>完成及时性</w:t>
            </w:r>
          </w:p>
        </w:tc>
        <w:tc>
          <w:tcPr>
            <w:tcW w:w="830" w:type="dxa"/>
            <w:vAlign w:val="center"/>
          </w:tcPr>
          <w:p w14:paraId="7814BF9A">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3</w:t>
            </w:r>
          </w:p>
        </w:tc>
        <w:tc>
          <w:tcPr>
            <w:tcW w:w="3837" w:type="dxa"/>
            <w:shd w:val="clear" w:color="000000" w:fill="FFFFFF"/>
            <w:vAlign w:val="center"/>
          </w:tcPr>
          <w:p w14:paraId="024A4957">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项目实际完成时间与计划完成时间的比较，用以反映和考核项目产出时效目标的实现程度。</w:t>
            </w:r>
          </w:p>
        </w:tc>
        <w:tc>
          <w:tcPr>
            <w:tcW w:w="3837" w:type="dxa"/>
            <w:shd w:val="clear" w:color="000000" w:fill="FFFFFF"/>
            <w:vAlign w:val="center"/>
          </w:tcPr>
          <w:p w14:paraId="7385B210">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实际完成时间：项目实施单位完成该项目实际所耗用的时间。</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计划完成时间：按照项目实施计划或相关规定完成该项目所需的时间。</w:t>
            </w:r>
          </w:p>
        </w:tc>
      </w:tr>
      <w:tr w14:paraId="27D9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Align w:val="center"/>
          </w:tcPr>
          <w:p w14:paraId="6F7374B0">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Theme="minorEastAsia" w:cstheme="minorEastAsia"/>
                <w:sz w:val="24"/>
                <w:szCs w:val="24"/>
                <w:vertAlign w:val="baseline"/>
                <w:lang w:val="en-US" w:eastAsia="zh-CN"/>
              </w:rPr>
            </w:pPr>
          </w:p>
        </w:tc>
        <w:tc>
          <w:tcPr>
            <w:tcW w:w="828" w:type="dxa"/>
            <w:vAlign w:val="center"/>
          </w:tcPr>
          <w:p w14:paraId="283393B8">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Align w:val="center"/>
          </w:tcPr>
          <w:p w14:paraId="0BA41D68">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cs="宋体"/>
                <w:color w:val="000000"/>
                <w:kern w:val="0"/>
                <w:szCs w:val="21"/>
              </w:rPr>
            </w:pPr>
            <w:r>
              <w:rPr>
                <w:rFonts w:hint="eastAsia" w:ascii="Times New Roman" w:hAnsi="Times New Roman" w:cs="宋体"/>
                <w:color w:val="000000"/>
                <w:kern w:val="0"/>
                <w:szCs w:val="21"/>
              </w:rPr>
              <w:t>产出成本</w:t>
            </w:r>
          </w:p>
        </w:tc>
        <w:tc>
          <w:tcPr>
            <w:tcW w:w="828" w:type="dxa"/>
            <w:vAlign w:val="center"/>
          </w:tcPr>
          <w:p w14:paraId="08CB5DFD">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3</w:t>
            </w:r>
          </w:p>
        </w:tc>
        <w:tc>
          <w:tcPr>
            <w:tcW w:w="826" w:type="dxa"/>
            <w:shd w:val="clear" w:color="auto" w:fill="auto"/>
            <w:vAlign w:val="center"/>
          </w:tcPr>
          <w:p w14:paraId="2360F832">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kern w:val="2"/>
                <w:sz w:val="32"/>
                <w:szCs w:val="40"/>
                <w:vertAlign w:val="baseline"/>
                <w:lang w:val="en-US" w:eastAsia="zh-CN" w:bidi="ar-SA"/>
              </w:rPr>
            </w:pPr>
            <w:r>
              <w:rPr>
                <w:rFonts w:hint="eastAsia" w:ascii="Times New Roman" w:hAnsi="Times New Roman" w:cs="宋体"/>
                <w:color w:val="000000"/>
                <w:kern w:val="0"/>
                <w:szCs w:val="21"/>
              </w:rPr>
              <w:t>成本节约率</w:t>
            </w:r>
          </w:p>
        </w:tc>
        <w:tc>
          <w:tcPr>
            <w:tcW w:w="830" w:type="dxa"/>
            <w:vAlign w:val="center"/>
          </w:tcPr>
          <w:p w14:paraId="4604404F">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3</w:t>
            </w:r>
          </w:p>
        </w:tc>
        <w:tc>
          <w:tcPr>
            <w:tcW w:w="3837" w:type="dxa"/>
            <w:shd w:val="clear" w:color="000000" w:fill="FFFFFF"/>
            <w:vAlign w:val="center"/>
          </w:tcPr>
          <w:p w14:paraId="2D686287">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完成项目计划工作目标的实际节约成本与计划成本的比率，用以反映和考核项目的成本节约程度。</w:t>
            </w:r>
          </w:p>
        </w:tc>
        <w:tc>
          <w:tcPr>
            <w:tcW w:w="3837" w:type="dxa"/>
            <w:shd w:val="clear" w:color="000000" w:fill="FFFFFF"/>
            <w:vAlign w:val="center"/>
          </w:tcPr>
          <w:p w14:paraId="4E8873E3">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成本节约率=[（计划成本-实际成本）/计划成本]×100%。</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实际成本：项目实施单位如期、保质、保量完成既定工作目标实际所耗费的支出。</w:t>
            </w:r>
            <w:r>
              <w:rPr>
                <w:rFonts w:hint="eastAsia" w:ascii="Times New Roman" w:hAnsi="Times New Roman" w:cs="宋体"/>
                <w:color w:val="000000"/>
                <w:kern w:val="0"/>
                <w:szCs w:val="21"/>
              </w:rPr>
              <w:br w:type="textWrapping"/>
            </w:r>
            <w:r>
              <w:rPr>
                <w:rFonts w:hint="eastAsia" w:ascii="Times New Roman" w:hAnsi="Times New Roman" w:cs="宋体"/>
                <w:color w:val="000000"/>
                <w:kern w:val="0"/>
                <w:szCs w:val="21"/>
              </w:rPr>
              <w:t>计划成本：项目实施单位为完成工作目标计划安排的支出，一般以项目预算为参考。</w:t>
            </w:r>
          </w:p>
        </w:tc>
      </w:tr>
      <w:tr w14:paraId="47BC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restart"/>
            <w:vAlign w:val="center"/>
          </w:tcPr>
          <w:p w14:paraId="5414F3C8">
            <w:pPr>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r>
              <w:rPr>
                <w:rFonts w:hint="eastAsia" w:ascii="Times New Roman" w:hAnsi="Times New Roman" w:eastAsiaTheme="minorEastAsia" w:cstheme="minorEastAsia"/>
                <w:sz w:val="24"/>
                <w:szCs w:val="24"/>
                <w:vertAlign w:val="baseline"/>
                <w:lang w:val="en-US" w:eastAsia="zh-CN"/>
              </w:rPr>
              <w:t>效益</w:t>
            </w:r>
          </w:p>
          <w:p w14:paraId="7033FFAF">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Theme="minorEastAsia" w:cstheme="minorEastAsia"/>
                <w:sz w:val="24"/>
                <w:szCs w:val="24"/>
                <w:vertAlign w:val="baseline"/>
                <w:lang w:val="en-US" w:eastAsia="zh-CN"/>
              </w:rPr>
            </w:pPr>
            <w:r>
              <w:rPr>
                <w:rFonts w:hint="eastAsia" w:ascii="Times New Roman" w:hAnsi="Times New Roman" w:cstheme="minorEastAsia"/>
                <w:sz w:val="24"/>
                <w:szCs w:val="24"/>
                <w:vertAlign w:val="baseline"/>
                <w:lang w:val="en-US" w:eastAsia="zh-CN"/>
              </w:rPr>
              <w:t>（40%）</w:t>
            </w:r>
          </w:p>
        </w:tc>
        <w:tc>
          <w:tcPr>
            <w:tcW w:w="828" w:type="dxa"/>
            <w:vMerge w:val="restart"/>
            <w:vAlign w:val="center"/>
          </w:tcPr>
          <w:p w14:paraId="08339F1F">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40</w:t>
            </w:r>
          </w:p>
        </w:tc>
        <w:tc>
          <w:tcPr>
            <w:tcW w:w="826" w:type="dxa"/>
            <w:vMerge w:val="restart"/>
            <w:vAlign w:val="center"/>
          </w:tcPr>
          <w:p w14:paraId="36C84D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项目效益</w:t>
            </w:r>
          </w:p>
        </w:tc>
        <w:tc>
          <w:tcPr>
            <w:tcW w:w="828" w:type="dxa"/>
            <w:vMerge w:val="restart"/>
            <w:vAlign w:val="center"/>
          </w:tcPr>
          <w:p w14:paraId="0EFAF8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r>
              <w:rPr>
                <w:rFonts w:hint="eastAsia" w:ascii="Times New Roman" w:hAnsi="Times New Roman" w:eastAsia="仿宋_GB2312" w:cs="仿宋_GB2312"/>
                <w:sz w:val="32"/>
                <w:szCs w:val="40"/>
                <w:vertAlign w:val="baseline"/>
                <w:lang w:val="en-US" w:eastAsia="zh-CN"/>
              </w:rPr>
              <w:t>40</w:t>
            </w:r>
          </w:p>
        </w:tc>
        <w:tc>
          <w:tcPr>
            <w:tcW w:w="826" w:type="dxa"/>
            <w:shd w:val="clear" w:color="auto" w:fill="auto"/>
            <w:vAlign w:val="center"/>
          </w:tcPr>
          <w:p w14:paraId="0B2C0D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kern w:val="2"/>
                <w:sz w:val="32"/>
                <w:szCs w:val="40"/>
                <w:vertAlign w:val="baseline"/>
                <w:lang w:val="en-US" w:eastAsia="zh-CN" w:bidi="ar-SA"/>
              </w:rPr>
            </w:pPr>
            <w:r>
              <w:rPr>
                <w:rFonts w:hint="eastAsia" w:ascii="Times New Roman" w:hAnsi="Times New Roman" w:cs="宋体"/>
                <w:color w:val="000000"/>
                <w:kern w:val="0"/>
                <w:szCs w:val="21"/>
              </w:rPr>
              <w:t>实施效益</w:t>
            </w:r>
          </w:p>
        </w:tc>
        <w:tc>
          <w:tcPr>
            <w:tcW w:w="830" w:type="dxa"/>
            <w:shd w:val="clear" w:color="auto" w:fill="auto"/>
            <w:vAlign w:val="center"/>
          </w:tcPr>
          <w:p w14:paraId="69A38C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kern w:val="2"/>
                <w:sz w:val="32"/>
                <w:szCs w:val="40"/>
                <w:vertAlign w:val="baseline"/>
                <w:lang w:val="en-US" w:eastAsia="zh-CN" w:bidi="ar-SA"/>
              </w:rPr>
            </w:pPr>
            <w:r>
              <w:rPr>
                <w:rFonts w:hint="eastAsia" w:ascii="Times New Roman" w:hAnsi="Times New Roman" w:cs="宋体"/>
                <w:color w:val="000000"/>
                <w:kern w:val="0"/>
                <w:szCs w:val="21"/>
                <w:lang w:val="en-US" w:eastAsia="zh-CN"/>
              </w:rPr>
              <w:t>20</w:t>
            </w:r>
          </w:p>
        </w:tc>
        <w:tc>
          <w:tcPr>
            <w:tcW w:w="3837" w:type="dxa"/>
            <w:shd w:val="clear" w:color="auto" w:fill="FFFFFF"/>
            <w:vAlign w:val="center"/>
          </w:tcPr>
          <w:p w14:paraId="1EDA09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项目实施所产生的效益。</w:t>
            </w:r>
          </w:p>
        </w:tc>
        <w:tc>
          <w:tcPr>
            <w:tcW w:w="3837" w:type="dxa"/>
            <w:shd w:val="clear" w:color="auto" w:fill="FFFFFF"/>
            <w:vAlign w:val="center"/>
          </w:tcPr>
          <w:p w14:paraId="7D33213A">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项目实施所产生的社会效益、经济效益、生态效益、可持续影响等。可根据项目实际情况有选择地设置和细化。</w:t>
            </w:r>
          </w:p>
        </w:tc>
      </w:tr>
      <w:tr w14:paraId="409B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056" w:type="dxa"/>
            <w:vMerge w:val="continue"/>
            <w:vAlign w:val="center"/>
          </w:tcPr>
          <w:p w14:paraId="4C3036AA">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8" w:type="dxa"/>
            <w:vMerge w:val="continue"/>
            <w:vAlign w:val="center"/>
          </w:tcPr>
          <w:p w14:paraId="06FBC17E">
            <w:pPr>
              <w:keepNext w:val="0"/>
              <w:keepLines w:val="0"/>
              <w:pageBreakBefore w:val="0"/>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vMerge w:val="continue"/>
            <w:vAlign w:val="center"/>
          </w:tcPr>
          <w:p w14:paraId="3D17B1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8" w:type="dxa"/>
            <w:vMerge w:val="continue"/>
            <w:vAlign w:val="center"/>
          </w:tcPr>
          <w:p w14:paraId="7CDC24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sz w:val="32"/>
                <w:szCs w:val="40"/>
                <w:vertAlign w:val="baseline"/>
                <w:lang w:val="en-US" w:eastAsia="zh-CN"/>
              </w:rPr>
            </w:pPr>
          </w:p>
        </w:tc>
        <w:tc>
          <w:tcPr>
            <w:tcW w:w="826" w:type="dxa"/>
            <w:shd w:val="clear" w:color="auto" w:fill="auto"/>
            <w:vAlign w:val="center"/>
          </w:tcPr>
          <w:p w14:paraId="1F575B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kern w:val="2"/>
                <w:sz w:val="32"/>
                <w:szCs w:val="40"/>
                <w:vertAlign w:val="baseline"/>
                <w:lang w:val="en-US" w:eastAsia="zh-CN" w:bidi="ar-SA"/>
              </w:rPr>
            </w:pPr>
            <w:r>
              <w:rPr>
                <w:rFonts w:hint="eastAsia" w:ascii="Times New Roman" w:hAnsi="Times New Roman" w:cs="宋体"/>
                <w:color w:val="000000"/>
                <w:kern w:val="0"/>
                <w:szCs w:val="21"/>
              </w:rPr>
              <w:t>满意度</w:t>
            </w:r>
          </w:p>
        </w:tc>
        <w:tc>
          <w:tcPr>
            <w:tcW w:w="830" w:type="dxa"/>
            <w:shd w:val="clear" w:color="auto" w:fill="auto"/>
            <w:vAlign w:val="center"/>
          </w:tcPr>
          <w:p w14:paraId="4DFFA1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_GB2312" w:cs="仿宋_GB2312"/>
                <w:kern w:val="2"/>
                <w:sz w:val="32"/>
                <w:szCs w:val="40"/>
                <w:vertAlign w:val="baseline"/>
                <w:lang w:val="en-US" w:eastAsia="zh-CN" w:bidi="ar-SA"/>
              </w:rPr>
            </w:pPr>
            <w:r>
              <w:rPr>
                <w:rFonts w:hint="eastAsia" w:ascii="Times New Roman" w:hAnsi="Times New Roman" w:cs="宋体"/>
                <w:color w:val="000000"/>
                <w:kern w:val="0"/>
                <w:szCs w:val="21"/>
                <w:lang w:val="en-US" w:eastAsia="zh-CN"/>
              </w:rPr>
              <w:t>20</w:t>
            </w:r>
          </w:p>
        </w:tc>
        <w:tc>
          <w:tcPr>
            <w:tcW w:w="3837" w:type="dxa"/>
            <w:shd w:val="clear" w:color="000000" w:fill="FFFFFF"/>
            <w:vAlign w:val="center"/>
          </w:tcPr>
          <w:p w14:paraId="16E612B0">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社会公众或服务对象对项目实施效果的满意程度。</w:t>
            </w:r>
          </w:p>
        </w:tc>
        <w:tc>
          <w:tcPr>
            <w:tcW w:w="3837" w:type="dxa"/>
            <w:shd w:val="clear" w:color="000000" w:fill="FFFFFF"/>
            <w:vAlign w:val="center"/>
          </w:tcPr>
          <w:p w14:paraId="7FF50D92">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cs="宋体" w:eastAsiaTheme="minorEastAsia"/>
                <w:color w:val="000000"/>
                <w:kern w:val="0"/>
                <w:sz w:val="21"/>
                <w:szCs w:val="21"/>
                <w:lang w:val="en-US" w:eastAsia="zh-CN" w:bidi="ar-SA"/>
              </w:rPr>
            </w:pPr>
            <w:r>
              <w:rPr>
                <w:rFonts w:hint="eastAsia" w:ascii="Times New Roman" w:hAnsi="Times New Roman" w:cs="宋体"/>
                <w:color w:val="000000"/>
                <w:kern w:val="0"/>
                <w:szCs w:val="21"/>
              </w:rPr>
              <w:t>社会公众或服务对象是指因该项目实施而受到影响的部门（单位）、群体或个人。一般采取社会调查的方式。</w:t>
            </w:r>
          </w:p>
        </w:tc>
      </w:tr>
    </w:tbl>
    <w:p w14:paraId="16E9155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黑体"/>
          <w:sz w:val="32"/>
          <w:szCs w:val="40"/>
          <w:lang w:val="en-US" w:eastAsia="zh-CN"/>
        </w:rPr>
        <w:sectPr>
          <w:pgSz w:w="16838" w:h="11906" w:orient="landscape"/>
          <w:pgMar w:top="1701" w:right="2041" w:bottom="1701" w:left="2041" w:header="851" w:footer="1361" w:gutter="0"/>
          <w:pgNumType w:fmt="decimal"/>
          <w:cols w:space="0" w:num="1"/>
          <w:rtlGutter w:val="0"/>
          <w:docGrid w:linePitch="312" w:charSpace="0"/>
        </w:sectPr>
      </w:pPr>
    </w:p>
    <w:p w14:paraId="52F1F71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黑体"/>
          <w:sz w:val="32"/>
          <w:szCs w:val="40"/>
          <w:lang w:val="en-US" w:eastAsia="zh-CN"/>
        </w:rPr>
      </w:pPr>
      <w:r>
        <w:rPr>
          <w:rFonts w:hint="eastAsia" w:ascii="Times New Roman" w:hAnsi="Times New Roman" w:eastAsia="黑体" w:cs="黑体"/>
          <w:sz w:val="32"/>
          <w:szCs w:val="40"/>
          <w:lang w:val="en-US" w:eastAsia="zh-CN"/>
        </w:rPr>
        <w:t>附件2：</w:t>
      </w:r>
    </w:p>
    <w:p w14:paraId="371465F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36"/>
          <w:szCs w:val="44"/>
          <w:lang w:val="en-US" w:eastAsia="zh-CN"/>
        </w:rPr>
      </w:pPr>
      <w:r>
        <w:rPr>
          <w:rFonts w:hint="eastAsia" w:ascii="Times New Roman" w:hAnsi="Times New Roman" w:eastAsia="方正小标宋简体" w:cs="方正小标宋简体"/>
          <w:sz w:val="36"/>
          <w:szCs w:val="44"/>
          <w:lang w:val="en-US" w:eastAsia="zh-CN"/>
        </w:rPr>
        <w:t>企业退休独生子女父母奖励扶助项目绩效评价得分表</w:t>
      </w:r>
    </w:p>
    <w:tbl>
      <w:tblPr>
        <w:tblStyle w:val="6"/>
        <w:tblW w:w="0" w:type="auto"/>
        <w:tblInd w:w="1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8"/>
        <w:gridCol w:w="1368"/>
        <w:gridCol w:w="1898"/>
        <w:gridCol w:w="629"/>
        <w:gridCol w:w="935"/>
        <w:gridCol w:w="3659"/>
        <w:gridCol w:w="2794"/>
      </w:tblGrid>
      <w:tr w14:paraId="4F473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Align w:val="center"/>
          </w:tcPr>
          <w:p w14:paraId="20BCB1DB">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一级指标</w:t>
            </w:r>
          </w:p>
        </w:tc>
        <w:tc>
          <w:tcPr>
            <w:tcW w:w="1368" w:type="dxa"/>
            <w:vAlign w:val="center"/>
          </w:tcPr>
          <w:p w14:paraId="53A0C264">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二级指标</w:t>
            </w:r>
          </w:p>
        </w:tc>
        <w:tc>
          <w:tcPr>
            <w:tcW w:w="1898" w:type="dxa"/>
            <w:vAlign w:val="center"/>
          </w:tcPr>
          <w:p w14:paraId="3F7665B8">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三级指标</w:t>
            </w:r>
          </w:p>
        </w:tc>
        <w:tc>
          <w:tcPr>
            <w:tcW w:w="629" w:type="dxa"/>
            <w:vAlign w:val="center"/>
          </w:tcPr>
          <w:p w14:paraId="6A351474">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得分</w:t>
            </w:r>
          </w:p>
        </w:tc>
        <w:tc>
          <w:tcPr>
            <w:tcW w:w="935" w:type="dxa"/>
            <w:vAlign w:val="center"/>
          </w:tcPr>
          <w:p w14:paraId="05AAE3AD">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得分率</w:t>
            </w:r>
          </w:p>
        </w:tc>
        <w:tc>
          <w:tcPr>
            <w:tcW w:w="3659" w:type="dxa"/>
            <w:vAlign w:val="center"/>
          </w:tcPr>
          <w:p w14:paraId="408AE803">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评分依据</w:t>
            </w:r>
          </w:p>
        </w:tc>
        <w:tc>
          <w:tcPr>
            <w:tcW w:w="2794" w:type="dxa"/>
            <w:vAlign w:val="center"/>
          </w:tcPr>
          <w:p w14:paraId="4FBCC758">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黑体" w:cs="黑体"/>
                <w:sz w:val="24"/>
                <w:szCs w:val="24"/>
                <w:vertAlign w:val="baseline"/>
                <w:lang w:val="en-US" w:eastAsia="zh-CN"/>
              </w:rPr>
            </w:pPr>
            <w:r>
              <w:rPr>
                <w:rFonts w:hint="eastAsia" w:ascii="Times New Roman" w:hAnsi="Times New Roman" w:eastAsia="黑体" w:cs="黑体"/>
                <w:sz w:val="24"/>
                <w:szCs w:val="24"/>
                <w:vertAlign w:val="baseline"/>
                <w:lang w:val="en-US" w:eastAsia="zh-CN"/>
              </w:rPr>
              <w:t>依据来源</w:t>
            </w:r>
          </w:p>
        </w:tc>
      </w:tr>
      <w:tr w14:paraId="3C95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Merge w:val="restart"/>
            <w:vAlign w:val="center"/>
          </w:tcPr>
          <w:p w14:paraId="6B7F9682">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r>
              <w:rPr>
                <w:rFonts w:hint="eastAsia" w:ascii="Times New Roman" w:hAnsi="Times New Roman" w:eastAsiaTheme="minorEastAsia" w:cstheme="minorEastAsia"/>
                <w:sz w:val="24"/>
                <w:szCs w:val="24"/>
                <w:vertAlign w:val="baseline"/>
                <w:lang w:val="en-US" w:eastAsia="zh-CN"/>
              </w:rPr>
              <w:t>决策</w:t>
            </w:r>
          </w:p>
        </w:tc>
        <w:tc>
          <w:tcPr>
            <w:tcW w:w="1368" w:type="dxa"/>
            <w:vAlign w:val="center"/>
          </w:tcPr>
          <w:p w14:paraId="685112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项目立项</w:t>
            </w:r>
          </w:p>
        </w:tc>
        <w:tc>
          <w:tcPr>
            <w:tcW w:w="1898" w:type="dxa"/>
          </w:tcPr>
          <w:p w14:paraId="41FE6B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cs="宋体"/>
                <w:color w:val="000000"/>
                <w:kern w:val="0"/>
                <w:szCs w:val="21"/>
              </w:rPr>
            </w:pPr>
            <w:r>
              <w:rPr>
                <w:rFonts w:hint="eastAsia" w:ascii="Times New Roman" w:hAnsi="Times New Roman" w:cs="宋体"/>
                <w:color w:val="000000"/>
                <w:kern w:val="0"/>
                <w:szCs w:val="21"/>
              </w:rPr>
              <w:t>立项依据</w:t>
            </w:r>
          </w:p>
          <w:p w14:paraId="559504B4">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rPr>
              <w:t>充分性</w:t>
            </w:r>
            <w:r>
              <w:rPr>
                <w:rFonts w:hint="eastAsia" w:ascii="Times New Roman" w:hAnsi="Times New Roman" w:cs="宋体"/>
                <w:color w:val="000000"/>
                <w:kern w:val="0"/>
                <w:szCs w:val="21"/>
                <w:lang w:eastAsia="zh-CN"/>
              </w:rPr>
              <w:t>、规范性</w:t>
            </w:r>
          </w:p>
        </w:tc>
        <w:tc>
          <w:tcPr>
            <w:tcW w:w="629" w:type="dxa"/>
            <w:vAlign w:val="center"/>
          </w:tcPr>
          <w:p w14:paraId="572A84D5">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5</w:t>
            </w:r>
          </w:p>
        </w:tc>
        <w:tc>
          <w:tcPr>
            <w:tcW w:w="935" w:type="dxa"/>
            <w:vAlign w:val="center"/>
          </w:tcPr>
          <w:p w14:paraId="29527900">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100%</w:t>
            </w:r>
          </w:p>
        </w:tc>
        <w:tc>
          <w:tcPr>
            <w:tcW w:w="3659" w:type="dxa"/>
          </w:tcPr>
          <w:p w14:paraId="56B06788">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符合法律法规、相关政策、发展规划以及部门职责</w:t>
            </w:r>
          </w:p>
        </w:tc>
        <w:tc>
          <w:tcPr>
            <w:tcW w:w="2794" w:type="dxa"/>
          </w:tcPr>
          <w:p w14:paraId="13317B17">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r w14:paraId="6EE1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Merge w:val="continue"/>
            <w:vAlign w:val="center"/>
          </w:tcPr>
          <w:p w14:paraId="46E40737">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p>
        </w:tc>
        <w:tc>
          <w:tcPr>
            <w:tcW w:w="1368" w:type="dxa"/>
            <w:vAlign w:val="center"/>
          </w:tcPr>
          <w:p w14:paraId="6CB51D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绩效目标</w:t>
            </w:r>
          </w:p>
        </w:tc>
        <w:tc>
          <w:tcPr>
            <w:tcW w:w="1898" w:type="dxa"/>
          </w:tcPr>
          <w:p w14:paraId="398330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cs="宋体"/>
                <w:color w:val="000000"/>
                <w:kern w:val="0"/>
                <w:szCs w:val="21"/>
              </w:rPr>
            </w:pPr>
            <w:r>
              <w:rPr>
                <w:rFonts w:hint="eastAsia" w:ascii="Times New Roman" w:hAnsi="Times New Roman" w:cs="宋体"/>
                <w:color w:val="000000"/>
                <w:kern w:val="0"/>
                <w:szCs w:val="21"/>
              </w:rPr>
              <w:t>绩效目标</w:t>
            </w:r>
          </w:p>
          <w:p w14:paraId="4F27C8CE">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合理性</w:t>
            </w:r>
          </w:p>
        </w:tc>
        <w:tc>
          <w:tcPr>
            <w:tcW w:w="629" w:type="dxa"/>
            <w:vAlign w:val="center"/>
          </w:tcPr>
          <w:p w14:paraId="3B28C977">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2</w:t>
            </w:r>
          </w:p>
        </w:tc>
        <w:tc>
          <w:tcPr>
            <w:tcW w:w="935" w:type="dxa"/>
            <w:vAlign w:val="center"/>
          </w:tcPr>
          <w:p w14:paraId="105CF60F">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100%</w:t>
            </w:r>
          </w:p>
        </w:tc>
        <w:tc>
          <w:tcPr>
            <w:tcW w:w="3659" w:type="dxa"/>
          </w:tcPr>
          <w:p w14:paraId="57DEF921">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项目预期产出效益和效果是否符合正常的业绩水平</w:t>
            </w:r>
          </w:p>
        </w:tc>
        <w:tc>
          <w:tcPr>
            <w:tcW w:w="2794" w:type="dxa"/>
          </w:tcPr>
          <w:p w14:paraId="26B2D414">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r w14:paraId="4B0D7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Merge w:val="restart"/>
            <w:vAlign w:val="center"/>
          </w:tcPr>
          <w:p w14:paraId="247DB615">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r>
              <w:rPr>
                <w:rFonts w:hint="eastAsia" w:ascii="Times New Roman" w:hAnsi="Times New Roman" w:eastAsiaTheme="minorEastAsia" w:cstheme="minorEastAsia"/>
                <w:sz w:val="24"/>
                <w:szCs w:val="24"/>
                <w:vertAlign w:val="baseline"/>
                <w:lang w:val="en-US" w:eastAsia="zh-CN"/>
              </w:rPr>
              <w:t>过程</w:t>
            </w:r>
          </w:p>
        </w:tc>
        <w:tc>
          <w:tcPr>
            <w:tcW w:w="1368" w:type="dxa"/>
            <w:vMerge w:val="restart"/>
            <w:vAlign w:val="center"/>
          </w:tcPr>
          <w:p w14:paraId="36CE14EC">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rPr>
              <w:t>资金</w:t>
            </w:r>
            <w:r>
              <w:rPr>
                <w:rFonts w:hint="eastAsia" w:ascii="Times New Roman" w:hAnsi="Times New Roman" w:cs="宋体"/>
                <w:color w:val="000000"/>
                <w:kern w:val="0"/>
                <w:szCs w:val="21"/>
                <w:lang w:eastAsia="zh-CN"/>
              </w:rPr>
              <w:t>管理</w:t>
            </w:r>
          </w:p>
        </w:tc>
        <w:tc>
          <w:tcPr>
            <w:tcW w:w="1898" w:type="dxa"/>
          </w:tcPr>
          <w:p w14:paraId="3B84640E">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rPr>
              <w:t>资金到位率</w:t>
            </w:r>
            <w:r>
              <w:rPr>
                <w:rFonts w:hint="eastAsia" w:ascii="Times New Roman" w:hAnsi="Times New Roman" w:cs="宋体"/>
                <w:color w:val="000000"/>
                <w:kern w:val="0"/>
                <w:szCs w:val="21"/>
                <w:lang w:eastAsia="zh-CN"/>
              </w:rPr>
              <w:t>、使用合规率、预算执行率</w:t>
            </w:r>
          </w:p>
        </w:tc>
        <w:tc>
          <w:tcPr>
            <w:tcW w:w="629" w:type="dxa"/>
            <w:vAlign w:val="center"/>
          </w:tcPr>
          <w:p w14:paraId="4F3EA462">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13</w:t>
            </w:r>
          </w:p>
        </w:tc>
        <w:tc>
          <w:tcPr>
            <w:tcW w:w="935" w:type="dxa"/>
            <w:shd w:val="clear" w:color="auto" w:fill="auto"/>
            <w:vAlign w:val="center"/>
          </w:tcPr>
          <w:p w14:paraId="39A345F1">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宋体" w:cs="宋体"/>
                <w:kern w:val="2"/>
                <w:sz w:val="21"/>
                <w:szCs w:val="21"/>
                <w:vertAlign w:val="baseline"/>
                <w:lang w:val="en-US" w:eastAsia="zh-CN" w:bidi="ar-SA"/>
              </w:rPr>
            </w:pPr>
            <w:r>
              <w:rPr>
                <w:rFonts w:hint="eastAsia" w:ascii="Times New Roman" w:hAnsi="Times New Roman" w:eastAsia="宋体" w:cs="宋体"/>
                <w:sz w:val="21"/>
                <w:szCs w:val="21"/>
                <w:vertAlign w:val="baseline"/>
                <w:lang w:val="en-US" w:eastAsia="zh-CN"/>
              </w:rPr>
              <w:t>100%</w:t>
            </w:r>
          </w:p>
        </w:tc>
        <w:tc>
          <w:tcPr>
            <w:tcW w:w="3659" w:type="dxa"/>
          </w:tcPr>
          <w:p w14:paraId="05EFCA59">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rPr>
              <w:t>项目完成的质量达标产出数与实际产出数的比</w:t>
            </w:r>
            <w:r>
              <w:rPr>
                <w:rFonts w:hint="eastAsia" w:ascii="Times New Roman" w:hAnsi="Times New Roman" w:cs="宋体"/>
                <w:color w:val="000000"/>
                <w:kern w:val="0"/>
                <w:szCs w:val="21"/>
                <w:lang w:eastAsia="zh-CN"/>
              </w:rPr>
              <w:t>率</w:t>
            </w:r>
            <w:r>
              <w:rPr>
                <w:rFonts w:hint="eastAsia" w:ascii="Times New Roman" w:hAnsi="Times New Roman" w:cs="宋体"/>
                <w:color w:val="000000"/>
                <w:kern w:val="0"/>
                <w:szCs w:val="21"/>
                <w:lang w:val="en-US" w:eastAsia="zh-CN"/>
              </w:rPr>
              <w:t>100%。</w:t>
            </w:r>
          </w:p>
        </w:tc>
        <w:tc>
          <w:tcPr>
            <w:tcW w:w="2794" w:type="dxa"/>
          </w:tcPr>
          <w:p w14:paraId="2B4C57ED">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r w14:paraId="1D34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Merge w:val="continue"/>
            <w:vAlign w:val="center"/>
          </w:tcPr>
          <w:p w14:paraId="108A954B">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p>
        </w:tc>
        <w:tc>
          <w:tcPr>
            <w:tcW w:w="1368" w:type="dxa"/>
            <w:vMerge w:val="continue"/>
            <w:vAlign w:val="center"/>
          </w:tcPr>
          <w:p w14:paraId="2ED6FC6D">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p>
        </w:tc>
        <w:tc>
          <w:tcPr>
            <w:tcW w:w="1898" w:type="dxa"/>
          </w:tcPr>
          <w:p w14:paraId="5C9020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ascii="Times New Roman" w:hAnsi="Times New Roman" w:cs="宋体"/>
                <w:color w:val="000000"/>
                <w:kern w:val="0"/>
                <w:szCs w:val="21"/>
              </w:rPr>
            </w:pPr>
            <w:r>
              <w:rPr>
                <w:rFonts w:hint="eastAsia" w:ascii="Times New Roman" w:hAnsi="Times New Roman" w:cs="宋体"/>
                <w:color w:val="000000"/>
                <w:kern w:val="0"/>
                <w:szCs w:val="21"/>
              </w:rPr>
              <w:t>管理制度</w:t>
            </w:r>
          </w:p>
          <w:p w14:paraId="559633F2">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eastAsia"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rPr>
              <w:t>健全性</w:t>
            </w:r>
            <w:r>
              <w:rPr>
                <w:rFonts w:hint="eastAsia" w:ascii="Times New Roman" w:hAnsi="Times New Roman" w:cs="宋体"/>
                <w:color w:val="000000"/>
                <w:kern w:val="0"/>
                <w:szCs w:val="21"/>
                <w:lang w:eastAsia="zh-CN"/>
              </w:rPr>
              <w:t>、有效性</w:t>
            </w:r>
          </w:p>
        </w:tc>
        <w:tc>
          <w:tcPr>
            <w:tcW w:w="629" w:type="dxa"/>
            <w:vAlign w:val="center"/>
          </w:tcPr>
          <w:p w14:paraId="534AC2E1">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12</w:t>
            </w:r>
          </w:p>
        </w:tc>
        <w:tc>
          <w:tcPr>
            <w:tcW w:w="935" w:type="dxa"/>
            <w:shd w:val="clear" w:color="auto" w:fill="auto"/>
            <w:vAlign w:val="center"/>
          </w:tcPr>
          <w:p w14:paraId="0FEC59BE">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0" w:firstLineChars="0"/>
              <w:jc w:val="center"/>
              <w:textAlignment w:val="auto"/>
              <w:rPr>
                <w:rFonts w:hint="eastAsia" w:ascii="Times New Roman" w:hAnsi="Times New Roman" w:eastAsia="宋体" w:cs="宋体"/>
                <w:kern w:val="2"/>
                <w:sz w:val="21"/>
                <w:szCs w:val="21"/>
                <w:vertAlign w:val="baseline"/>
                <w:lang w:val="en-US" w:eastAsia="zh-CN" w:bidi="ar-SA"/>
              </w:rPr>
            </w:pPr>
            <w:r>
              <w:rPr>
                <w:rFonts w:hint="eastAsia" w:ascii="Times New Roman" w:hAnsi="Times New Roman" w:eastAsia="宋体" w:cs="宋体"/>
                <w:sz w:val="21"/>
                <w:szCs w:val="21"/>
                <w:vertAlign w:val="baseline"/>
                <w:lang w:val="en-US" w:eastAsia="zh-CN"/>
              </w:rPr>
              <w:t>100%</w:t>
            </w:r>
          </w:p>
        </w:tc>
        <w:tc>
          <w:tcPr>
            <w:tcW w:w="3659" w:type="dxa"/>
          </w:tcPr>
          <w:p w14:paraId="13AFC0EF">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项目实施单位的财务和业务管理制度健全</w:t>
            </w:r>
          </w:p>
        </w:tc>
        <w:tc>
          <w:tcPr>
            <w:tcW w:w="2794" w:type="dxa"/>
          </w:tcPr>
          <w:p w14:paraId="4738CBE8">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r w14:paraId="0532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368" w:type="dxa"/>
            <w:vMerge w:val="restart"/>
            <w:vAlign w:val="center"/>
          </w:tcPr>
          <w:p w14:paraId="7AABED9D">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r>
              <w:rPr>
                <w:rFonts w:hint="eastAsia" w:ascii="Times New Roman" w:hAnsi="Times New Roman" w:eastAsiaTheme="minorEastAsia" w:cstheme="minorEastAsia"/>
                <w:sz w:val="24"/>
                <w:szCs w:val="24"/>
                <w:vertAlign w:val="baseline"/>
                <w:lang w:val="en-US" w:eastAsia="zh-CN"/>
              </w:rPr>
              <w:t>产出</w:t>
            </w:r>
          </w:p>
        </w:tc>
        <w:tc>
          <w:tcPr>
            <w:tcW w:w="1368" w:type="dxa"/>
            <w:vAlign w:val="center"/>
          </w:tcPr>
          <w:p w14:paraId="350938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产出数量</w:t>
            </w:r>
          </w:p>
        </w:tc>
        <w:tc>
          <w:tcPr>
            <w:tcW w:w="1898" w:type="dxa"/>
            <w:vAlign w:val="center"/>
          </w:tcPr>
          <w:p w14:paraId="785A20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实际完成率</w:t>
            </w:r>
          </w:p>
        </w:tc>
        <w:tc>
          <w:tcPr>
            <w:tcW w:w="629" w:type="dxa"/>
            <w:vAlign w:val="center"/>
          </w:tcPr>
          <w:p w14:paraId="49A18B8C">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6</w:t>
            </w:r>
          </w:p>
        </w:tc>
        <w:tc>
          <w:tcPr>
            <w:tcW w:w="935" w:type="dxa"/>
            <w:vAlign w:val="center"/>
          </w:tcPr>
          <w:p w14:paraId="70FE6CAC">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100%</w:t>
            </w:r>
          </w:p>
        </w:tc>
        <w:tc>
          <w:tcPr>
            <w:tcW w:w="3659" w:type="dxa"/>
          </w:tcPr>
          <w:p w14:paraId="73FDABB9">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rPr>
              <w:t>项目实施的实际产出数与计划产出数的比率</w:t>
            </w:r>
            <w:r>
              <w:rPr>
                <w:rFonts w:hint="eastAsia" w:ascii="Times New Roman" w:hAnsi="Times New Roman" w:cs="宋体"/>
                <w:color w:val="000000"/>
                <w:kern w:val="0"/>
                <w:szCs w:val="21"/>
                <w:lang w:val="en-US" w:eastAsia="zh-CN"/>
              </w:rPr>
              <w:t>100%</w:t>
            </w:r>
          </w:p>
        </w:tc>
        <w:tc>
          <w:tcPr>
            <w:tcW w:w="2794" w:type="dxa"/>
          </w:tcPr>
          <w:p w14:paraId="4742F93C">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r w14:paraId="31F2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Merge w:val="continue"/>
            <w:vAlign w:val="center"/>
          </w:tcPr>
          <w:p w14:paraId="14B2F506">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p>
        </w:tc>
        <w:tc>
          <w:tcPr>
            <w:tcW w:w="1368" w:type="dxa"/>
            <w:vAlign w:val="center"/>
          </w:tcPr>
          <w:p w14:paraId="4257A9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产出质量</w:t>
            </w:r>
          </w:p>
        </w:tc>
        <w:tc>
          <w:tcPr>
            <w:tcW w:w="1898" w:type="dxa"/>
            <w:vAlign w:val="center"/>
          </w:tcPr>
          <w:p w14:paraId="4CB760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质量达标率</w:t>
            </w:r>
          </w:p>
        </w:tc>
        <w:tc>
          <w:tcPr>
            <w:tcW w:w="629" w:type="dxa"/>
            <w:vAlign w:val="center"/>
          </w:tcPr>
          <w:p w14:paraId="57C7C78F">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8</w:t>
            </w:r>
          </w:p>
        </w:tc>
        <w:tc>
          <w:tcPr>
            <w:tcW w:w="935" w:type="dxa"/>
            <w:vAlign w:val="center"/>
          </w:tcPr>
          <w:p w14:paraId="22EEE1AA">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宋体" w:cs="宋体"/>
                <w:sz w:val="21"/>
                <w:szCs w:val="21"/>
                <w:vertAlign w:val="baseline"/>
                <w:lang w:val="en-US" w:eastAsia="zh-CN"/>
              </w:rPr>
            </w:pPr>
            <w:r>
              <w:rPr>
                <w:rFonts w:hint="eastAsia" w:ascii="Times New Roman" w:hAnsi="Times New Roman" w:eastAsia="宋体" w:cs="宋体"/>
                <w:sz w:val="21"/>
                <w:szCs w:val="21"/>
                <w:vertAlign w:val="baseline"/>
                <w:lang w:val="en-US" w:eastAsia="zh-CN"/>
              </w:rPr>
              <w:t>100%</w:t>
            </w:r>
          </w:p>
        </w:tc>
        <w:tc>
          <w:tcPr>
            <w:tcW w:w="3659" w:type="dxa"/>
          </w:tcPr>
          <w:p w14:paraId="6FB7C6E6">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rPr>
              <w:t>项目完成的质量达标产出数与实际产出数的比率</w:t>
            </w:r>
            <w:r>
              <w:rPr>
                <w:rFonts w:hint="eastAsia" w:ascii="Times New Roman" w:hAnsi="Times New Roman" w:cs="宋体"/>
                <w:color w:val="000000"/>
                <w:kern w:val="0"/>
                <w:szCs w:val="21"/>
                <w:lang w:val="en-US" w:eastAsia="zh-CN"/>
              </w:rPr>
              <w:t>100%</w:t>
            </w:r>
          </w:p>
        </w:tc>
        <w:tc>
          <w:tcPr>
            <w:tcW w:w="2794" w:type="dxa"/>
          </w:tcPr>
          <w:p w14:paraId="3DA30B8A">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r w14:paraId="3135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Merge w:val="continue"/>
            <w:vAlign w:val="center"/>
          </w:tcPr>
          <w:p w14:paraId="091B707D">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p>
        </w:tc>
        <w:tc>
          <w:tcPr>
            <w:tcW w:w="1368" w:type="dxa"/>
            <w:vAlign w:val="center"/>
          </w:tcPr>
          <w:p w14:paraId="2FF5044B">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产出质量</w:t>
            </w:r>
          </w:p>
        </w:tc>
        <w:tc>
          <w:tcPr>
            <w:tcW w:w="1898" w:type="dxa"/>
            <w:vAlign w:val="center"/>
          </w:tcPr>
          <w:p w14:paraId="48A1F4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完成及时性</w:t>
            </w:r>
          </w:p>
        </w:tc>
        <w:tc>
          <w:tcPr>
            <w:tcW w:w="629" w:type="dxa"/>
            <w:vAlign w:val="center"/>
          </w:tcPr>
          <w:p w14:paraId="5D863EB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lang w:val="en-US" w:eastAsia="zh-CN"/>
              </w:rPr>
              <w:t>3</w:t>
            </w:r>
          </w:p>
        </w:tc>
        <w:tc>
          <w:tcPr>
            <w:tcW w:w="935" w:type="dxa"/>
            <w:shd w:val="clear" w:color="auto" w:fill="auto"/>
            <w:vAlign w:val="center"/>
          </w:tcPr>
          <w:p w14:paraId="439D6C3F">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宋体"/>
                <w:kern w:val="2"/>
                <w:sz w:val="21"/>
                <w:szCs w:val="21"/>
                <w:vertAlign w:val="baseline"/>
                <w:lang w:val="en-US" w:eastAsia="zh-CN" w:bidi="ar-SA"/>
              </w:rPr>
            </w:pPr>
            <w:r>
              <w:rPr>
                <w:rFonts w:hint="eastAsia" w:ascii="Times New Roman" w:hAnsi="Times New Roman" w:eastAsia="宋体" w:cs="宋体"/>
                <w:sz w:val="21"/>
                <w:szCs w:val="21"/>
                <w:vertAlign w:val="baseline"/>
                <w:lang w:val="en-US" w:eastAsia="zh-CN"/>
              </w:rPr>
              <w:t>100%</w:t>
            </w:r>
          </w:p>
        </w:tc>
        <w:tc>
          <w:tcPr>
            <w:tcW w:w="3659" w:type="dxa"/>
          </w:tcPr>
          <w:p w14:paraId="6C36E7D3">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rPr>
              <w:t>项目实际完成时间与计划完成时间的比较</w:t>
            </w:r>
            <w:r>
              <w:rPr>
                <w:rFonts w:hint="eastAsia" w:ascii="Times New Roman" w:hAnsi="Times New Roman" w:cs="宋体"/>
                <w:color w:val="000000"/>
                <w:kern w:val="0"/>
                <w:szCs w:val="21"/>
                <w:lang w:val="en-US" w:eastAsia="zh-CN"/>
              </w:rPr>
              <w:t>100%</w:t>
            </w:r>
          </w:p>
        </w:tc>
        <w:tc>
          <w:tcPr>
            <w:tcW w:w="2794" w:type="dxa"/>
          </w:tcPr>
          <w:p w14:paraId="3BCFD8A1">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r w14:paraId="5DC8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Merge w:val="continue"/>
            <w:vAlign w:val="center"/>
          </w:tcPr>
          <w:p w14:paraId="3CD55FF4">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p>
        </w:tc>
        <w:tc>
          <w:tcPr>
            <w:tcW w:w="1368" w:type="dxa"/>
            <w:vAlign w:val="center"/>
          </w:tcPr>
          <w:p w14:paraId="144973AC">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cs="宋体" w:eastAsiaTheme="minorEastAsia"/>
                <w:color w:val="000000"/>
                <w:kern w:val="0"/>
                <w:szCs w:val="21"/>
                <w:lang w:eastAsia="zh-CN"/>
              </w:rPr>
            </w:pPr>
            <w:r>
              <w:rPr>
                <w:rFonts w:hint="eastAsia" w:ascii="Times New Roman" w:hAnsi="Times New Roman" w:cs="宋体"/>
                <w:color w:val="000000"/>
                <w:kern w:val="0"/>
                <w:szCs w:val="21"/>
                <w:lang w:eastAsia="zh-CN"/>
              </w:rPr>
              <w:t>产出成本</w:t>
            </w:r>
          </w:p>
        </w:tc>
        <w:tc>
          <w:tcPr>
            <w:tcW w:w="1898" w:type="dxa"/>
            <w:vAlign w:val="center"/>
          </w:tcPr>
          <w:p w14:paraId="0F968D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成本节约率</w:t>
            </w:r>
          </w:p>
        </w:tc>
        <w:tc>
          <w:tcPr>
            <w:tcW w:w="629" w:type="dxa"/>
            <w:vAlign w:val="center"/>
          </w:tcPr>
          <w:p w14:paraId="77A45F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lang w:val="en-US" w:eastAsia="zh-CN"/>
              </w:rPr>
              <w:t>3</w:t>
            </w:r>
          </w:p>
        </w:tc>
        <w:tc>
          <w:tcPr>
            <w:tcW w:w="935" w:type="dxa"/>
            <w:shd w:val="clear" w:color="auto" w:fill="auto"/>
            <w:vAlign w:val="center"/>
          </w:tcPr>
          <w:p w14:paraId="16BE0C0D">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0" w:firstLineChars="0"/>
              <w:jc w:val="center"/>
              <w:textAlignment w:val="auto"/>
              <w:rPr>
                <w:rFonts w:hint="default" w:ascii="Times New Roman" w:hAnsi="Times New Roman" w:eastAsia="宋体" w:cs="宋体"/>
                <w:kern w:val="2"/>
                <w:sz w:val="21"/>
                <w:szCs w:val="21"/>
                <w:vertAlign w:val="baseline"/>
                <w:lang w:val="en-US" w:eastAsia="zh-CN" w:bidi="ar-SA"/>
              </w:rPr>
            </w:pPr>
            <w:r>
              <w:rPr>
                <w:rFonts w:hint="eastAsia" w:ascii="Times New Roman" w:hAnsi="Times New Roman" w:eastAsia="宋体" w:cs="宋体"/>
                <w:sz w:val="21"/>
                <w:szCs w:val="21"/>
                <w:vertAlign w:val="baseline"/>
                <w:lang w:val="en-US" w:eastAsia="zh-CN"/>
              </w:rPr>
              <w:t>100%</w:t>
            </w:r>
          </w:p>
        </w:tc>
        <w:tc>
          <w:tcPr>
            <w:tcW w:w="3659" w:type="dxa"/>
          </w:tcPr>
          <w:p w14:paraId="613A6C0E">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rPr>
              <w:t>完成项目计划工作目标的实际节约成本与计划成本的比率</w:t>
            </w:r>
            <w:r>
              <w:rPr>
                <w:rFonts w:hint="eastAsia" w:ascii="Times New Roman" w:hAnsi="Times New Roman" w:cs="宋体"/>
                <w:color w:val="000000"/>
                <w:kern w:val="0"/>
                <w:szCs w:val="21"/>
                <w:lang w:val="en-US" w:eastAsia="zh-CN"/>
              </w:rPr>
              <w:t>100%</w:t>
            </w:r>
          </w:p>
        </w:tc>
        <w:tc>
          <w:tcPr>
            <w:tcW w:w="2794" w:type="dxa"/>
          </w:tcPr>
          <w:p w14:paraId="51179CD6">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r w14:paraId="0CF8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Merge w:val="restart"/>
            <w:vAlign w:val="center"/>
          </w:tcPr>
          <w:p w14:paraId="26B8B5D3">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eastAsia" w:ascii="Times New Roman" w:hAnsi="Times New Roman" w:eastAsiaTheme="minorEastAsia" w:cstheme="minorEastAsia"/>
                <w:sz w:val="24"/>
                <w:szCs w:val="24"/>
                <w:vertAlign w:val="baseline"/>
                <w:lang w:val="en-US" w:eastAsia="zh-CN"/>
              </w:rPr>
            </w:pPr>
            <w:r>
              <w:rPr>
                <w:rFonts w:hint="eastAsia" w:ascii="Times New Roman" w:hAnsi="Times New Roman" w:eastAsiaTheme="minorEastAsia" w:cstheme="minorEastAsia"/>
                <w:sz w:val="24"/>
                <w:szCs w:val="24"/>
                <w:vertAlign w:val="baseline"/>
                <w:lang w:val="en-US" w:eastAsia="zh-CN"/>
              </w:rPr>
              <w:t>效益</w:t>
            </w:r>
          </w:p>
        </w:tc>
        <w:tc>
          <w:tcPr>
            <w:tcW w:w="1368" w:type="dxa"/>
            <w:vAlign w:val="center"/>
          </w:tcPr>
          <w:p w14:paraId="1041A421">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实施效益</w:t>
            </w:r>
          </w:p>
        </w:tc>
        <w:tc>
          <w:tcPr>
            <w:tcW w:w="1898" w:type="dxa"/>
            <w:vAlign w:val="center"/>
          </w:tcPr>
          <w:p w14:paraId="7DAAFC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项目实施所产生的效益。</w:t>
            </w:r>
          </w:p>
        </w:tc>
        <w:tc>
          <w:tcPr>
            <w:tcW w:w="629" w:type="dxa"/>
            <w:vAlign w:val="center"/>
          </w:tcPr>
          <w:p w14:paraId="45DCC576">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lang w:val="en-US" w:eastAsia="zh-CN"/>
              </w:rPr>
              <w:t>20</w:t>
            </w:r>
          </w:p>
        </w:tc>
        <w:tc>
          <w:tcPr>
            <w:tcW w:w="935" w:type="dxa"/>
            <w:vAlign w:val="center"/>
          </w:tcPr>
          <w:p w14:paraId="793312BD">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eastAsia="宋体" w:cs="宋体"/>
                <w:sz w:val="21"/>
                <w:szCs w:val="21"/>
                <w:vertAlign w:val="baseline"/>
                <w:lang w:val="en-US" w:eastAsia="zh-CN"/>
              </w:rPr>
              <w:t>100%</w:t>
            </w:r>
          </w:p>
        </w:tc>
        <w:tc>
          <w:tcPr>
            <w:tcW w:w="3659" w:type="dxa"/>
          </w:tcPr>
          <w:p w14:paraId="04B67776">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eastAsia="宋体" w:cs="宋体"/>
                <w:sz w:val="21"/>
                <w:szCs w:val="21"/>
                <w:vertAlign w:val="baseline"/>
                <w:lang w:val="en-US" w:eastAsia="zh-CN"/>
              </w:rPr>
              <w:t>效益100%</w:t>
            </w:r>
          </w:p>
        </w:tc>
        <w:tc>
          <w:tcPr>
            <w:tcW w:w="2794" w:type="dxa"/>
          </w:tcPr>
          <w:p w14:paraId="047266BE">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r w14:paraId="0990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368" w:type="dxa"/>
            <w:vMerge w:val="continue"/>
          </w:tcPr>
          <w:p w14:paraId="3AAE9524">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c>
          <w:tcPr>
            <w:tcW w:w="1368" w:type="dxa"/>
            <w:vAlign w:val="center"/>
          </w:tcPr>
          <w:p w14:paraId="1BDEF487">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满意度</w:t>
            </w:r>
          </w:p>
        </w:tc>
        <w:tc>
          <w:tcPr>
            <w:tcW w:w="1898" w:type="dxa"/>
            <w:vAlign w:val="center"/>
          </w:tcPr>
          <w:p w14:paraId="73D50380">
            <w:pPr>
              <w:keepNext w:val="0"/>
              <w:keepLines w:val="0"/>
              <w:pageBreakBefore w:val="0"/>
              <w:widowControl/>
              <w:kinsoku/>
              <w:wordWrap/>
              <w:overflowPunct/>
              <w:topLinePunct w:val="0"/>
              <w:autoSpaceDE/>
              <w:autoSpaceDN/>
              <w:bidi w:val="0"/>
              <w:adjustRightInd/>
              <w:snapToGrid/>
              <w:spacing w:line="280" w:lineRule="exact"/>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rPr>
              <w:t>社会公众或服务对象对项目实施效果的满意程度。</w:t>
            </w:r>
          </w:p>
        </w:tc>
        <w:tc>
          <w:tcPr>
            <w:tcW w:w="629" w:type="dxa"/>
            <w:vAlign w:val="center"/>
          </w:tcPr>
          <w:p w14:paraId="76B799D2">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cs="宋体"/>
                <w:color w:val="000000"/>
                <w:kern w:val="0"/>
                <w:szCs w:val="21"/>
                <w:lang w:val="en-US" w:eastAsia="zh-CN"/>
              </w:rPr>
              <w:t>20</w:t>
            </w:r>
          </w:p>
        </w:tc>
        <w:tc>
          <w:tcPr>
            <w:tcW w:w="935" w:type="dxa"/>
            <w:vAlign w:val="center"/>
          </w:tcPr>
          <w:p w14:paraId="7DFBD2D9">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center"/>
              <w:textAlignment w:val="auto"/>
              <w:rPr>
                <w:rFonts w:hint="default" w:ascii="Times New Roman" w:hAnsi="Times New Roman" w:eastAsia="方正小标宋简体" w:cs="方正小标宋简体"/>
                <w:sz w:val="36"/>
                <w:szCs w:val="44"/>
                <w:vertAlign w:val="baseline"/>
                <w:lang w:val="en-US" w:eastAsia="zh-CN"/>
              </w:rPr>
            </w:pPr>
            <w:r>
              <w:rPr>
                <w:rFonts w:hint="eastAsia" w:ascii="Times New Roman" w:hAnsi="Times New Roman" w:eastAsia="宋体" w:cs="宋体"/>
                <w:sz w:val="21"/>
                <w:szCs w:val="21"/>
                <w:vertAlign w:val="baseline"/>
                <w:lang w:val="en-US" w:eastAsia="zh-CN"/>
              </w:rPr>
              <w:t>100%</w:t>
            </w:r>
          </w:p>
        </w:tc>
        <w:tc>
          <w:tcPr>
            <w:tcW w:w="3659" w:type="dxa"/>
          </w:tcPr>
          <w:p w14:paraId="31546369">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cs="方正小标宋简体" w:eastAsiaTheme="minorEastAsia"/>
                <w:sz w:val="36"/>
                <w:szCs w:val="44"/>
                <w:vertAlign w:val="baseline"/>
                <w:lang w:val="en-US" w:eastAsia="zh-CN"/>
              </w:rPr>
            </w:pPr>
            <w:r>
              <w:rPr>
                <w:rFonts w:hint="eastAsia" w:ascii="Times New Roman" w:hAnsi="Times New Roman" w:cs="宋体"/>
                <w:color w:val="000000"/>
                <w:kern w:val="0"/>
                <w:szCs w:val="21"/>
                <w:lang w:eastAsia="zh-CN"/>
              </w:rPr>
              <w:t>满意度达</w:t>
            </w:r>
            <w:r>
              <w:rPr>
                <w:rFonts w:hint="eastAsia" w:ascii="Times New Roman" w:hAnsi="Times New Roman" w:cs="宋体"/>
                <w:color w:val="000000"/>
                <w:kern w:val="0"/>
                <w:szCs w:val="21"/>
                <w:lang w:val="en-US" w:eastAsia="zh-CN"/>
              </w:rPr>
              <w:t>100%</w:t>
            </w:r>
          </w:p>
        </w:tc>
        <w:tc>
          <w:tcPr>
            <w:tcW w:w="2794" w:type="dxa"/>
          </w:tcPr>
          <w:p w14:paraId="24C46050">
            <w:pPr>
              <w:keepNext w:val="0"/>
              <w:keepLines w:val="0"/>
              <w:pageBreakBefore w:val="0"/>
              <w:widowControl w:val="0"/>
              <w:numPr>
                <w:ilvl w:val="0"/>
                <w:numId w:val="0"/>
              </w:numPr>
              <w:kinsoku/>
              <w:wordWrap/>
              <w:overflowPunct/>
              <w:topLinePunct w:val="0"/>
              <w:autoSpaceDE/>
              <w:autoSpaceDN/>
              <w:bidi w:val="0"/>
              <w:adjustRightInd/>
              <w:snapToGrid/>
              <w:spacing w:line="280" w:lineRule="exact"/>
              <w:jc w:val="both"/>
              <w:textAlignment w:val="auto"/>
              <w:rPr>
                <w:rFonts w:hint="default" w:ascii="Times New Roman" w:hAnsi="Times New Roman" w:eastAsia="方正小标宋简体" w:cs="方正小标宋简体"/>
                <w:sz w:val="36"/>
                <w:szCs w:val="44"/>
                <w:vertAlign w:val="baseline"/>
                <w:lang w:val="en-US" w:eastAsia="zh-CN"/>
              </w:rPr>
            </w:pPr>
          </w:p>
        </w:tc>
      </w:tr>
    </w:tbl>
    <w:p w14:paraId="0AFB0D31">
      <w:pPr>
        <w:pStyle w:val="4"/>
        <w:keepNext w:val="0"/>
        <w:keepLines w:val="0"/>
        <w:pageBreakBefore w:val="0"/>
        <w:kinsoku/>
        <w:wordWrap/>
        <w:overflowPunct/>
        <w:topLinePunct w:val="0"/>
        <w:autoSpaceDE/>
        <w:autoSpaceDN/>
        <w:bidi w:val="0"/>
        <w:spacing w:line="560" w:lineRule="exact"/>
        <w:textAlignment w:val="auto"/>
        <w:rPr>
          <w:rFonts w:hint="default" w:ascii="Times New Roman" w:hAnsi="Times New Roman"/>
          <w:lang w:val="en-US" w:eastAsia="zh-CN"/>
        </w:rPr>
        <w:sectPr>
          <w:pgSz w:w="16838" w:h="11906" w:orient="landscape"/>
          <w:pgMar w:top="1701" w:right="2041" w:bottom="1701" w:left="2041" w:header="851" w:footer="1361" w:gutter="0"/>
          <w:pgNumType w:fmt="decimal"/>
          <w:cols w:space="0" w:num="1"/>
          <w:rtlGutter w:val="0"/>
          <w:docGrid w:linePitch="312" w:charSpace="0"/>
        </w:sectPr>
      </w:pPr>
    </w:p>
    <w:p w14:paraId="2A010D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黑体"/>
          <w:sz w:val="32"/>
          <w:szCs w:val="40"/>
          <w:lang w:val="en-US" w:eastAsia="zh-CN"/>
        </w:rPr>
      </w:pPr>
      <w:r>
        <w:rPr>
          <w:rFonts w:hint="eastAsia" w:ascii="Times New Roman" w:hAnsi="Times New Roman" w:eastAsia="黑体" w:cs="黑体"/>
          <w:sz w:val="32"/>
          <w:szCs w:val="40"/>
          <w:lang w:val="en-US" w:eastAsia="zh-CN"/>
        </w:rPr>
        <w:t>附件3：</w:t>
      </w:r>
    </w:p>
    <w:p w14:paraId="25D058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XXXX项目问题清单</w:t>
      </w:r>
    </w:p>
    <w:p w14:paraId="0C2BDEF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32"/>
          <w:szCs w:val="32"/>
          <w:lang w:val="en-US" w:eastAsia="zh-CN"/>
        </w:rPr>
      </w:pPr>
      <w:r>
        <w:rPr>
          <w:rFonts w:hint="eastAsia" w:ascii="Times New Roman" w:hAnsi="Times New Roman" w:eastAsia="楷体_GB2312" w:cs="楷体_GB2312"/>
          <w:sz w:val="32"/>
          <w:szCs w:val="32"/>
          <w:lang w:val="en-US" w:eastAsia="zh-CN"/>
        </w:rPr>
        <w:t>（参考格式）</w:t>
      </w:r>
    </w:p>
    <w:p w14:paraId="10E3225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32"/>
          <w:szCs w:val="32"/>
          <w:lang w:val="en-US" w:eastAsia="zh-CN"/>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991"/>
        <w:gridCol w:w="2080"/>
        <w:gridCol w:w="4119"/>
      </w:tblGrid>
      <w:tr w14:paraId="224E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tcPr>
          <w:p w14:paraId="0C65B77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问题分类</w:t>
            </w:r>
          </w:p>
        </w:tc>
        <w:tc>
          <w:tcPr>
            <w:tcW w:w="991" w:type="dxa"/>
          </w:tcPr>
          <w:p w14:paraId="34A4F4D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序号</w:t>
            </w:r>
          </w:p>
        </w:tc>
        <w:tc>
          <w:tcPr>
            <w:tcW w:w="2080" w:type="dxa"/>
          </w:tcPr>
          <w:p w14:paraId="592EE18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项目责任单位</w:t>
            </w:r>
          </w:p>
        </w:tc>
        <w:tc>
          <w:tcPr>
            <w:tcW w:w="4119" w:type="dxa"/>
          </w:tcPr>
          <w:p w14:paraId="52A197A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sz w:val="28"/>
                <w:szCs w:val="28"/>
                <w:vertAlign w:val="baseline"/>
                <w:lang w:val="en-US" w:eastAsia="zh-CN"/>
              </w:rPr>
            </w:pPr>
            <w:r>
              <w:rPr>
                <w:rFonts w:hint="eastAsia" w:ascii="Times New Roman" w:hAnsi="Times New Roman" w:eastAsia="黑体" w:cs="黑体"/>
                <w:sz w:val="28"/>
                <w:szCs w:val="28"/>
                <w:vertAlign w:val="baseline"/>
                <w:lang w:val="en-US" w:eastAsia="zh-CN"/>
              </w:rPr>
              <w:t>问题描述</w:t>
            </w:r>
          </w:p>
        </w:tc>
      </w:tr>
      <w:tr w14:paraId="7005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restart"/>
            <w:vAlign w:val="center"/>
          </w:tcPr>
          <w:p w14:paraId="1C53E75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r>
              <w:rPr>
                <w:rFonts w:hint="eastAsia" w:ascii="Times New Roman" w:hAnsi="Times New Roman" w:eastAsia="楷体_GB2312" w:cs="楷体_GB2312"/>
                <w:sz w:val="28"/>
                <w:szCs w:val="28"/>
                <w:vertAlign w:val="baseline"/>
                <w:lang w:val="en-US" w:eastAsia="zh-CN"/>
              </w:rPr>
              <w:t>决策</w:t>
            </w:r>
          </w:p>
        </w:tc>
        <w:tc>
          <w:tcPr>
            <w:tcW w:w="991" w:type="dxa"/>
          </w:tcPr>
          <w:p w14:paraId="21485E6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62E8111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2106E38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5CB1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0B55A31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p>
        </w:tc>
        <w:tc>
          <w:tcPr>
            <w:tcW w:w="991" w:type="dxa"/>
          </w:tcPr>
          <w:p w14:paraId="51E332E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6BB3AE1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0509C2E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299A0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6D9AC15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p>
        </w:tc>
        <w:tc>
          <w:tcPr>
            <w:tcW w:w="991" w:type="dxa"/>
          </w:tcPr>
          <w:p w14:paraId="53DDB23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3DDF4A8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02A6988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2781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restart"/>
            <w:vAlign w:val="center"/>
          </w:tcPr>
          <w:p w14:paraId="04A1548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r>
              <w:rPr>
                <w:rFonts w:hint="eastAsia" w:ascii="Times New Roman" w:hAnsi="Times New Roman" w:eastAsia="楷体_GB2312" w:cs="楷体_GB2312"/>
                <w:sz w:val="28"/>
                <w:szCs w:val="28"/>
                <w:vertAlign w:val="baseline"/>
                <w:lang w:val="en-US" w:eastAsia="zh-CN"/>
              </w:rPr>
              <w:t>过程</w:t>
            </w:r>
          </w:p>
        </w:tc>
        <w:tc>
          <w:tcPr>
            <w:tcW w:w="991" w:type="dxa"/>
          </w:tcPr>
          <w:p w14:paraId="3C276EF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256ECFE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78B5A22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0A71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1191996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p>
        </w:tc>
        <w:tc>
          <w:tcPr>
            <w:tcW w:w="991" w:type="dxa"/>
          </w:tcPr>
          <w:p w14:paraId="5304486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4808F29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281533A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004B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7A44442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p>
        </w:tc>
        <w:tc>
          <w:tcPr>
            <w:tcW w:w="991" w:type="dxa"/>
          </w:tcPr>
          <w:p w14:paraId="4963721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33D6B12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2D472EB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48D6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restart"/>
            <w:vAlign w:val="center"/>
          </w:tcPr>
          <w:p w14:paraId="549AF65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r>
              <w:rPr>
                <w:rFonts w:hint="eastAsia" w:ascii="Times New Roman" w:hAnsi="Times New Roman" w:eastAsia="楷体_GB2312" w:cs="楷体_GB2312"/>
                <w:sz w:val="28"/>
                <w:szCs w:val="28"/>
                <w:vertAlign w:val="baseline"/>
                <w:lang w:val="en-US" w:eastAsia="zh-CN"/>
              </w:rPr>
              <w:t>产出</w:t>
            </w:r>
          </w:p>
        </w:tc>
        <w:tc>
          <w:tcPr>
            <w:tcW w:w="991" w:type="dxa"/>
          </w:tcPr>
          <w:p w14:paraId="7FF626B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4A34495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57DB7F4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58FB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3D61DC8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p>
        </w:tc>
        <w:tc>
          <w:tcPr>
            <w:tcW w:w="991" w:type="dxa"/>
          </w:tcPr>
          <w:p w14:paraId="421F756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45BE674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216F649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41BF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530" w:type="dxa"/>
            <w:vMerge w:val="continue"/>
            <w:vAlign w:val="center"/>
          </w:tcPr>
          <w:p w14:paraId="7EFA70B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p>
        </w:tc>
        <w:tc>
          <w:tcPr>
            <w:tcW w:w="991" w:type="dxa"/>
          </w:tcPr>
          <w:p w14:paraId="498233E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34AB81A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3E09706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636A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restart"/>
            <w:vAlign w:val="center"/>
          </w:tcPr>
          <w:p w14:paraId="40E5160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r>
              <w:rPr>
                <w:rFonts w:hint="eastAsia" w:ascii="Times New Roman" w:hAnsi="Times New Roman" w:eastAsia="楷体_GB2312" w:cs="楷体_GB2312"/>
                <w:sz w:val="28"/>
                <w:szCs w:val="28"/>
                <w:vertAlign w:val="baseline"/>
                <w:lang w:val="en-US" w:eastAsia="zh-CN"/>
              </w:rPr>
              <w:t>效益</w:t>
            </w:r>
          </w:p>
        </w:tc>
        <w:tc>
          <w:tcPr>
            <w:tcW w:w="991" w:type="dxa"/>
          </w:tcPr>
          <w:p w14:paraId="1D2B96C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683CE65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379088C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1CFE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7D65B63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p>
        </w:tc>
        <w:tc>
          <w:tcPr>
            <w:tcW w:w="991" w:type="dxa"/>
          </w:tcPr>
          <w:p w14:paraId="0A69257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7FA9AEA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31C0510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2B7E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1AB5188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p>
        </w:tc>
        <w:tc>
          <w:tcPr>
            <w:tcW w:w="991" w:type="dxa"/>
          </w:tcPr>
          <w:p w14:paraId="254DAE5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1D634FC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129C0C2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08A5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restart"/>
            <w:vAlign w:val="center"/>
          </w:tcPr>
          <w:p w14:paraId="7CA7FC7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r>
              <w:rPr>
                <w:rFonts w:hint="eastAsia" w:ascii="Times New Roman" w:hAnsi="Times New Roman" w:eastAsia="楷体_GB2312" w:cs="楷体_GB2312"/>
                <w:sz w:val="28"/>
                <w:szCs w:val="28"/>
                <w:vertAlign w:val="baseline"/>
                <w:lang w:val="en-US" w:eastAsia="zh-CN"/>
              </w:rPr>
              <w:t>其他问题</w:t>
            </w:r>
          </w:p>
        </w:tc>
        <w:tc>
          <w:tcPr>
            <w:tcW w:w="991" w:type="dxa"/>
          </w:tcPr>
          <w:p w14:paraId="2CD11CF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406E81D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187557C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2186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Merge w:val="continue"/>
            <w:vAlign w:val="center"/>
          </w:tcPr>
          <w:p w14:paraId="69192A1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p>
        </w:tc>
        <w:tc>
          <w:tcPr>
            <w:tcW w:w="991" w:type="dxa"/>
          </w:tcPr>
          <w:p w14:paraId="4F37B4F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2080" w:type="dxa"/>
          </w:tcPr>
          <w:p w14:paraId="1082594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c>
          <w:tcPr>
            <w:tcW w:w="4119" w:type="dxa"/>
          </w:tcPr>
          <w:p w14:paraId="4A82B20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r w14:paraId="43F8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0" w:type="dxa"/>
            <w:vAlign w:val="center"/>
          </w:tcPr>
          <w:p w14:paraId="56D1645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楷体_GB2312" w:cs="楷体_GB2312"/>
                <w:sz w:val="28"/>
                <w:szCs w:val="28"/>
                <w:vertAlign w:val="baseline"/>
                <w:lang w:val="en-US" w:eastAsia="zh-CN"/>
              </w:rPr>
            </w:pPr>
            <w:r>
              <w:rPr>
                <w:rFonts w:hint="eastAsia" w:ascii="Times New Roman" w:hAnsi="Times New Roman" w:eastAsia="楷体_GB2312" w:cs="楷体_GB2312"/>
                <w:sz w:val="28"/>
                <w:szCs w:val="28"/>
                <w:vertAlign w:val="baseline"/>
                <w:lang w:val="en-US" w:eastAsia="zh-CN"/>
              </w:rPr>
              <w:t>备注：</w:t>
            </w:r>
          </w:p>
        </w:tc>
        <w:tc>
          <w:tcPr>
            <w:tcW w:w="7190" w:type="dxa"/>
            <w:gridSpan w:val="3"/>
          </w:tcPr>
          <w:p w14:paraId="11D91DA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vertAlign w:val="baseline"/>
                <w:lang w:val="en-US" w:eastAsia="zh-CN"/>
              </w:rPr>
            </w:pPr>
          </w:p>
        </w:tc>
      </w:tr>
    </w:tbl>
    <w:p w14:paraId="29FDD39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楷体_GB2312" w:cs="楷体_GB2312"/>
          <w:sz w:val="32"/>
          <w:szCs w:val="32"/>
          <w:lang w:val="en-US" w:eastAsia="zh-CN"/>
        </w:rPr>
      </w:pPr>
    </w:p>
    <w:sectPr>
      <w:pgSz w:w="11906" w:h="16838"/>
      <w:pgMar w:top="2041" w:right="1701" w:bottom="2041" w:left="1701" w:header="851" w:footer="1361"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3110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3BD553">
                          <w:pPr>
                            <w:pStyle w:val="2"/>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eastAsia="zh-CN"/>
                            </w:rPr>
                            <w:fldChar w:fldCharType="begin"/>
                          </w:r>
                          <w:r>
                            <w:rPr>
                              <w:rFonts w:hint="eastAsia" w:asciiTheme="majorEastAsia" w:hAnsiTheme="majorEastAsia" w:eastAsiaTheme="majorEastAsia" w:cstheme="majorEastAsia"/>
                              <w:sz w:val="24"/>
                              <w:szCs w:val="24"/>
                              <w:lang w:eastAsia="zh-CN"/>
                            </w:rPr>
                            <w:instrText xml:space="preserve"> PAGE  \* MERGEFORMAT </w:instrText>
                          </w:r>
                          <w:r>
                            <w:rPr>
                              <w:rFonts w:hint="eastAsia" w:asciiTheme="majorEastAsia" w:hAnsiTheme="majorEastAsia" w:eastAsiaTheme="majorEastAsia" w:cstheme="majorEastAsia"/>
                              <w:sz w:val="24"/>
                              <w:szCs w:val="24"/>
                              <w:lang w:eastAsia="zh-CN"/>
                            </w:rPr>
                            <w:fldChar w:fldCharType="separate"/>
                          </w:r>
                          <w:r>
                            <w:rPr>
                              <w:rFonts w:hint="eastAsia" w:asciiTheme="majorEastAsia" w:hAnsiTheme="majorEastAsia" w:eastAsiaTheme="majorEastAsia" w:cstheme="majorEastAsia"/>
                              <w:sz w:val="24"/>
                              <w:szCs w:val="24"/>
                              <w:lang w:eastAsia="zh-CN"/>
                            </w:rPr>
                            <w:t>1</w:t>
                          </w:r>
                          <w:r>
                            <w:rPr>
                              <w:rFonts w:hint="eastAsia" w:asciiTheme="majorEastAsia" w:hAnsiTheme="majorEastAsia" w:eastAsiaTheme="majorEastAsia" w:cstheme="majorEastAsia"/>
                              <w:sz w:val="24"/>
                              <w:szCs w:val="24"/>
                              <w:lang w:eastAsia="zh-CN"/>
                            </w:rPr>
                            <w:fldChar w:fldCharType="end"/>
                          </w:r>
                          <w:r>
                            <w:rPr>
                              <w:rFonts w:hint="eastAsia" w:asciiTheme="majorEastAsia" w:hAnsiTheme="majorEastAsia" w:eastAsiaTheme="majorEastAsia" w:cstheme="majorEastAsia"/>
                              <w:sz w:val="24"/>
                              <w:szCs w:val="24"/>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B3BD553">
                    <w:pPr>
                      <w:pStyle w:val="2"/>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eastAsia="zh-CN"/>
                      </w:rPr>
                      <w:fldChar w:fldCharType="begin"/>
                    </w:r>
                    <w:r>
                      <w:rPr>
                        <w:rFonts w:hint="eastAsia" w:asciiTheme="majorEastAsia" w:hAnsiTheme="majorEastAsia" w:eastAsiaTheme="majorEastAsia" w:cstheme="majorEastAsia"/>
                        <w:sz w:val="24"/>
                        <w:szCs w:val="24"/>
                        <w:lang w:eastAsia="zh-CN"/>
                      </w:rPr>
                      <w:instrText xml:space="preserve"> PAGE  \* MERGEFORMAT </w:instrText>
                    </w:r>
                    <w:r>
                      <w:rPr>
                        <w:rFonts w:hint="eastAsia" w:asciiTheme="majorEastAsia" w:hAnsiTheme="majorEastAsia" w:eastAsiaTheme="majorEastAsia" w:cstheme="majorEastAsia"/>
                        <w:sz w:val="24"/>
                        <w:szCs w:val="24"/>
                        <w:lang w:eastAsia="zh-CN"/>
                      </w:rPr>
                      <w:fldChar w:fldCharType="separate"/>
                    </w:r>
                    <w:r>
                      <w:rPr>
                        <w:rFonts w:hint="eastAsia" w:asciiTheme="majorEastAsia" w:hAnsiTheme="majorEastAsia" w:eastAsiaTheme="majorEastAsia" w:cstheme="majorEastAsia"/>
                        <w:sz w:val="24"/>
                        <w:szCs w:val="24"/>
                        <w:lang w:eastAsia="zh-CN"/>
                      </w:rPr>
                      <w:t>1</w:t>
                    </w:r>
                    <w:r>
                      <w:rPr>
                        <w:rFonts w:hint="eastAsia" w:asciiTheme="majorEastAsia" w:hAnsiTheme="majorEastAsia" w:eastAsiaTheme="majorEastAsia" w:cstheme="majorEastAsia"/>
                        <w:sz w:val="24"/>
                        <w:szCs w:val="24"/>
                        <w:lang w:eastAsia="zh-CN"/>
                      </w:rPr>
                      <w:fldChar w:fldCharType="end"/>
                    </w:r>
                    <w:r>
                      <w:rPr>
                        <w:rFonts w:hint="eastAsia" w:asciiTheme="majorEastAsia" w:hAnsiTheme="majorEastAsia" w:eastAsiaTheme="majorEastAsia" w:cstheme="majorEastAsia"/>
                        <w:sz w:val="24"/>
                        <w:szCs w:val="24"/>
                        <w:lang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AE026A"/>
    <w:multiLevelType w:val="singleLevel"/>
    <w:tmpl w:val="B0AE026A"/>
    <w:lvl w:ilvl="0" w:tentative="0">
      <w:start w:val="4"/>
      <w:numFmt w:val="chineseCounting"/>
      <w:suff w:val="nothing"/>
      <w:lvlText w:val="%1、"/>
      <w:lvlJc w:val="left"/>
      <w:rPr>
        <w:rFonts w:hint="eastAsia"/>
      </w:rPr>
    </w:lvl>
  </w:abstractNum>
  <w:abstractNum w:abstractNumId="1">
    <w:nsid w:val="1CCF9E18"/>
    <w:multiLevelType w:val="singleLevel"/>
    <w:tmpl w:val="1CCF9E18"/>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1E46CF"/>
    <w:rsid w:val="106A3C74"/>
    <w:rsid w:val="15E84B86"/>
    <w:rsid w:val="181F7418"/>
    <w:rsid w:val="238916A4"/>
    <w:rsid w:val="286B210C"/>
    <w:rsid w:val="2D894CA3"/>
    <w:rsid w:val="2DC8748F"/>
    <w:rsid w:val="3041265D"/>
    <w:rsid w:val="310962B6"/>
    <w:rsid w:val="34FE3CD8"/>
    <w:rsid w:val="405368AD"/>
    <w:rsid w:val="4612161E"/>
    <w:rsid w:val="556B68E0"/>
    <w:rsid w:val="56236D75"/>
    <w:rsid w:val="5875460E"/>
    <w:rsid w:val="5AC461A2"/>
    <w:rsid w:val="61610FEB"/>
    <w:rsid w:val="68A72EE7"/>
    <w:rsid w:val="6B303356"/>
    <w:rsid w:val="6C692C46"/>
    <w:rsid w:val="7A410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itle"/>
    <w:basedOn w:val="1"/>
    <w:next w:val="1"/>
    <w:qFormat/>
    <w:uiPriority w:val="0"/>
    <w:pPr>
      <w:adjustRightInd w:val="0"/>
      <w:snapToGrid w:val="0"/>
      <w:spacing w:line="360" w:lineRule="auto"/>
      <w:ind w:firstLine="800" w:firstLineChars="200"/>
      <w:jc w:val="left"/>
      <w:outlineLvl w:val="0"/>
    </w:pPr>
    <w:rPr>
      <w:rFonts w:ascii="Arial" w:hAnsi="Arial" w:eastAsia="仿宋"/>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_Style 3"/>
    <w:basedOn w:val="1"/>
    <w:next w:val="9"/>
    <w:unhideWhenUsed/>
    <w:qFormat/>
    <w:uiPriority w:val="99"/>
    <w:pPr>
      <w:spacing w:line="360" w:lineRule="auto"/>
      <w:ind w:firstLine="420" w:firstLineChars="200"/>
      <w:jc w:val="left"/>
    </w:pPr>
    <w:rPr>
      <w:rFonts w:ascii="Times New Roman" w:hAnsi="Times New Roman" w:eastAsia="仿宋"/>
      <w:sz w:val="32"/>
      <w:szCs w:val="24"/>
      <w:lang w:eastAsia="zh-TW"/>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94</Words>
  <Characters>116</Characters>
  <Lines>0</Lines>
  <Paragraphs>0</Paragraphs>
  <TotalTime>10</TotalTime>
  <ScaleCrop>false</ScaleCrop>
  <LinksUpToDate>false</LinksUpToDate>
  <CharactersWithSpaces>125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2023-09-14T09:07:00Z</dcterms:created>
  <dc:creator>lenovo</dc:creator>
  <cp:lastModifiedBy>郑毅</cp:lastModifiedBy>
  <cp:lastPrinted>2024-06-12T00:51:00Z</cp:lastPrinted>
  <dcterms:modified xsi:type="dcterms:W3CDTF">2026-08-20T03:09:30Z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eyJoZGlkIjoiNWVkMjRlYmUyN2ZjMzg3MTgzNGM3OWM2OWJhNDY0NWQiLCJ1c2VySWQiOiI1MDc5MDA5In0=</vt:lpwstr>
  </property>
  <property fmtid="{D5CDD505-2E9C-101B-9397-08002B2CF9AE}" pid="4" name="ICV">
    <vt:lpwstr>A94AD22AFCFD43B4862787B1EFFC06BF_12</vt:lpwstr>
  </property>
</Properties>
</file>