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tbl>
      <w:tblPr>
        <w:tblStyle w:val="2"/>
        <w:tblW w:w="14547" w:type="dxa"/>
        <w:tblInd w:w="93" w:type="dxa"/>
        <w:shd w:val="clear" w:color="auto" w:fill="auto"/>
        <w:tblLayout w:type="fixed"/>
        <w:tblCellMar>
          <w:top w:w="0" w:type="dxa"/>
          <w:left w:w="108" w:type="dxa"/>
          <w:bottom w:w="0" w:type="dxa"/>
          <w:right w:w="108" w:type="dxa"/>
        </w:tblCellMar>
      </w:tblPr>
      <w:tblGrid>
        <w:gridCol w:w="696"/>
        <w:gridCol w:w="4071"/>
        <w:gridCol w:w="3720"/>
        <w:gridCol w:w="6060"/>
      </w:tblGrid>
      <w:tr>
        <w:tblPrEx>
          <w:shd w:val="clear" w:color="auto" w:fill="auto"/>
          <w:tblCellMar>
            <w:top w:w="0" w:type="dxa"/>
            <w:left w:w="108" w:type="dxa"/>
            <w:bottom w:w="0" w:type="dxa"/>
            <w:right w:w="108" w:type="dxa"/>
          </w:tblCellMar>
        </w:tblPrEx>
        <w:trPr>
          <w:trHeight w:val="840" w:hRule="atLeast"/>
        </w:trPr>
        <w:tc>
          <w:tcPr>
            <w:tcW w:w="14547" w:type="dxa"/>
            <w:gridSpan w:val="4"/>
            <w:tcBorders>
              <w:top w:val="nil"/>
              <w:left w:val="nil"/>
              <w:bottom w:val="nil"/>
              <w:right w:val="nil"/>
            </w:tcBorders>
            <w:shd w:val="clear" w:color="auto" w:fill="auto"/>
            <w:noWrap/>
            <w:vAlign w:val="center"/>
          </w:tcPr>
          <w:p>
            <w:pPr>
              <w:keepNext w:val="0"/>
              <w:keepLines w:val="0"/>
              <w:widowControl/>
              <w:suppressLineNumbers w:val="0"/>
              <w:jc w:val="center"/>
              <w:textAlignment w:val="center"/>
              <w:rPr>
                <w:rFonts w:ascii="方正小标宋简体" w:hAnsi="方正小标宋简体" w:eastAsia="方正小标宋简体" w:cs="方正小标宋简体"/>
                <w:i w:val="0"/>
                <w:iCs w:val="0"/>
                <w:color w:val="000000"/>
                <w:sz w:val="44"/>
                <w:szCs w:val="44"/>
                <w:u w:val="single"/>
              </w:rPr>
            </w:pPr>
            <w:r>
              <w:rPr>
                <w:rStyle w:val="4"/>
                <w:sz w:val="32"/>
                <w:szCs w:val="32"/>
                <w:lang w:val="en-US" w:eastAsia="zh-CN" w:bidi="ar"/>
              </w:rPr>
              <w:t xml:space="preserve"> 荣成市海洋发展局</w:t>
            </w:r>
            <w:r>
              <w:rPr>
                <w:rStyle w:val="4"/>
                <w:rFonts w:hint="eastAsia"/>
                <w:sz w:val="32"/>
                <w:szCs w:val="32"/>
                <w:lang w:val="en-US" w:eastAsia="zh-CN" w:bidi="ar"/>
              </w:rPr>
              <w:t>轻微违法行为，符合法定适用条件，依法不予行政处罚</w:t>
            </w:r>
            <w:r>
              <w:rPr>
                <w:rStyle w:val="5"/>
                <w:sz w:val="32"/>
                <w:szCs w:val="32"/>
                <w:u w:val="single"/>
                <w:lang w:val="en-US" w:eastAsia="zh-CN" w:bidi="ar"/>
              </w:rPr>
              <w:t>事项清单</w:t>
            </w:r>
            <w:r>
              <w:rPr>
                <w:rStyle w:val="5"/>
                <w:rFonts w:hint="eastAsia"/>
                <w:sz w:val="32"/>
                <w:szCs w:val="32"/>
                <w:u w:val="single"/>
                <w:lang w:val="en-US" w:eastAsia="zh-CN" w:bidi="ar"/>
              </w:rPr>
              <w:t xml:space="preserve"> </w:t>
            </w:r>
            <w:r>
              <w:rPr>
                <w:rStyle w:val="5"/>
                <w:sz w:val="32"/>
                <w:szCs w:val="32"/>
                <w:u w:val="single"/>
                <w:lang w:val="en-US" w:eastAsia="zh-CN" w:bidi="ar"/>
              </w:rPr>
              <w:t>（2021年版）</w:t>
            </w:r>
          </w:p>
        </w:tc>
      </w:tr>
      <w:tr>
        <w:tblPrEx>
          <w:tblCellMar>
            <w:top w:w="0" w:type="dxa"/>
            <w:left w:w="108" w:type="dxa"/>
            <w:bottom w:w="0" w:type="dxa"/>
            <w:right w:w="108" w:type="dxa"/>
          </w:tblCellMar>
        </w:tblPrEx>
        <w:trPr>
          <w:trHeight w:val="500" w:hRule="atLeast"/>
        </w:trPr>
        <w:tc>
          <w:tcPr>
            <w:tcW w:w="6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ascii="黑体" w:hAnsi="宋体" w:eastAsia="黑体" w:cs="黑体"/>
                <w:i w:val="0"/>
                <w:iCs w:val="0"/>
                <w:color w:val="000000"/>
                <w:sz w:val="24"/>
                <w:szCs w:val="24"/>
                <w:u w:val="none"/>
              </w:rPr>
            </w:pPr>
            <w:r>
              <w:rPr>
                <w:rFonts w:hint="eastAsia" w:ascii="黑体" w:hAnsi="宋体" w:eastAsia="黑体" w:cs="黑体"/>
                <w:i w:val="0"/>
                <w:iCs w:val="0"/>
                <w:color w:val="000000"/>
                <w:kern w:val="0"/>
                <w:sz w:val="24"/>
                <w:szCs w:val="24"/>
                <w:u w:val="none"/>
                <w:lang w:val="en-US" w:eastAsia="zh-CN" w:bidi="ar"/>
              </w:rPr>
              <w:t>序号</w:t>
            </w:r>
          </w:p>
        </w:tc>
        <w:tc>
          <w:tcPr>
            <w:tcW w:w="40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黑体" w:hAnsi="宋体" w:eastAsia="黑体" w:cs="黑体"/>
                <w:i w:val="0"/>
                <w:iCs w:val="0"/>
                <w:color w:val="000000"/>
                <w:sz w:val="24"/>
                <w:szCs w:val="24"/>
                <w:u w:val="none"/>
              </w:rPr>
            </w:pPr>
            <w:r>
              <w:rPr>
                <w:rFonts w:hint="eastAsia" w:ascii="黑体" w:hAnsi="宋体" w:eastAsia="黑体" w:cs="黑体"/>
                <w:i w:val="0"/>
                <w:iCs w:val="0"/>
                <w:color w:val="000000"/>
                <w:kern w:val="0"/>
                <w:sz w:val="24"/>
                <w:szCs w:val="24"/>
                <w:u w:val="none"/>
                <w:lang w:val="en-US" w:eastAsia="zh-CN" w:bidi="ar"/>
              </w:rPr>
              <w:t>违法行为</w:t>
            </w:r>
          </w:p>
        </w:tc>
        <w:tc>
          <w:tcPr>
            <w:tcW w:w="37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黑体" w:hAnsi="宋体" w:eastAsia="黑体" w:cs="黑体"/>
                <w:i w:val="0"/>
                <w:iCs w:val="0"/>
                <w:color w:val="000000"/>
                <w:sz w:val="24"/>
                <w:szCs w:val="24"/>
                <w:u w:val="none"/>
              </w:rPr>
            </w:pPr>
            <w:r>
              <w:rPr>
                <w:rFonts w:hint="eastAsia" w:ascii="黑体" w:hAnsi="宋体" w:eastAsia="黑体" w:cs="黑体"/>
                <w:i w:val="0"/>
                <w:iCs w:val="0"/>
                <w:color w:val="000000"/>
                <w:kern w:val="0"/>
                <w:sz w:val="24"/>
                <w:szCs w:val="24"/>
                <w:u w:val="none"/>
                <w:lang w:val="en-US" w:eastAsia="zh-CN" w:bidi="ar"/>
              </w:rPr>
              <w:t>适用条件</w:t>
            </w:r>
          </w:p>
        </w:tc>
        <w:tc>
          <w:tcPr>
            <w:tcW w:w="60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黑体" w:hAnsi="宋体" w:eastAsia="黑体" w:cs="黑体"/>
                <w:i w:val="0"/>
                <w:iCs w:val="0"/>
                <w:color w:val="000000"/>
                <w:sz w:val="24"/>
                <w:szCs w:val="24"/>
                <w:u w:val="none"/>
              </w:rPr>
            </w:pPr>
            <w:r>
              <w:rPr>
                <w:rFonts w:hint="eastAsia" w:ascii="黑体" w:hAnsi="宋体" w:eastAsia="黑体" w:cs="黑体"/>
                <w:i w:val="0"/>
                <w:iCs w:val="0"/>
                <w:color w:val="000000"/>
                <w:kern w:val="0"/>
                <w:sz w:val="24"/>
                <w:szCs w:val="24"/>
                <w:u w:val="none"/>
                <w:lang w:val="en-US" w:eastAsia="zh-CN" w:bidi="ar"/>
              </w:rPr>
              <w:t>法定依据</w:t>
            </w:r>
          </w:p>
        </w:tc>
      </w:tr>
      <w:tr>
        <w:tblPrEx>
          <w:tblCellMar>
            <w:top w:w="0" w:type="dxa"/>
            <w:left w:w="108" w:type="dxa"/>
            <w:bottom w:w="0" w:type="dxa"/>
            <w:right w:w="108" w:type="dxa"/>
          </w:tblCellMar>
        </w:tblPrEx>
        <w:trPr>
          <w:trHeight w:val="780" w:hRule="atLeast"/>
        </w:trPr>
        <w:tc>
          <w:tcPr>
            <w:tcW w:w="696"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宋体" w:eastAsia="仿宋_GB2312" w:cs="仿宋_GB2312"/>
                <w:i w:val="0"/>
                <w:iCs w:val="0"/>
                <w:color w:val="000000"/>
                <w:sz w:val="22"/>
                <w:szCs w:val="22"/>
                <w:u w:val="none"/>
              </w:rPr>
            </w:pPr>
            <w:r>
              <w:rPr>
                <w:rFonts w:hint="eastAsia" w:ascii="仿宋_GB2312" w:hAnsi="宋体" w:eastAsia="仿宋_GB2312" w:cs="仿宋_GB2312"/>
                <w:i w:val="0"/>
                <w:iCs w:val="0"/>
                <w:color w:val="000000"/>
                <w:sz w:val="22"/>
                <w:szCs w:val="22"/>
                <w:u w:val="none"/>
                <w:lang w:val="en-US" w:eastAsia="zh-CN"/>
              </w:rPr>
              <w:t>1</w:t>
            </w:r>
          </w:p>
        </w:tc>
        <w:tc>
          <w:tcPr>
            <w:tcW w:w="4071"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both"/>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未依法取得养殖证或者超越养殖证许可范围在全民所有的水域从事养殖生产，妨碍航运、行洪</w:t>
            </w:r>
          </w:p>
        </w:tc>
        <w:tc>
          <w:tcPr>
            <w:tcW w:w="372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1.首次被发现且违法情节轻微;         2.在限期内拆除养殖设施;             3.未造成危害</w:t>
            </w:r>
            <w:bookmarkStart w:id="0" w:name="_GoBack"/>
            <w:bookmarkEnd w:id="0"/>
            <w:r>
              <w:rPr>
                <w:rFonts w:hint="eastAsia" w:ascii="仿宋_GB2312" w:hAnsi="宋体" w:eastAsia="仿宋_GB2312" w:cs="仿宋_GB2312"/>
                <w:i w:val="0"/>
                <w:iCs w:val="0"/>
                <w:color w:val="000000"/>
                <w:kern w:val="0"/>
                <w:sz w:val="24"/>
                <w:szCs w:val="24"/>
                <w:u w:val="none"/>
                <w:lang w:val="en-US" w:eastAsia="zh-CN" w:bidi="ar"/>
              </w:rPr>
              <w:t>后果</w:t>
            </w:r>
          </w:p>
        </w:tc>
        <w:tc>
          <w:tcPr>
            <w:tcW w:w="606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1.《中华人民共和国渔业法》（1986年1月通过，2013年12月第四次修正）第四十条；                                   2.《中华人民共和国行政处罚法》（1996年3月通过，2021年1月修订）第三十三条</w:t>
            </w:r>
          </w:p>
        </w:tc>
      </w:tr>
      <w:tr>
        <w:tblPrEx>
          <w:tblCellMar>
            <w:top w:w="0" w:type="dxa"/>
            <w:left w:w="108" w:type="dxa"/>
            <w:bottom w:w="0" w:type="dxa"/>
            <w:right w:w="108" w:type="dxa"/>
          </w:tblCellMar>
        </w:tblPrEx>
        <w:trPr>
          <w:trHeight w:val="500" w:hRule="atLeast"/>
        </w:trPr>
        <w:tc>
          <w:tcPr>
            <w:tcW w:w="696"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宋体" w:eastAsia="仿宋_GB2312" w:cs="仿宋_GB2312"/>
                <w:i w:val="0"/>
                <w:iCs w:val="0"/>
                <w:color w:val="000000"/>
                <w:kern w:val="2"/>
                <w:sz w:val="22"/>
                <w:szCs w:val="22"/>
                <w:u w:val="none"/>
                <w:lang w:val="en-US" w:eastAsia="zh-CN" w:bidi="ar-SA"/>
              </w:rPr>
            </w:pPr>
          </w:p>
        </w:tc>
        <w:tc>
          <w:tcPr>
            <w:tcW w:w="4071"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both"/>
              <w:rPr>
                <w:rFonts w:hint="eastAsia" w:ascii="仿宋_GB2312" w:hAnsi="宋体" w:eastAsia="仿宋_GB2312" w:cs="仿宋_GB2312"/>
                <w:i w:val="0"/>
                <w:iCs w:val="0"/>
                <w:color w:val="000000"/>
                <w:sz w:val="24"/>
                <w:szCs w:val="24"/>
                <w:u w:val="none"/>
              </w:rPr>
            </w:pPr>
          </w:p>
        </w:tc>
        <w:tc>
          <w:tcPr>
            <w:tcW w:w="372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仿宋_GB2312" w:hAnsi="宋体" w:eastAsia="仿宋_GB2312" w:cs="仿宋_GB2312"/>
                <w:i w:val="0"/>
                <w:iCs w:val="0"/>
                <w:color w:val="000000"/>
                <w:sz w:val="24"/>
                <w:szCs w:val="24"/>
                <w:u w:val="none"/>
              </w:rPr>
            </w:pPr>
          </w:p>
        </w:tc>
        <w:tc>
          <w:tcPr>
            <w:tcW w:w="606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仿宋_GB2312" w:hAnsi="宋体" w:eastAsia="仿宋_GB2312" w:cs="仿宋_GB2312"/>
                <w:i w:val="0"/>
                <w:iCs w:val="0"/>
                <w:color w:val="000000"/>
                <w:sz w:val="24"/>
                <w:szCs w:val="24"/>
                <w:u w:val="none"/>
              </w:rPr>
            </w:pPr>
          </w:p>
        </w:tc>
      </w:tr>
      <w:tr>
        <w:tblPrEx>
          <w:tblCellMar>
            <w:top w:w="0" w:type="dxa"/>
            <w:left w:w="108" w:type="dxa"/>
            <w:bottom w:w="0" w:type="dxa"/>
            <w:right w:w="108" w:type="dxa"/>
          </w:tblCellMar>
        </w:tblPrEx>
        <w:trPr>
          <w:trHeight w:val="735" w:hRule="atLeast"/>
        </w:trPr>
        <w:tc>
          <w:tcPr>
            <w:tcW w:w="696"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仿宋_GB2312" w:hAnsi="宋体" w:eastAsia="仿宋_GB2312" w:cs="仿宋_GB2312"/>
                <w:i w:val="0"/>
                <w:iCs w:val="0"/>
                <w:color w:val="000000"/>
                <w:sz w:val="22"/>
                <w:szCs w:val="22"/>
                <w:u w:val="none"/>
                <w:lang w:val="en-US" w:eastAsia="zh-CN"/>
              </w:rPr>
            </w:pPr>
            <w:r>
              <w:rPr>
                <w:rFonts w:hint="eastAsia" w:ascii="仿宋_GB2312" w:hAnsi="宋体" w:eastAsia="仿宋_GB2312" w:cs="仿宋_GB2312"/>
                <w:i w:val="0"/>
                <w:iCs w:val="0"/>
                <w:color w:val="000000"/>
                <w:sz w:val="22"/>
                <w:szCs w:val="22"/>
                <w:u w:val="none"/>
                <w:lang w:val="en-US" w:eastAsia="zh-CN"/>
              </w:rPr>
              <w:t>2</w:t>
            </w:r>
          </w:p>
        </w:tc>
        <w:tc>
          <w:tcPr>
            <w:tcW w:w="4071"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both"/>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渔业船员培训机构不具备规定条件开展渔业船员培训</w:t>
            </w:r>
          </w:p>
        </w:tc>
        <w:tc>
          <w:tcPr>
            <w:tcW w:w="372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1.首次被发现且违法情节轻微；        2.及时改正或者在限期内改正；              3.未造成危害后果</w:t>
            </w:r>
          </w:p>
        </w:tc>
        <w:tc>
          <w:tcPr>
            <w:tcW w:w="606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1.《中华人民共和国渔业船员管理办法》（2014年5月通过，2017年11月农业部令第8号修订）第四十八条；              2.《中华人民共和国行政处罚法》（1996年3月通过，2021年1月修订）第三十三条</w:t>
            </w:r>
          </w:p>
        </w:tc>
      </w:tr>
      <w:tr>
        <w:tblPrEx>
          <w:tblCellMar>
            <w:top w:w="0" w:type="dxa"/>
            <w:left w:w="108" w:type="dxa"/>
            <w:bottom w:w="0" w:type="dxa"/>
            <w:right w:w="108" w:type="dxa"/>
          </w:tblCellMar>
        </w:tblPrEx>
        <w:trPr>
          <w:trHeight w:val="720" w:hRule="atLeast"/>
        </w:trPr>
        <w:tc>
          <w:tcPr>
            <w:tcW w:w="696"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宋体" w:eastAsia="仿宋_GB2312" w:cs="仿宋_GB2312"/>
                <w:i w:val="0"/>
                <w:iCs w:val="0"/>
                <w:color w:val="000000"/>
                <w:sz w:val="22"/>
                <w:szCs w:val="22"/>
                <w:u w:val="none"/>
              </w:rPr>
            </w:pPr>
          </w:p>
        </w:tc>
        <w:tc>
          <w:tcPr>
            <w:tcW w:w="4071"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both"/>
              <w:rPr>
                <w:rFonts w:hint="eastAsia" w:ascii="仿宋_GB2312" w:hAnsi="宋体" w:eastAsia="仿宋_GB2312" w:cs="仿宋_GB2312"/>
                <w:i w:val="0"/>
                <w:iCs w:val="0"/>
                <w:color w:val="000000"/>
                <w:sz w:val="24"/>
                <w:szCs w:val="24"/>
                <w:u w:val="none"/>
              </w:rPr>
            </w:pPr>
          </w:p>
        </w:tc>
        <w:tc>
          <w:tcPr>
            <w:tcW w:w="372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仿宋_GB2312" w:hAnsi="宋体" w:eastAsia="仿宋_GB2312" w:cs="仿宋_GB2312"/>
                <w:i w:val="0"/>
                <w:iCs w:val="0"/>
                <w:color w:val="000000"/>
                <w:sz w:val="24"/>
                <w:szCs w:val="24"/>
                <w:u w:val="none"/>
              </w:rPr>
            </w:pPr>
          </w:p>
        </w:tc>
        <w:tc>
          <w:tcPr>
            <w:tcW w:w="606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仿宋_GB2312" w:hAnsi="宋体" w:eastAsia="仿宋_GB2312" w:cs="仿宋_GB2312"/>
                <w:i w:val="0"/>
                <w:iCs w:val="0"/>
                <w:color w:val="000000"/>
                <w:sz w:val="24"/>
                <w:szCs w:val="24"/>
                <w:u w:val="none"/>
              </w:rPr>
            </w:pPr>
          </w:p>
        </w:tc>
      </w:tr>
      <w:tr>
        <w:tblPrEx>
          <w:tblCellMar>
            <w:top w:w="0" w:type="dxa"/>
            <w:left w:w="108" w:type="dxa"/>
            <w:bottom w:w="0" w:type="dxa"/>
            <w:right w:w="108" w:type="dxa"/>
          </w:tblCellMar>
        </w:tblPrEx>
        <w:trPr>
          <w:trHeight w:val="312" w:hRule="atLeast"/>
        </w:trPr>
        <w:tc>
          <w:tcPr>
            <w:tcW w:w="696"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宋体" w:eastAsia="仿宋_GB2312" w:cs="仿宋_GB2312"/>
                <w:i w:val="0"/>
                <w:iCs w:val="0"/>
                <w:color w:val="000000"/>
                <w:kern w:val="2"/>
                <w:sz w:val="22"/>
                <w:szCs w:val="22"/>
                <w:u w:val="none"/>
                <w:lang w:val="en-US" w:eastAsia="zh-CN" w:bidi="ar-SA"/>
              </w:rPr>
            </w:pPr>
          </w:p>
        </w:tc>
        <w:tc>
          <w:tcPr>
            <w:tcW w:w="4071"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both"/>
              <w:rPr>
                <w:rFonts w:hint="eastAsia" w:ascii="仿宋_GB2312" w:hAnsi="宋体" w:eastAsia="仿宋_GB2312" w:cs="仿宋_GB2312"/>
                <w:i w:val="0"/>
                <w:iCs w:val="0"/>
                <w:color w:val="000000"/>
                <w:sz w:val="24"/>
                <w:szCs w:val="24"/>
                <w:u w:val="none"/>
              </w:rPr>
            </w:pPr>
          </w:p>
        </w:tc>
        <w:tc>
          <w:tcPr>
            <w:tcW w:w="372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仿宋_GB2312" w:hAnsi="宋体" w:eastAsia="仿宋_GB2312" w:cs="仿宋_GB2312"/>
                <w:i w:val="0"/>
                <w:iCs w:val="0"/>
                <w:color w:val="000000"/>
                <w:sz w:val="24"/>
                <w:szCs w:val="24"/>
                <w:u w:val="none"/>
              </w:rPr>
            </w:pPr>
          </w:p>
        </w:tc>
        <w:tc>
          <w:tcPr>
            <w:tcW w:w="606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仿宋_GB2312" w:hAnsi="宋体" w:eastAsia="仿宋_GB2312" w:cs="仿宋_GB2312"/>
                <w:i w:val="0"/>
                <w:iCs w:val="0"/>
                <w:color w:val="000000"/>
                <w:sz w:val="24"/>
                <w:szCs w:val="24"/>
                <w:u w:val="none"/>
              </w:rPr>
            </w:pPr>
          </w:p>
        </w:tc>
      </w:tr>
      <w:tr>
        <w:tblPrEx>
          <w:tblCellMar>
            <w:top w:w="0" w:type="dxa"/>
            <w:left w:w="108" w:type="dxa"/>
            <w:bottom w:w="0" w:type="dxa"/>
            <w:right w:w="108" w:type="dxa"/>
          </w:tblCellMar>
        </w:tblPrEx>
        <w:trPr>
          <w:trHeight w:val="735" w:hRule="atLeast"/>
        </w:trPr>
        <w:tc>
          <w:tcPr>
            <w:tcW w:w="696"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宋体" w:eastAsia="仿宋_GB2312" w:cs="仿宋_GB2312"/>
                <w:i w:val="0"/>
                <w:iCs w:val="0"/>
                <w:color w:val="000000"/>
                <w:kern w:val="2"/>
                <w:sz w:val="22"/>
                <w:szCs w:val="22"/>
                <w:u w:val="none"/>
                <w:lang w:val="en-US" w:eastAsia="zh-CN" w:bidi="ar-SA"/>
              </w:rPr>
            </w:pPr>
            <w:r>
              <w:rPr>
                <w:rFonts w:hint="eastAsia" w:ascii="仿宋_GB2312" w:hAnsi="宋体" w:eastAsia="仿宋_GB2312" w:cs="仿宋_GB2312"/>
                <w:i w:val="0"/>
                <w:iCs w:val="0"/>
                <w:color w:val="000000"/>
                <w:kern w:val="0"/>
                <w:sz w:val="22"/>
                <w:szCs w:val="22"/>
                <w:u w:val="none"/>
                <w:lang w:val="en-US" w:eastAsia="zh-CN" w:bidi="ar"/>
              </w:rPr>
              <w:t>3</w:t>
            </w:r>
          </w:p>
          <w:p>
            <w:pPr>
              <w:keepNext w:val="0"/>
              <w:keepLines w:val="0"/>
              <w:widowControl/>
              <w:suppressLineNumbers w:val="0"/>
              <w:jc w:val="center"/>
              <w:textAlignment w:val="center"/>
              <w:rPr>
                <w:rFonts w:hint="eastAsia" w:ascii="仿宋_GB2312" w:hAnsi="宋体" w:eastAsia="仿宋_GB2312" w:cs="仿宋_GB2312"/>
                <w:i w:val="0"/>
                <w:iCs w:val="0"/>
                <w:color w:val="000000"/>
                <w:sz w:val="22"/>
                <w:szCs w:val="22"/>
                <w:u w:val="none"/>
                <w:lang w:val="en-US" w:eastAsia="zh-CN"/>
              </w:rPr>
            </w:pPr>
          </w:p>
        </w:tc>
        <w:tc>
          <w:tcPr>
            <w:tcW w:w="4071"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both"/>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渔业船员培训机构未按规定的渔业船员考试大纲内容要求进行培训</w:t>
            </w:r>
          </w:p>
        </w:tc>
        <w:tc>
          <w:tcPr>
            <w:tcW w:w="372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1.首次被发现且违法情节轻微；        2.及时改正或者在限期内改正；              3.未造成危害后果</w:t>
            </w:r>
          </w:p>
        </w:tc>
        <w:tc>
          <w:tcPr>
            <w:tcW w:w="606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1.《中华人民共和国渔业船员管理办法》（2014年5月通过，2017年11月农业部令第8号修订）第四十八条；              2.《中华人民共和国行政处罚法》（1996年3月通过，2021年1月修订）第三十三条</w:t>
            </w:r>
          </w:p>
        </w:tc>
      </w:tr>
      <w:tr>
        <w:tblPrEx>
          <w:tblCellMar>
            <w:top w:w="0" w:type="dxa"/>
            <w:left w:w="108" w:type="dxa"/>
            <w:bottom w:w="0" w:type="dxa"/>
            <w:right w:w="108" w:type="dxa"/>
          </w:tblCellMar>
        </w:tblPrEx>
        <w:trPr>
          <w:trHeight w:val="720" w:hRule="atLeast"/>
        </w:trPr>
        <w:tc>
          <w:tcPr>
            <w:tcW w:w="696"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宋体" w:eastAsia="仿宋_GB2312" w:cs="仿宋_GB2312"/>
                <w:i w:val="0"/>
                <w:iCs w:val="0"/>
                <w:color w:val="000000"/>
                <w:sz w:val="22"/>
                <w:szCs w:val="22"/>
                <w:u w:val="none"/>
              </w:rPr>
            </w:pPr>
          </w:p>
        </w:tc>
        <w:tc>
          <w:tcPr>
            <w:tcW w:w="4071"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both"/>
              <w:rPr>
                <w:rFonts w:hint="eastAsia" w:ascii="仿宋_GB2312" w:hAnsi="宋体" w:eastAsia="仿宋_GB2312" w:cs="仿宋_GB2312"/>
                <w:i w:val="0"/>
                <w:iCs w:val="0"/>
                <w:color w:val="000000"/>
                <w:sz w:val="24"/>
                <w:szCs w:val="24"/>
                <w:u w:val="none"/>
              </w:rPr>
            </w:pPr>
          </w:p>
        </w:tc>
        <w:tc>
          <w:tcPr>
            <w:tcW w:w="372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仿宋_GB2312" w:hAnsi="宋体" w:eastAsia="仿宋_GB2312" w:cs="仿宋_GB2312"/>
                <w:i w:val="0"/>
                <w:iCs w:val="0"/>
                <w:color w:val="000000"/>
                <w:sz w:val="24"/>
                <w:szCs w:val="24"/>
                <w:u w:val="none"/>
              </w:rPr>
            </w:pPr>
          </w:p>
        </w:tc>
        <w:tc>
          <w:tcPr>
            <w:tcW w:w="606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仿宋_GB2312" w:hAnsi="宋体" w:eastAsia="仿宋_GB2312" w:cs="仿宋_GB2312"/>
                <w:i w:val="0"/>
                <w:iCs w:val="0"/>
                <w:color w:val="000000"/>
                <w:sz w:val="24"/>
                <w:szCs w:val="24"/>
                <w:u w:val="none"/>
              </w:rPr>
            </w:pPr>
          </w:p>
        </w:tc>
      </w:tr>
      <w:tr>
        <w:tblPrEx>
          <w:tblCellMar>
            <w:top w:w="0" w:type="dxa"/>
            <w:left w:w="108" w:type="dxa"/>
            <w:bottom w:w="0" w:type="dxa"/>
            <w:right w:w="108" w:type="dxa"/>
          </w:tblCellMar>
        </w:tblPrEx>
        <w:trPr>
          <w:trHeight w:val="312" w:hRule="atLeast"/>
        </w:trPr>
        <w:tc>
          <w:tcPr>
            <w:tcW w:w="696"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宋体" w:eastAsia="仿宋_GB2312" w:cs="仿宋_GB2312"/>
                <w:i w:val="0"/>
                <w:iCs w:val="0"/>
                <w:color w:val="000000"/>
                <w:kern w:val="2"/>
                <w:sz w:val="22"/>
                <w:szCs w:val="22"/>
                <w:u w:val="none"/>
                <w:lang w:val="en-US" w:eastAsia="zh-CN" w:bidi="ar-SA"/>
              </w:rPr>
            </w:pPr>
          </w:p>
        </w:tc>
        <w:tc>
          <w:tcPr>
            <w:tcW w:w="4071"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both"/>
              <w:rPr>
                <w:rFonts w:hint="eastAsia" w:ascii="仿宋_GB2312" w:hAnsi="宋体" w:eastAsia="仿宋_GB2312" w:cs="仿宋_GB2312"/>
                <w:i w:val="0"/>
                <w:iCs w:val="0"/>
                <w:color w:val="000000"/>
                <w:sz w:val="24"/>
                <w:szCs w:val="24"/>
                <w:u w:val="none"/>
              </w:rPr>
            </w:pPr>
          </w:p>
        </w:tc>
        <w:tc>
          <w:tcPr>
            <w:tcW w:w="372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仿宋_GB2312" w:hAnsi="宋体" w:eastAsia="仿宋_GB2312" w:cs="仿宋_GB2312"/>
                <w:i w:val="0"/>
                <w:iCs w:val="0"/>
                <w:color w:val="000000"/>
                <w:sz w:val="24"/>
                <w:szCs w:val="24"/>
                <w:u w:val="none"/>
              </w:rPr>
            </w:pPr>
          </w:p>
        </w:tc>
        <w:tc>
          <w:tcPr>
            <w:tcW w:w="606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仿宋_GB2312" w:hAnsi="宋体" w:eastAsia="仿宋_GB2312" w:cs="仿宋_GB2312"/>
                <w:i w:val="0"/>
                <w:iCs w:val="0"/>
                <w:color w:val="000000"/>
                <w:sz w:val="24"/>
                <w:szCs w:val="24"/>
                <w:u w:val="none"/>
              </w:rPr>
            </w:pPr>
          </w:p>
        </w:tc>
      </w:tr>
      <w:tr>
        <w:tblPrEx>
          <w:tblCellMar>
            <w:top w:w="0" w:type="dxa"/>
            <w:left w:w="108" w:type="dxa"/>
            <w:bottom w:w="0" w:type="dxa"/>
            <w:right w:w="108" w:type="dxa"/>
          </w:tblCellMar>
        </w:tblPrEx>
        <w:trPr>
          <w:trHeight w:val="720" w:hRule="atLeast"/>
        </w:trPr>
        <w:tc>
          <w:tcPr>
            <w:tcW w:w="696"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宋体" w:hAnsi="宋体" w:eastAsia="宋体" w:cs="宋体"/>
                <w:i w:val="0"/>
                <w:iCs w:val="0"/>
                <w:color w:val="000000"/>
                <w:sz w:val="22"/>
                <w:szCs w:val="22"/>
                <w:u w:val="none"/>
                <w:lang w:val="en-US" w:eastAsia="zh-CN"/>
              </w:rPr>
            </w:pPr>
            <w:r>
              <w:rPr>
                <w:rFonts w:hint="eastAsia" w:ascii="宋体" w:hAnsi="宋体" w:eastAsia="宋体" w:cs="宋体"/>
                <w:i w:val="0"/>
                <w:iCs w:val="0"/>
                <w:color w:val="000000"/>
                <w:sz w:val="22"/>
                <w:szCs w:val="22"/>
                <w:u w:val="none"/>
                <w:lang w:val="en-US" w:eastAsia="zh-CN"/>
              </w:rPr>
              <w:t>4</w:t>
            </w:r>
          </w:p>
        </w:tc>
        <w:tc>
          <w:tcPr>
            <w:tcW w:w="4071"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both"/>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渔业船员培训机构未按规定出具培训证明</w:t>
            </w:r>
          </w:p>
        </w:tc>
        <w:tc>
          <w:tcPr>
            <w:tcW w:w="372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1.首次被发现且违法情节轻微；        2.及时改正或者在限期内改正；        3.未造成危害后果</w:t>
            </w:r>
          </w:p>
        </w:tc>
        <w:tc>
          <w:tcPr>
            <w:tcW w:w="606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1.《中华人民共和国渔业船员管理办法》（2014年5月通过，2017年11月农业部令第8号修订）第四十八条；              2.《中华人民共和国行政处罚法》（1996年3月通过，2021年1月修订）第三十三条</w:t>
            </w:r>
          </w:p>
        </w:tc>
      </w:tr>
      <w:tr>
        <w:tblPrEx>
          <w:tblCellMar>
            <w:top w:w="0" w:type="dxa"/>
            <w:left w:w="108" w:type="dxa"/>
            <w:bottom w:w="0" w:type="dxa"/>
            <w:right w:w="108" w:type="dxa"/>
          </w:tblCellMar>
        </w:tblPrEx>
        <w:trPr>
          <w:trHeight w:val="640" w:hRule="atLeast"/>
        </w:trPr>
        <w:tc>
          <w:tcPr>
            <w:tcW w:w="696"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2"/>
                <w:szCs w:val="22"/>
                <w:u w:val="none"/>
              </w:rPr>
            </w:pPr>
          </w:p>
        </w:tc>
        <w:tc>
          <w:tcPr>
            <w:tcW w:w="4071"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both"/>
              <w:rPr>
                <w:rFonts w:hint="eastAsia" w:ascii="仿宋_GB2312" w:hAnsi="宋体" w:eastAsia="仿宋_GB2312" w:cs="仿宋_GB2312"/>
                <w:i w:val="0"/>
                <w:iCs w:val="0"/>
                <w:color w:val="000000"/>
                <w:sz w:val="24"/>
                <w:szCs w:val="24"/>
                <w:u w:val="none"/>
              </w:rPr>
            </w:pPr>
          </w:p>
        </w:tc>
        <w:tc>
          <w:tcPr>
            <w:tcW w:w="372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仿宋_GB2312" w:hAnsi="宋体" w:eastAsia="仿宋_GB2312" w:cs="仿宋_GB2312"/>
                <w:i w:val="0"/>
                <w:iCs w:val="0"/>
                <w:color w:val="000000"/>
                <w:sz w:val="24"/>
                <w:szCs w:val="24"/>
                <w:u w:val="none"/>
              </w:rPr>
            </w:pPr>
          </w:p>
        </w:tc>
        <w:tc>
          <w:tcPr>
            <w:tcW w:w="606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仿宋_GB2312" w:hAnsi="宋体" w:eastAsia="仿宋_GB2312" w:cs="仿宋_GB2312"/>
                <w:i w:val="0"/>
                <w:iCs w:val="0"/>
                <w:color w:val="000000"/>
                <w:sz w:val="24"/>
                <w:szCs w:val="24"/>
                <w:u w:val="none"/>
              </w:rPr>
            </w:pPr>
          </w:p>
        </w:tc>
      </w:tr>
      <w:tr>
        <w:tblPrEx>
          <w:tblCellMar>
            <w:top w:w="0" w:type="dxa"/>
            <w:left w:w="108" w:type="dxa"/>
            <w:bottom w:w="0" w:type="dxa"/>
            <w:right w:w="108" w:type="dxa"/>
          </w:tblCellMar>
        </w:tblPrEx>
        <w:trPr>
          <w:trHeight w:val="557" w:hRule="atLeast"/>
        </w:trPr>
        <w:tc>
          <w:tcPr>
            <w:tcW w:w="696"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宋体" w:eastAsia="仿宋_GB2312" w:cs="仿宋_GB2312"/>
                <w:i w:val="0"/>
                <w:iCs w:val="0"/>
                <w:color w:val="000000"/>
                <w:kern w:val="2"/>
                <w:sz w:val="22"/>
                <w:szCs w:val="22"/>
                <w:u w:val="none"/>
                <w:lang w:val="en-US" w:eastAsia="zh-CN" w:bidi="ar-SA"/>
              </w:rPr>
            </w:pPr>
          </w:p>
        </w:tc>
        <w:tc>
          <w:tcPr>
            <w:tcW w:w="4071"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both"/>
              <w:rPr>
                <w:rFonts w:hint="eastAsia" w:ascii="仿宋_GB2312" w:hAnsi="宋体" w:eastAsia="仿宋_GB2312" w:cs="仿宋_GB2312"/>
                <w:i w:val="0"/>
                <w:iCs w:val="0"/>
                <w:color w:val="000000"/>
                <w:sz w:val="24"/>
                <w:szCs w:val="24"/>
                <w:u w:val="none"/>
              </w:rPr>
            </w:pPr>
          </w:p>
        </w:tc>
        <w:tc>
          <w:tcPr>
            <w:tcW w:w="372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仿宋_GB2312" w:hAnsi="宋体" w:eastAsia="仿宋_GB2312" w:cs="仿宋_GB2312"/>
                <w:i w:val="0"/>
                <w:iCs w:val="0"/>
                <w:color w:val="000000"/>
                <w:sz w:val="24"/>
                <w:szCs w:val="24"/>
                <w:u w:val="none"/>
              </w:rPr>
            </w:pPr>
          </w:p>
        </w:tc>
        <w:tc>
          <w:tcPr>
            <w:tcW w:w="606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仿宋_GB2312" w:hAnsi="宋体" w:eastAsia="仿宋_GB2312" w:cs="仿宋_GB2312"/>
                <w:i w:val="0"/>
                <w:iCs w:val="0"/>
                <w:color w:val="000000"/>
                <w:sz w:val="24"/>
                <w:szCs w:val="24"/>
                <w:u w:val="none"/>
              </w:rPr>
            </w:pPr>
          </w:p>
        </w:tc>
      </w:tr>
      <w:tr>
        <w:tblPrEx>
          <w:tblCellMar>
            <w:top w:w="0" w:type="dxa"/>
            <w:left w:w="108" w:type="dxa"/>
            <w:bottom w:w="0" w:type="dxa"/>
            <w:right w:w="108" w:type="dxa"/>
          </w:tblCellMar>
        </w:tblPrEx>
        <w:trPr>
          <w:trHeight w:val="270" w:hRule="atLeast"/>
        </w:trPr>
        <w:tc>
          <w:tcPr>
            <w:tcW w:w="696"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宋体" w:hAnsi="宋体" w:eastAsia="宋体" w:cs="宋体"/>
                <w:i w:val="0"/>
                <w:iCs w:val="0"/>
                <w:color w:val="000000"/>
                <w:sz w:val="22"/>
                <w:szCs w:val="22"/>
                <w:u w:val="none"/>
                <w:lang w:val="en-US" w:eastAsia="zh-CN"/>
              </w:rPr>
            </w:pPr>
            <w:r>
              <w:rPr>
                <w:rFonts w:hint="eastAsia" w:ascii="宋体" w:hAnsi="宋体" w:eastAsia="宋体" w:cs="宋体"/>
                <w:i w:val="0"/>
                <w:iCs w:val="0"/>
                <w:color w:val="000000"/>
                <w:sz w:val="22"/>
                <w:szCs w:val="22"/>
                <w:u w:val="none"/>
                <w:lang w:val="en-US" w:eastAsia="zh-CN"/>
              </w:rPr>
              <w:t>5</w:t>
            </w:r>
          </w:p>
        </w:tc>
        <w:tc>
          <w:tcPr>
            <w:tcW w:w="4071"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both"/>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渔业船员培训机构出具虚假培训证明</w:t>
            </w:r>
          </w:p>
        </w:tc>
        <w:tc>
          <w:tcPr>
            <w:tcW w:w="372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1.首次被发现且违法情节轻微；         2.及时改正或者在限期内改正；         3.未造成危害后果</w:t>
            </w:r>
          </w:p>
        </w:tc>
        <w:tc>
          <w:tcPr>
            <w:tcW w:w="606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1.《中华人民共和国渔业船员管理办法》（2014年5月通过，2017年11月农业部令第8号修订）第四十八条；              2.《中华人民共和国行政处罚法》（1996年3月通过，2021年1月修订）第三十三条</w:t>
            </w:r>
          </w:p>
        </w:tc>
      </w:tr>
      <w:tr>
        <w:tblPrEx>
          <w:tblCellMar>
            <w:top w:w="0" w:type="dxa"/>
            <w:left w:w="108" w:type="dxa"/>
            <w:bottom w:w="0" w:type="dxa"/>
            <w:right w:w="108" w:type="dxa"/>
          </w:tblCellMar>
        </w:tblPrEx>
        <w:trPr>
          <w:trHeight w:val="270" w:hRule="atLeast"/>
        </w:trPr>
        <w:tc>
          <w:tcPr>
            <w:tcW w:w="696"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2"/>
                <w:szCs w:val="22"/>
                <w:u w:val="none"/>
              </w:rPr>
            </w:pPr>
          </w:p>
        </w:tc>
        <w:tc>
          <w:tcPr>
            <w:tcW w:w="4071"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both"/>
              <w:rPr>
                <w:rFonts w:hint="eastAsia" w:ascii="仿宋_GB2312" w:hAnsi="宋体" w:eastAsia="仿宋_GB2312" w:cs="仿宋_GB2312"/>
                <w:i w:val="0"/>
                <w:iCs w:val="0"/>
                <w:color w:val="000000"/>
                <w:sz w:val="24"/>
                <w:szCs w:val="24"/>
                <w:u w:val="none"/>
              </w:rPr>
            </w:pPr>
          </w:p>
        </w:tc>
        <w:tc>
          <w:tcPr>
            <w:tcW w:w="372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仿宋_GB2312" w:hAnsi="宋体" w:eastAsia="仿宋_GB2312" w:cs="仿宋_GB2312"/>
                <w:i w:val="0"/>
                <w:iCs w:val="0"/>
                <w:color w:val="000000"/>
                <w:sz w:val="24"/>
                <w:szCs w:val="24"/>
                <w:u w:val="none"/>
              </w:rPr>
            </w:pPr>
          </w:p>
        </w:tc>
        <w:tc>
          <w:tcPr>
            <w:tcW w:w="606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仿宋_GB2312" w:hAnsi="宋体" w:eastAsia="仿宋_GB2312" w:cs="仿宋_GB2312"/>
                <w:i w:val="0"/>
                <w:iCs w:val="0"/>
                <w:color w:val="000000"/>
                <w:sz w:val="24"/>
                <w:szCs w:val="24"/>
                <w:u w:val="none"/>
              </w:rPr>
            </w:pPr>
          </w:p>
        </w:tc>
      </w:tr>
      <w:tr>
        <w:tblPrEx>
          <w:tblCellMar>
            <w:top w:w="0" w:type="dxa"/>
            <w:left w:w="108" w:type="dxa"/>
            <w:bottom w:w="0" w:type="dxa"/>
            <w:right w:w="108" w:type="dxa"/>
          </w:tblCellMar>
        </w:tblPrEx>
        <w:trPr>
          <w:trHeight w:val="1105" w:hRule="atLeast"/>
        </w:trPr>
        <w:tc>
          <w:tcPr>
            <w:tcW w:w="696"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kern w:val="2"/>
                <w:sz w:val="22"/>
                <w:szCs w:val="22"/>
                <w:u w:val="none"/>
                <w:lang w:val="en-US" w:eastAsia="zh-CN" w:bidi="ar-SA"/>
              </w:rPr>
            </w:pPr>
          </w:p>
        </w:tc>
        <w:tc>
          <w:tcPr>
            <w:tcW w:w="4071"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both"/>
              <w:rPr>
                <w:rFonts w:hint="eastAsia" w:ascii="仿宋_GB2312" w:hAnsi="宋体" w:eastAsia="仿宋_GB2312" w:cs="仿宋_GB2312"/>
                <w:i w:val="0"/>
                <w:iCs w:val="0"/>
                <w:color w:val="000000"/>
                <w:sz w:val="24"/>
                <w:szCs w:val="24"/>
                <w:u w:val="none"/>
              </w:rPr>
            </w:pPr>
          </w:p>
        </w:tc>
        <w:tc>
          <w:tcPr>
            <w:tcW w:w="372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仿宋_GB2312" w:hAnsi="宋体" w:eastAsia="仿宋_GB2312" w:cs="仿宋_GB2312"/>
                <w:i w:val="0"/>
                <w:iCs w:val="0"/>
                <w:color w:val="000000"/>
                <w:sz w:val="24"/>
                <w:szCs w:val="24"/>
                <w:u w:val="none"/>
              </w:rPr>
            </w:pPr>
          </w:p>
        </w:tc>
        <w:tc>
          <w:tcPr>
            <w:tcW w:w="606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仿宋_GB2312" w:hAnsi="宋体" w:eastAsia="仿宋_GB2312" w:cs="仿宋_GB2312"/>
                <w:i w:val="0"/>
                <w:iCs w:val="0"/>
                <w:color w:val="000000"/>
                <w:sz w:val="24"/>
                <w:szCs w:val="24"/>
                <w:u w:val="none"/>
              </w:rPr>
            </w:pPr>
          </w:p>
        </w:tc>
      </w:tr>
      <w:tr>
        <w:tblPrEx>
          <w:tblCellMar>
            <w:top w:w="0" w:type="dxa"/>
            <w:left w:w="108" w:type="dxa"/>
            <w:bottom w:w="0" w:type="dxa"/>
            <w:right w:w="108" w:type="dxa"/>
          </w:tblCellMar>
        </w:tblPrEx>
        <w:trPr>
          <w:trHeight w:val="270" w:hRule="atLeast"/>
        </w:trPr>
        <w:tc>
          <w:tcPr>
            <w:tcW w:w="696"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宋体" w:hAnsi="宋体" w:eastAsia="宋体" w:cs="宋体"/>
                <w:i w:val="0"/>
                <w:iCs w:val="0"/>
                <w:color w:val="000000"/>
                <w:sz w:val="22"/>
                <w:szCs w:val="22"/>
                <w:u w:val="none"/>
                <w:lang w:val="en-US" w:eastAsia="zh-CN"/>
              </w:rPr>
            </w:pPr>
            <w:r>
              <w:rPr>
                <w:rFonts w:hint="eastAsia" w:ascii="宋体" w:hAnsi="宋体" w:eastAsia="宋体" w:cs="宋体"/>
                <w:i w:val="0"/>
                <w:iCs w:val="0"/>
                <w:color w:val="000000"/>
                <w:sz w:val="22"/>
                <w:szCs w:val="22"/>
                <w:u w:val="none"/>
                <w:lang w:val="en-US" w:eastAsia="zh-CN"/>
              </w:rPr>
              <w:t>6</w:t>
            </w:r>
          </w:p>
        </w:tc>
        <w:tc>
          <w:tcPr>
            <w:tcW w:w="4071"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both"/>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拒不接受海洋行政主管部门监督检查、不如实反映情况或者不提供有关资料</w:t>
            </w:r>
          </w:p>
        </w:tc>
        <w:tc>
          <w:tcPr>
            <w:tcW w:w="372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1.首次被发现且违法情节轻微；        2.在限期内改正；                  3.未造成危害后果</w:t>
            </w:r>
          </w:p>
        </w:tc>
        <w:tc>
          <w:tcPr>
            <w:tcW w:w="606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1.《中华人民共和国海域使用管理法》（2001年10月通过）第四十九条；                                               2.《中华人民共和国行政处罚法》（1996年3月通过，2021年1月修订）第三十三条</w:t>
            </w:r>
          </w:p>
        </w:tc>
      </w:tr>
      <w:tr>
        <w:tblPrEx>
          <w:tblCellMar>
            <w:top w:w="0" w:type="dxa"/>
            <w:left w:w="108" w:type="dxa"/>
            <w:bottom w:w="0" w:type="dxa"/>
            <w:right w:w="108" w:type="dxa"/>
          </w:tblCellMar>
        </w:tblPrEx>
        <w:trPr>
          <w:trHeight w:val="270" w:hRule="atLeast"/>
        </w:trPr>
        <w:tc>
          <w:tcPr>
            <w:tcW w:w="696"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2"/>
                <w:szCs w:val="22"/>
                <w:u w:val="none"/>
              </w:rPr>
            </w:pPr>
          </w:p>
        </w:tc>
        <w:tc>
          <w:tcPr>
            <w:tcW w:w="4071"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both"/>
              <w:rPr>
                <w:rFonts w:hint="eastAsia" w:ascii="仿宋_GB2312" w:hAnsi="宋体" w:eastAsia="仿宋_GB2312" w:cs="仿宋_GB2312"/>
                <w:i w:val="0"/>
                <w:iCs w:val="0"/>
                <w:color w:val="000000"/>
                <w:sz w:val="24"/>
                <w:szCs w:val="24"/>
                <w:u w:val="none"/>
              </w:rPr>
            </w:pPr>
          </w:p>
        </w:tc>
        <w:tc>
          <w:tcPr>
            <w:tcW w:w="372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仿宋_GB2312" w:hAnsi="宋体" w:eastAsia="仿宋_GB2312" w:cs="仿宋_GB2312"/>
                <w:i w:val="0"/>
                <w:iCs w:val="0"/>
                <w:color w:val="000000"/>
                <w:sz w:val="24"/>
                <w:szCs w:val="24"/>
                <w:u w:val="none"/>
              </w:rPr>
            </w:pPr>
          </w:p>
        </w:tc>
        <w:tc>
          <w:tcPr>
            <w:tcW w:w="606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仿宋_GB2312" w:hAnsi="宋体" w:eastAsia="仿宋_GB2312" w:cs="仿宋_GB2312"/>
                <w:i w:val="0"/>
                <w:iCs w:val="0"/>
                <w:color w:val="000000"/>
                <w:sz w:val="24"/>
                <w:szCs w:val="24"/>
                <w:u w:val="none"/>
              </w:rPr>
            </w:pPr>
          </w:p>
        </w:tc>
      </w:tr>
      <w:tr>
        <w:tblPrEx>
          <w:tblCellMar>
            <w:top w:w="0" w:type="dxa"/>
            <w:left w:w="108" w:type="dxa"/>
            <w:bottom w:w="0" w:type="dxa"/>
            <w:right w:w="108" w:type="dxa"/>
          </w:tblCellMar>
        </w:tblPrEx>
        <w:trPr>
          <w:trHeight w:val="1040" w:hRule="atLeast"/>
        </w:trPr>
        <w:tc>
          <w:tcPr>
            <w:tcW w:w="696"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kern w:val="2"/>
                <w:sz w:val="22"/>
                <w:szCs w:val="22"/>
                <w:u w:val="none"/>
                <w:lang w:val="en-US" w:eastAsia="zh-CN" w:bidi="ar-SA"/>
              </w:rPr>
            </w:pPr>
          </w:p>
        </w:tc>
        <w:tc>
          <w:tcPr>
            <w:tcW w:w="4071"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both"/>
              <w:rPr>
                <w:rFonts w:hint="eastAsia" w:ascii="仿宋_GB2312" w:hAnsi="宋体" w:eastAsia="仿宋_GB2312" w:cs="仿宋_GB2312"/>
                <w:i w:val="0"/>
                <w:iCs w:val="0"/>
                <w:color w:val="000000"/>
                <w:sz w:val="24"/>
                <w:szCs w:val="24"/>
                <w:u w:val="none"/>
              </w:rPr>
            </w:pPr>
          </w:p>
        </w:tc>
        <w:tc>
          <w:tcPr>
            <w:tcW w:w="372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仿宋_GB2312" w:hAnsi="宋体" w:eastAsia="仿宋_GB2312" w:cs="仿宋_GB2312"/>
                <w:i w:val="0"/>
                <w:iCs w:val="0"/>
                <w:color w:val="000000"/>
                <w:sz w:val="24"/>
                <w:szCs w:val="24"/>
                <w:u w:val="none"/>
              </w:rPr>
            </w:pPr>
          </w:p>
        </w:tc>
        <w:tc>
          <w:tcPr>
            <w:tcW w:w="606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仿宋_GB2312" w:hAnsi="宋体" w:eastAsia="仿宋_GB2312" w:cs="仿宋_GB2312"/>
                <w:i w:val="0"/>
                <w:iCs w:val="0"/>
                <w:color w:val="000000"/>
                <w:sz w:val="24"/>
                <w:szCs w:val="24"/>
                <w:u w:val="none"/>
              </w:rPr>
            </w:pPr>
          </w:p>
        </w:tc>
      </w:tr>
      <w:tr>
        <w:tblPrEx>
          <w:tblCellMar>
            <w:top w:w="0" w:type="dxa"/>
            <w:left w:w="108" w:type="dxa"/>
            <w:bottom w:w="0" w:type="dxa"/>
            <w:right w:w="108" w:type="dxa"/>
          </w:tblCellMar>
        </w:tblPrEx>
        <w:trPr>
          <w:trHeight w:val="270" w:hRule="atLeast"/>
        </w:trPr>
        <w:tc>
          <w:tcPr>
            <w:tcW w:w="696"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lang w:val="en-US" w:eastAsia="zh-CN"/>
              </w:rPr>
            </w:pPr>
            <w:r>
              <w:rPr>
                <w:rFonts w:hint="eastAsia" w:ascii="宋体" w:hAnsi="宋体" w:eastAsia="宋体" w:cs="宋体"/>
                <w:i w:val="0"/>
                <w:iCs w:val="0"/>
                <w:color w:val="000000"/>
                <w:sz w:val="22"/>
                <w:szCs w:val="22"/>
                <w:u w:val="none"/>
                <w:lang w:val="en-US" w:eastAsia="zh-CN"/>
              </w:rPr>
              <w:t>7</w:t>
            </w:r>
          </w:p>
        </w:tc>
        <w:tc>
          <w:tcPr>
            <w:tcW w:w="4071"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both"/>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拒绝海洋主管部门监督检查，在接受监督检查时弄虚作假，或者不提供有关文件和资料</w:t>
            </w:r>
          </w:p>
        </w:tc>
        <w:tc>
          <w:tcPr>
            <w:tcW w:w="372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1.首次被发现且违法情节轻微；         2.在限期内改正；                  3.未造成危害后果</w:t>
            </w:r>
          </w:p>
        </w:tc>
        <w:tc>
          <w:tcPr>
            <w:tcW w:w="606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1.《中华人民共和国海岛保护法》（2009年12月通过）第五十四条；                                                   2.《中华人民共和国行政处罚法》（1996年3月通过，2021年1月修订）第三十三条</w:t>
            </w:r>
          </w:p>
        </w:tc>
      </w:tr>
      <w:tr>
        <w:tblPrEx>
          <w:tblCellMar>
            <w:top w:w="0" w:type="dxa"/>
            <w:left w:w="108" w:type="dxa"/>
            <w:bottom w:w="0" w:type="dxa"/>
            <w:right w:w="108" w:type="dxa"/>
          </w:tblCellMar>
        </w:tblPrEx>
        <w:trPr>
          <w:trHeight w:val="270" w:hRule="atLeast"/>
        </w:trPr>
        <w:tc>
          <w:tcPr>
            <w:tcW w:w="696"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2"/>
                <w:szCs w:val="22"/>
                <w:u w:val="none"/>
              </w:rPr>
            </w:pPr>
          </w:p>
        </w:tc>
        <w:tc>
          <w:tcPr>
            <w:tcW w:w="4071"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both"/>
              <w:rPr>
                <w:rFonts w:hint="eastAsia" w:ascii="仿宋_GB2312" w:hAnsi="宋体" w:eastAsia="仿宋_GB2312" w:cs="仿宋_GB2312"/>
                <w:i w:val="0"/>
                <w:iCs w:val="0"/>
                <w:color w:val="000000"/>
                <w:sz w:val="24"/>
                <w:szCs w:val="24"/>
                <w:u w:val="none"/>
              </w:rPr>
            </w:pPr>
          </w:p>
        </w:tc>
        <w:tc>
          <w:tcPr>
            <w:tcW w:w="372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仿宋_GB2312" w:hAnsi="宋体" w:eastAsia="仿宋_GB2312" w:cs="仿宋_GB2312"/>
                <w:i w:val="0"/>
                <w:iCs w:val="0"/>
                <w:color w:val="000000"/>
                <w:sz w:val="24"/>
                <w:szCs w:val="24"/>
                <w:u w:val="none"/>
              </w:rPr>
            </w:pPr>
          </w:p>
        </w:tc>
        <w:tc>
          <w:tcPr>
            <w:tcW w:w="606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仿宋_GB2312" w:hAnsi="宋体" w:eastAsia="仿宋_GB2312" w:cs="仿宋_GB2312"/>
                <w:i w:val="0"/>
                <w:iCs w:val="0"/>
                <w:color w:val="000000"/>
                <w:sz w:val="24"/>
                <w:szCs w:val="24"/>
                <w:u w:val="none"/>
              </w:rPr>
            </w:pPr>
          </w:p>
        </w:tc>
      </w:tr>
      <w:tr>
        <w:tblPrEx>
          <w:tblCellMar>
            <w:top w:w="0" w:type="dxa"/>
            <w:left w:w="108" w:type="dxa"/>
            <w:bottom w:w="0" w:type="dxa"/>
            <w:right w:w="108" w:type="dxa"/>
          </w:tblCellMar>
        </w:tblPrEx>
        <w:trPr>
          <w:trHeight w:val="312" w:hRule="atLeast"/>
        </w:trPr>
        <w:tc>
          <w:tcPr>
            <w:tcW w:w="696"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kern w:val="2"/>
                <w:sz w:val="22"/>
                <w:szCs w:val="22"/>
                <w:u w:val="none"/>
                <w:lang w:val="en-US" w:eastAsia="zh-CN" w:bidi="ar-SA"/>
              </w:rPr>
            </w:pPr>
          </w:p>
        </w:tc>
        <w:tc>
          <w:tcPr>
            <w:tcW w:w="4071"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both"/>
              <w:rPr>
                <w:rFonts w:hint="eastAsia" w:ascii="仿宋_GB2312" w:hAnsi="宋体" w:eastAsia="仿宋_GB2312" w:cs="仿宋_GB2312"/>
                <w:i w:val="0"/>
                <w:iCs w:val="0"/>
                <w:color w:val="000000"/>
                <w:sz w:val="24"/>
                <w:szCs w:val="24"/>
                <w:u w:val="none"/>
              </w:rPr>
            </w:pPr>
          </w:p>
        </w:tc>
        <w:tc>
          <w:tcPr>
            <w:tcW w:w="372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仿宋_GB2312" w:hAnsi="宋体" w:eastAsia="仿宋_GB2312" w:cs="仿宋_GB2312"/>
                <w:i w:val="0"/>
                <w:iCs w:val="0"/>
                <w:color w:val="000000"/>
                <w:sz w:val="24"/>
                <w:szCs w:val="24"/>
                <w:u w:val="none"/>
              </w:rPr>
            </w:pPr>
          </w:p>
        </w:tc>
        <w:tc>
          <w:tcPr>
            <w:tcW w:w="606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仿宋_GB2312" w:hAnsi="宋体" w:eastAsia="仿宋_GB2312" w:cs="仿宋_GB2312"/>
                <w:i w:val="0"/>
                <w:iCs w:val="0"/>
                <w:color w:val="000000"/>
                <w:sz w:val="24"/>
                <w:szCs w:val="24"/>
                <w:u w:val="none"/>
              </w:rPr>
            </w:pPr>
          </w:p>
        </w:tc>
      </w:tr>
      <w:tr>
        <w:tblPrEx>
          <w:tblCellMar>
            <w:top w:w="0" w:type="dxa"/>
            <w:left w:w="108" w:type="dxa"/>
            <w:bottom w:w="0" w:type="dxa"/>
            <w:right w:w="108" w:type="dxa"/>
          </w:tblCellMar>
        </w:tblPrEx>
        <w:trPr>
          <w:trHeight w:val="270" w:hRule="atLeast"/>
        </w:trPr>
        <w:tc>
          <w:tcPr>
            <w:tcW w:w="696"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宋体" w:hAnsi="宋体" w:eastAsia="宋体" w:cs="宋体"/>
                <w:i w:val="0"/>
                <w:iCs w:val="0"/>
                <w:color w:val="000000"/>
                <w:sz w:val="22"/>
                <w:szCs w:val="22"/>
                <w:u w:val="none"/>
                <w:lang w:val="en-US" w:eastAsia="zh-CN"/>
              </w:rPr>
            </w:pPr>
            <w:r>
              <w:rPr>
                <w:rFonts w:hint="eastAsia" w:ascii="宋体" w:hAnsi="宋体" w:eastAsia="宋体" w:cs="宋体"/>
                <w:i w:val="0"/>
                <w:iCs w:val="0"/>
                <w:color w:val="000000"/>
                <w:sz w:val="22"/>
                <w:szCs w:val="22"/>
                <w:u w:val="none"/>
                <w:lang w:val="en-US" w:eastAsia="zh-CN"/>
              </w:rPr>
              <w:t>8</w:t>
            </w:r>
          </w:p>
        </w:tc>
        <w:tc>
          <w:tcPr>
            <w:tcW w:w="4071"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both"/>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海域使用权期满，未办理有关手续仍继续使用海域</w:t>
            </w:r>
          </w:p>
        </w:tc>
        <w:tc>
          <w:tcPr>
            <w:tcW w:w="372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1.首次被发现且违法情节轻微；        2.在限期内补办有关手续；            3.未造成危害后果</w:t>
            </w:r>
          </w:p>
        </w:tc>
        <w:tc>
          <w:tcPr>
            <w:tcW w:w="606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1.《中华人民共和国海域使用管理法》（2001年10月通过）第四十五条；                                               2.《中华人民共和国行政处罚法》（1996年3月通过，2021年1月修订）第三十三条</w:t>
            </w:r>
          </w:p>
        </w:tc>
      </w:tr>
      <w:tr>
        <w:tblPrEx>
          <w:tblCellMar>
            <w:top w:w="0" w:type="dxa"/>
            <w:left w:w="108" w:type="dxa"/>
            <w:bottom w:w="0" w:type="dxa"/>
            <w:right w:w="108" w:type="dxa"/>
          </w:tblCellMar>
        </w:tblPrEx>
        <w:trPr>
          <w:trHeight w:val="270" w:hRule="atLeast"/>
        </w:trPr>
        <w:tc>
          <w:tcPr>
            <w:tcW w:w="696"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2"/>
                <w:szCs w:val="22"/>
                <w:u w:val="none"/>
              </w:rPr>
            </w:pPr>
          </w:p>
        </w:tc>
        <w:tc>
          <w:tcPr>
            <w:tcW w:w="4071"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both"/>
              <w:rPr>
                <w:rFonts w:hint="eastAsia" w:ascii="仿宋_GB2312" w:hAnsi="宋体" w:eastAsia="仿宋_GB2312" w:cs="仿宋_GB2312"/>
                <w:i w:val="0"/>
                <w:iCs w:val="0"/>
                <w:color w:val="000000"/>
                <w:sz w:val="24"/>
                <w:szCs w:val="24"/>
                <w:u w:val="none"/>
              </w:rPr>
            </w:pPr>
          </w:p>
        </w:tc>
        <w:tc>
          <w:tcPr>
            <w:tcW w:w="372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仿宋_GB2312" w:hAnsi="宋体" w:eastAsia="仿宋_GB2312" w:cs="仿宋_GB2312"/>
                <w:i w:val="0"/>
                <w:iCs w:val="0"/>
                <w:color w:val="000000"/>
                <w:sz w:val="24"/>
                <w:szCs w:val="24"/>
                <w:u w:val="none"/>
              </w:rPr>
            </w:pPr>
          </w:p>
        </w:tc>
        <w:tc>
          <w:tcPr>
            <w:tcW w:w="606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仿宋_GB2312" w:hAnsi="宋体" w:eastAsia="仿宋_GB2312" w:cs="仿宋_GB2312"/>
                <w:i w:val="0"/>
                <w:iCs w:val="0"/>
                <w:color w:val="000000"/>
                <w:sz w:val="24"/>
                <w:szCs w:val="24"/>
                <w:u w:val="none"/>
              </w:rPr>
            </w:pPr>
          </w:p>
        </w:tc>
      </w:tr>
      <w:tr>
        <w:tblPrEx>
          <w:tblCellMar>
            <w:top w:w="0" w:type="dxa"/>
            <w:left w:w="108" w:type="dxa"/>
            <w:bottom w:w="0" w:type="dxa"/>
            <w:right w:w="108" w:type="dxa"/>
          </w:tblCellMar>
        </w:tblPrEx>
        <w:trPr>
          <w:trHeight w:val="960" w:hRule="atLeast"/>
        </w:trPr>
        <w:tc>
          <w:tcPr>
            <w:tcW w:w="696"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2"/>
                <w:szCs w:val="22"/>
                <w:u w:val="none"/>
              </w:rPr>
            </w:pPr>
          </w:p>
        </w:tc>
        <w:tc>
          <w:tcPr>
            <w:tcW w:w="4071"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both"/>
              <w:rPr>
                <w:rFonts w:hint="eastAsia" w:ascii="仿宋_GB2312" w:hAnsi="宋体" w:eastAsia="仿宋_GB2312" w:cs="仿宋_GB2312"/>
                <w:i w:val="0"/>
                <w:iCs w:val="0"/>
                <w:color w:val="000000"/>
                <w:sz w:val="24"/>
                <w:szCs w:val="24"/>
                <w:u w:val="none"/>
              </w:rPr>
            </w:pPr>
          </w:p>
        </w:tc>
        <w:tc>
          <w:tcPr>
            <w:tcW w:w="372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仿宋_GB2312" w:hAnsi="宋体" w:eastAsia="仿宋_GB2312" w:cs="仿宋_GB2312"/>
                <w:i w:val="0"/>
                <w:iCs w:val="0"/>
                <w:color w:val="000000"/>
                <w:sz w:val="24"/>
                <w:szCs w:val="24"/>
                <w:u w:val="none"/>
              </w:rPr>
            </w:pPr>
          </w:p>
        </w:tc>
        <w:tc>
          <w:tcPr>
            <w:tcW w:w="606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仿宋_GB2312" w:hAnsi="宋体" w:eastAsia="仿宋_GB2312" w:cs="仿宋_GB2312"/>
                <w:i w:val="0"/>
                <w:iCs w:val="0"/>
                <w:color w:val="000000"/>
                <w:sz w:val="24"/>
                <w:szCs w:val="24"/>
                <w:u w:val="none"/>
              </w:rPr>
            </w:pPr>
          </w:p>
        </w:tc>
      </w:tr>
      <w:tr>
        <w:tblPrEx>
          <w:tblCellMar>
            <w:top w:w="0" w:type="dxa"/>
            <w:left w:w="108" w:type="dxa"/>
            <w:bottom w:w="0" w:type="dxa"/>
            <w:right w:w="108" w:type="dxa"/>
          </w:tblCellMar>
        </w:tblPrEx>
        <w:trPr>
          <w:trHeight w:val="960" w:hRule="atLeast"/>
        </w:trPr>
        <w:tc>
          <w:tcPr>
            <w:tcW w:w="6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2"/>
                <w:szCs w:val="22"/>
                <w:u w:val="none"/>
                <w:lang w:val="en-US" w:eastAsia="zh-CN"/>
              </w:rPr>
            </w:pPr>
            <w:r>
              <w:rPr>
                <w:rFonts w:hint="eastAsia" w:ascii="宋体" w:hAnsi="宋体" w:eastAsia="宋体" w:cs="宋体"/>
                <w:i w:val="0"/>
                <w:iCs w:val="0"/>
                <w:color w:val="000000"/>
                <w:sz w:val="22"/>
                <w:szCs w:val="22"/>
                <w:u w:val="none"/>
                <w:lang w:val="en-US" w:eastAsia="zh-CN"/>
              </w:rPr>
              <w:t>9</w:t>
            </w:r>
          </w:p>
        </w:tc>
        <w:tc>
          <w:tcPr>
            <w:tcW w:w="40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仿宋_GB2312" w:hAnsi="宋体" w:eastAsia="仿宋_GB2312" w:cs="仿宋_GB2312"/>
                <w:i w:val="0"/>
                <w:iCs w:val="0"/>
                <w:color w:val="000000"/>
                <w:kern w:val="0"/>
                <w:sz w:val="24"/>
                <w:szCs w:val="24"/>
                <w:u w:val="none"/>
                <w:lang w:val="en-US" w:eastAsia="zh-CN" w:bidi="ar"/>
              </w:rPr>
            </w:pPr>
            <w:r>
              <w:rPr>
                <w:rFonts w:hint="eastAsia" w:ascii="仿宋_GB2312" w:hAnsi="宋体" w:eastAsia="仿宋_GB2312" w:cs="仿宋_GB2312"/>
                <w:i w:val="0"/>
                <w:iCs w:val="0"/>
                <w:color w:val="000000"/>
                <w:kern w:val="0"/>
                <w:sz w:val="24"/>
                <w:szCs w:val="24"/>
                <w:u w:val="none"/>
                <w:lang w:val="en-US" w:eastAsia="zh-CN" w:bidi="ar"/>
              </w:rPr>
              <w:t>危害航标及其辅助设施行为</w:t>
            </w:r>
          </w:p>
        </w:tc>
        <w:tc>
          <w:tcPr>
            <w:tcW w:w="37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仿宋_GB2312" w:hAnsi="宋体" w:eastAsia="仿宋_GB2312" w:cs="仿宋_GB2312"/>
                <w:i w:val="0"/>
                <w:iCs w:val="0"/>
                <w:color w:val="000000"/>
                <w:kern w:val="0"/>
                <w:sz w:val="24"/>
                <w:szCs w:val="24"/>
                <w:u w:val="none"/>
                <w:lang w:val="en-US" w:eastAsia="zh-CN" w:bidi="ar"/>
              </w:rPr>
            </w:pPr>
            <w:r>
              <w:rPr>
                <w:rFonts w:hint="eastAsia" w:ascii="仿宋_GB2312" w:hAnsi="宋体" w:eastAsia="仿宋_GB2312" w:cs="仿宋_GB2312"/>
                <w:i w:val="0"/>
                <w:iCs w:val="0"/>
                <w:color w:val="000000"/>
                <w:kern w:val="0"/>
                <w:sz w:val="24"/>
                <w:szCs w:val="24"/>
                <w:u w:val="none"/>
                <w:lang w:val="en-US" w:eastAsia="zh-CN" w:bidi="ar"/>
              </w:rPr>
              <w:t>1.非故意损坏航标及其辅助设施；</w:t>
            </w:r>
            <w:r>
              <w:rPr>
                <w:rFonts w:hint="eastAsia" w:ascii="仿宋_GB2312" w:hAnsi="宋体" w:eastAsia="仿宋_GB2312" w:cs="仿宋_GB2312"/>
                <w:i w:val="0"/>
                <w:iCs w:val="0"/>
                <w:color w:val="000000"/>
                <w:kern w:val="0"/>
                <w:sz w:val="24"/>
                <w:szCs w:val="24"/>
                <w:u w:val="none"/>
                <w:lang w:val="en-US" w:eastAsia="zh-CN" w:bidi="ar"/>
              </w:rPr>
              <w:br w:type="textWrapping"/>
            </w:r>
            <w:r>
              <w:rPr>
                <w:rFonts w:hint="eastAsia" w:ascii="仿宋_GB2312" w:hAnsi="宋体" w:eastAsia="仿宋_GB2312" w:cs="仿宋_GB2312"/>
                <w:i w:val="0"/>
                <w:iCs w:val="0"/>
                <w:color w:val="000000"/>
                <w:kern w:val="0"/>
                <w:sz w:val="24"/>
                <w:szCs w:val="24"/>
                <w:u w:val="none"/>
                <w:lang w:val="en-US" w:eastAsia="zh-CN" w:bidi="ar"/>
              </w:rPr>
              <w:t>2.及时改正或者对损坏的航道航产能及时报告并足额赔偿；</w:t>
            </w:r>
            <w:r>
              <w:rPr>
                <w:rFonts w:hint="eastAsia" w:ascii="仿宋_GB2312" w:hAnsi="宋体" w:eastAsia="仿宋_GB2312" w:cs="仿宋_GB2312"/>
                <w:i w:val="0"/>
                <w:iCs w:val="0"/>
                <w:color w:val="000000"/>
                <w:kern w:val="0"/>
                <w:sz w:val="24"/>
                <w:szCs w:val="24"/>
                <w:u w:val="none"/>
                <w:lang w:val="en-US" w:eastAsia="zh-CN" w:bidi="ar"/>
              </w:rPr>
              <w:br w:type="textWrapping"/>
            </w:r>
            <w:r>
              <w:rPr>
                <w:rFonts w:hint="eastAsia" w:ascii="仿宋_GB2312" w:hAnsi="宋体" w:eastAsia="仿宋_GB2312" w:cs="仿宋_GB2312"/>
                <w:i w:val="0"/>
                <w:iCs w:val="0"/>
                <w:color w:val="000000"/>
                <w:kern w:val="0"/>
                <w:sz w:val="24"/>
                <w:szCs w:val="24"/>
                <w:u w:val="none"/>
                <w:lang w:val="en-US" w:eastAsia="zh-CN" w:bidi="ar"/>
              </w:rPr>
              <w:t>3.未造成危害后果</w:t>
            </w:r>
          </w:p>
        </w:tc>
        <w:tc>
          <w:tcPr>
            <w:tcW w:w="60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仿宋_GB2312" w:hAnsi="宋体" w:eastAsia="仿宋_GB2312" w:cs="仿宋_GB2312"/>
                <w:i w:val="0"/>
                <w:iCs w:val="0"/>
                <w:color w:val="000000"/>
                <w:kern w:val="0"/>
                <w:sz w:val="24"/>
                <w:szCs w:val="24"/>
                <w:u w:val="none"/>
                <w:lang w:val="en-US" w:eastAsia="zh-CN" w:bidi="ar"/>
              </w:rPr>
            </w:pPr>
            <w:r>
              <w:rPr>
                <w:rFonts w:hint="eastAsia" w:ascii="仿宋_GB2312" w:hAnsi="宋体" w:eastAsia="仿宋_GB2312" w:cs="仿宋_GB2312"/>
                <w:i w:val="0"/>
                <w:iCs w:val="0"/>
                <w:color w:val="000000"/>
                <w:kern w:val="0"/>
                <w:sz w:val="24"/>
                <w:szCs w:val="24"/>
                <w:u w:val="none"/>
                <w:lang w:val="en-US" w:eastAsia="zh-CN" w:bidi="ar"/>
              </w:rPr>
              <w:t>1.《中华人民共和国航标条例》（1995年12月国务院令第187号公布，2011年1月国务院令第588号修订）第二十二条；</w:t>
            </w:r>
            <w:r>
              <w:rPr>
                <w:rFonts w:hint="eastAsia" w:ascii="仿宋_GB2312" w:hAnsi="宋体" w:eastAsia="仿宋_GB2312" w:cs="仿宋_GB2312"/>
                <w:i w:val="0"/>
                <w:iCs w:val="0"/>
                <w:color w:val="000000"/>
                <w:kern w:val="0"/>
                <w:sz w:val="24"/>
                <w:szCs w:val="24"/>
                <w:u w:val="none"/>
                <w:lang w:val="en-US" w:eastAsia="zh-CN" w:bidi="ar"/>
              </w:rPr>
              <w:br w:type="textWrapping"/>
            </w:r>
            <w:r>
              <w:rPr>
                <w:rFonts w:hint="eastAsia" w:ascii="仿宋_GB2312" w:hAnsi="宋体" w:eastAsia="仿宋_GB2312" w:cs="仿宋_GB2312"/>
                <w:i w:val="0"/>
                <w:iCs w:val="0"/>
                <w:color w:val="000000"/>
                <w:kern w:val="0"/>
                <w:sz w:val="24"/>
                <w:szCs w:val="24"/>
                <w:u w:val="none"/>
                <w:lang w:val="en-US" w:eastAsia="zh-CN" w:bidi="ar"/>
              </w:rPr>
              <w:t>2.《中华人民共和国行政处罚法》（1996年3月通过，2021年1月修订）第三十三条</w:t>
            </w:r>
          </w:p>
        </w:tc>
      </w:tr>
      <w:tr>
        <w:tblPrEx>
          <w:tblCellMar>
            <w:top w:w="0" w:type="dxa"/>
            <w:left w:w="108" w:type="dxa"/>
            <w:bottom w:w="0" w:type="dxa"/>
            <w:right w:w="108" w:type="dxa"/>
          </w:tblCellMar>
        </w:tblPrEx>
        <w:trPr>
          <w:trHeight w:val="960" w:hRule="atLeast"/>
        </w:trPr>
        <w:tc>
          <w:tcPr>
            <w:tcW w:w="6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宋体" w:hAnsi="宋体" w:eastAsia="宋体" w:cs="宋体"/>
                <w:i w:val="0"/>
                <w:iCs w:val="0"/>
                <w:color w:val="000000"/>
                <w:sz w:val="22"/>
                <w:szCs w:val="22"/>
                <w:u w:val="none"/>
                <w:lang w:val="en-US" w:eastAsia="zh-CN"/>
              </w:rPr>
            </w:pPr>
            <w:r>
              <w:rPr>
                <w:rFonts w:hint="eastAsia" w:ascii="宋体" w:hAnsi="宋体" w:eastAsia="宋体" w:cs="宋体"/>
                <w:i w:val="0"/>
                <w:iCs w:val="0"/>
                <w:color w:val="000000"/>
                <w:sz w:val="22"/>
                <w:szCs w:val="22"/>
                <w:u w:val="none"/>
                <w:lang w:val="en-US" w:eastAsia="zh-CN"/>
              </w:rPr>
              <w:t>10</w:t>
            </w:r>
          </w:p>
        </w:tc>
        <w:tc>
          <w:tcPr>
            <w:tcW w:w="40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仿宋_GB2312" w:hAnsi="宋体" w:eastAsia="仿宋_GB2312" w:cs="仿宋_GB2312"/>
                <w:i w:val="0"/>
                <w:iCs w:val="0"/>
                <w:color w:val="000000"/>
                <w:kern w:val="0"/>
                <w:sz w:val="24"/>
                <w:szCs w:val="24"/>
                <w:u w:val="none"/>
                <w:lang w:val="en-US" w:eastAsia="zh-CN" w:bidi="ar"/>
              </w:rPr>
            </w:pPr>
            <w:r>
              <w:rPr>
                <w:rFonts w:hint="eastAsia" w:ascii="仿宋_GB2312" w:hAnsi="宋体" w:eastAsia="仿宋_GB2312" w:cs="仿宋_GB2312"/>
                <w:i w:val="0"/>
                <w:iCs w:val="0"/>
                <w:color w:val="000000"/>
                <w:kern w:val="0"/>
                <w:sz w:val="24"/>
                <w:szCs w:val="24"/>
                <w:u w:val="none"/>
                <w:lang w:val="en-US" w:eastAsia="zh-CN" w:bidi="ar"/>
              </w:rPr>
              <w:t>影响航标工作效能行为</w:t>
            </w:r>
          </w:p>
        </w:tc>
        <w:tc>
          <w:tcPr>
            <w:tcW w:w="37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仿宋_GB2312" w:hAnsi="宋体" w:eastAsia="仿宋_GB2312" w:cs="仿宋_GB2312"/>
                <w:i w:val="0"/>
                <w:iCs w:val="0"/>
                <w:color w:val="000000"/>
                <w:kern w:val="0"/>
                <w:sz w:val="24"/>
                <w:szCs w:val="24"/>
                <w:u w:val="none"/>
                <w:lang w:val="en-US" w:eastAsia="zh-CN" w:bidi="ar"/>
              </w:rPr>
            </w:pPr>
            <w:r>
              <w:rPr>
                <w:rFonts w:hint="eastAsia" w:ascii="仿宋_GB2312" w:hAnsi="宋体" w:eastAsia="仿宋_GB2312" w:cs="仿宋_GB2312"/>
                <w:i w:val="0"/>
                <w:iCs w:val="0"/>
                <w:color w:val="000000"/>
                <w:kern w:val="0"/>
                <w:sz w:val="24"/>
                <w:szCs w:val="24"/>
                <w:u w:val="none"/>
                <w:lang w:val="en-US" w:eastAsia="zh-CN" w:bidi="ar"/>
              </w:rPr>
              <w:t>1.非故意影响航标工作效能；</w:t>
            </w:r>
            <w:r>
              <w:rPr>
                <w:rFonts w:hint="eastAsia" w:ascii="仿宋_GB2312" w:hAnsi="宋体" w:eastAsia="仿宋_GB2312" w:cs="仿宋_GB2312"/>
                <w:i w:val="0"/>
                <w:iCs w:val="0"/>
                <w:color w:val="000000"/>
                <w:kern w:val="0"/>
                <w:sz w:val="24"/>
                <w:szCs w:val="24"/>
                <w:u w:val="none"/>
                <w:lang w:val="en-US" w:eastAsia="zh-CN" w:bidi="ar"/>
              </w:rPr>
              <w:br w:type="textWrapping"/>
            </w:r>
            <w:r>
              <w:rPr>
                <w:rFonts w:hint="eastAsia" w:ascii="仿宋_GB2312" w:hAnsi="宋体" w:eastAsia="仿宋_GB2312" w:cs="仿宋_GB2312"/>
                <w:i w:val="0"/>
                <w:iCs w:val="0"/>
                <w:color w:val="000000"/>
                <w:kern w:val="0"/>
                <w:sz w:val="24"/>
                <w:szCs w:val="24"/>
                <w:u w:val="none"/>
                <w:lang w:val="en-US" w:eastAsia="zh-CN" w:bidi="ar"/>
              </w:rPr>
              <w:t>2.经责令改正后主动消除影响；</w:t>
            </w:r>
            <w:r>
              <w:rPr>
                <w:rFonts w:hint="eastAsia" w:ascii="仿宋_GB2312" w:hAnsi="宋体" w:eastAsia="仿宋_GB2312" w:cs="仿宋_GB2312"/>
                <w:i w:val="0"/>
                <w:iCs w:val="0"/>
                <w:color w:val="000000"/>
                <w:kern w:val="0"/>
                <w:sz w:val="24"/>
                <w:szCs w:val="24"/>
                <w:u w:val="none"/>
                <w:lang w:val="en-US" w:eastAsia="zh-CN" w:bidi="ar"/>
              </w:rPr>
              <w:br w:type="textWrapping"/>
            </w:r>
            <w:r>
              <w:rPr>
                <w:rFonts w:hint="eastAsia" w:ascii="仿宋_GB2312" w:hAnsi="宋体" w:eastAsia="仿宋_GB2312" w:cs="仿宋_GB2312"/>
                <w:i w:val="0"/>
                <w:iCs w:val="0"/>
                <w:color w:val="000000"/>
                <w:kern w:val="0"/>
                <w:sz w:val="24"/>
                <w:szCs w:val="24"/>
                <w:u w:val="none"/>
                <w:lang w:val="en-US" w:eastAsia="zh-CN" w:bidi="ar"/>
              </w:rPr>
              <w:t>3.未造成危害后果</w:t>
            </w:r>
          </w:p>
        </w:tc>
        <w:tc>
          <w:tcPr>
            <w:tcW w:w="60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仿宋_GB2312" w:hAnsi="宋体" w:eastAsia="仿宋_GB2312" w:cs="仿宋_GB2312"/>
                <w:i w:val="0"/>
                <w:iCs w:val="0"/>
                <w:color w:val="000000"/>
                <w:kern w:val="0"/>
                <w:sz w:val="24"/>
                <w:szCs w:val="24"/>
                <w:u w:val="none"/>
                <w:lang w:val="en-US" w:eastAsia="zh-CN" w:bidi="ar"/>
              </w:rPr>
            </w:pPr>
            <w:r>
              <w:rPr>
                <w:rFonts w:hint="eastAsia" w:ascii="仿宋_GB2312" w:hAnsi="宋体" w:eastAsia="仿宋_GB2312" w:cs="仿宋_GB2312"/>
                <w:i w:val="0"/>
                <w:iCs w:val="0"/>
                <w:color w:val="000000"/>
                <w:kern w:val="0"/>
                <w:sz w:val="24"/>
                <w:szCs w:val="24"/>
                <w:u w:val="none"/>
                <w:lang w:val="en-US" w:eastAsia="zh-CN" w:bidi="ar"/>
              </w:rPr>
              <w:t>1.《中华人民共和国航标条例》（1995年12月国务院令第187号公布，2011年1月国务院令第588号修正）第二十二条；</w:t>
            </w:r>
            <w:r>
              <w:rPr>
                <w:rFonts w:hint="eastAsia" w:ascii="仿宋_GB2312" w:hAnsi="宋体" w:eastAsia="仿宋_GB2312" w:cs="仿宋_GB2312"/>
                <w:i w:val="0"/>
                <w:iCs w:val="0"/>
                <w:color w:val="000000"/>
                <w:kern w:val="0"/>
                <w:sz w:val="24"/>
                <w:szCs w:val="24"/>
                <w:u w:val="none"/>
                <w:lang w:val="en-US" w:eastAsia="zh-CN" w:bidi="ar"/>
              </w:rPr>
              <w:br w:type="textWrapping"/>
            </w:r>
            <w:r>
              <w:rPr>
                <w:rFonts w:hint="eastAsia" w:ascii="仿宋_GB2312" w:hAnsi="宋体" w:eastAsia="仿宋_GB2312" w:cs="仿宋_GB2312"/>
                <w:i w:val="0"/>
                <w:iCs w:val="0"/>
                <w:color w:val="000000"/>
                <w:kern w:val="0"/>
                <w:sz w:val="24"/>
                <w:szCs w:val="24"/>
                <w:u w:val="none"/>
                <w:lang w:val="en-US" w:eastAsia="zh-CN" w:bidi="ar"/>
              </w:rPr>
              <w:t>2.《中华人民共和国行政处罚法》（1996年3月通过，2021年1月修订）第三十三条</w:t>
            </w:r>
          </w:p>
        </w:tc>
      </w:tr>
      <w:tr>
        <w:tblPrEx>
          <w:tblCellMar>
            <w:top w:w="0" w:type="dxa"/>
            <w:left w:w="108" w:type="dxa"/>
            <w:bottom w:w="0" w:type="dxa"/>
            <w:right w:w="108" w:type="dxa"/>
          </w:tblCellMar>
        </w:tblPrEx>
        <w:trPr>
          <w:trHeight w:val="960" w:hRule="atLeast"/>
        </w:trPr>
        <w:tc>
          <w:tcPr>
            <w:tcW w:w="6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宋体" w:hAnsi="宋体" w:eastAsia="宋体" w:cs="宋体"/>
                <w:i w:val="0"/>
                <w:iCs w:val="0"/>
                <w:color w:val="000000"/>
                <w:sz w:val="22"/>
                <w:szCs w:val="22"/>
                <w:u w:val="none"/>
                <w:lang w:val="en-US" w:eastAsia="zh-CN"/>
              </w:rPr>
            </w:pPr>
            <w:r>
              <w:rPr>
                <w:rFonts w:hint="eastAsia" w:ascii="宋体" w:hAnsi="宋体" w:eastAsia="宋体" w:cs="宋体"/>
                <w:i w:val="0"/>
                <w:iCs w:val="0"/>
                <w:color w:val="000000"/>
                <w:sz w:val="22"/>
                <w:szCs w:val="22"/>
                <w:u w:val="none"/>
                <w:lang w:val="en-US" w:eastAsia="zh-CN"/>
              </w:rPr>
              <w:t>11</w:t>
            </w:r>
          </w:p>
        </w:tc>
        <w:tc>
          <w:tcPr>
            <w:tcW w:w="40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仿宋_GB2312" w:hAnsi="宋体" w:eastAsia="仿宋_GB2312" w:cs="仿宋_GB2312"/>
                <w:i w:val="0"/>
                <w:iCs w:val="0"/>
                <w:color w:val="000000"/>
                <w:kern w:val="0"/>
                <w:sz w:val="24"/>
                <w:szCs w:val="24"/>
                <w:u w:val="none"/>
                <w:lang w:val="en-US" w:eastAsia="zh-CN" w:bidi="ar"/>
              </w:rPr>
            </w:pPr>
            <w:r>
              <w:rPr>
                <w:rFonts w:hint="eastAsia" w:ascii="仿宋_GB2312" w:hAnsi="宋体" w:eastAsia="仿宋_GB2312" w:cs="仿宋_GB2312"/>
                <w:i w:val="0"/>
                <w:iCs w:val="0"/>
                <w:color w:val="000000"/>
                <w:kern w:val="0"/>
                <w:sz w:val="24"/>
                <w:szCs w:val="24"/>
                <w:u w:val="none"/>
                <w:lang w:val="en-US" w:eastAsia="zh-CN" w:bidi="ar"/>
              </w:rPr>
              <w:t>触碰航标不报告</w:t>
            </w:r>
          </w:p>
        </w:tc>
        <w:tc>
          <w:tcPr>
            <w:tcW w:w="37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仿宋_GB2312" w:hAnsi="宋体" w:eastAsia="仿宋_GB2312" w:cs="仿宋_GB2312"/>
                <w:i w:val="0"/>
                <w:iCs w:val="0"/>
                <w:color w:val="000000"/>
                <w:kern w:val="0"/>
                <w:sz w:val="24"/>
                <w:szCs w:val="24"/>
                <w:u w:val="none"/>
                <w:lang w:val="en-US" w:eastAsia="zh-CN" w:bidi="ar"/>
              </w:rPr>
            </w:pPr>
            <w:r>
              <w:rPr>
                <w:rFonts w:hint="eastAsia" w:ascii="仿宋_GB2312" w:hAnsi="宋体" w:eastAsia="仿宋_GB2312" w:cs="仿宋_GB2312"/>
                <w:i w:val="0"/>
                <w:iCs w:val="0"/>
                <w:color w:val="000000"/>
                <w:kern w:val="0"/>
                <w:sz w:val="24"/>
                <w:szCs w:val="24"/>
                <w:u w:val="none"/>
                <w:lang w:val="en-US" w:eastAsia="zh-CN" w:bidi="ar"/>
              </w:rPr>
              <w:t>1.非故意触碰航标；</w:t>
            </w:r>
            <w:r>
              <w:rPr>
                <w:rFonts w:hint="eastAsia" w:ascii="仿宋_GB2312" w:hAnsi="宋体" w:eastAsia="仿宋_GB2312" w:cs="仿宋_GB2312"/>
                <w:i w:val="0"/>
                <w:iCs w:val="0"/>
                <w:color w:val="000000"/>
                <w:kern w:val="0"/>
                <w:sz w:val="24"/>
                <w:szCs w:val="24"/>
                <w:u w:val="none"/>
                <w:lang w:val="en-US" w:eastAsia="zh-CN" w:bidi="ar"/>
              </w:rPr>
              <w:br w:type="textWrapping"/>
            </w:r>
            <w:r>
              <w:rPr>
                <w:rFonts w:hint="eastAsia" w:ascii="仿宋_GB2312" w:hAnsi="宋体" w:eastAsia="仿宋_GB2312" w:cs="仿宋_GB2312"/>
                <w:i w:val="0"/>
                <w:iCs w:val="0"/>
                <w:color w:val="000000"/>
                <w:kern w:val="0"/>
                <w:sz w:val="24"/>
                <w:szCs w:val="24"/>
                <w:u w:val="none"/>
                <w:lang w:val="en-US" w:eastAsia="zh-CN" w:bidi="ar"/>
              </w:rPr>
              <w:t>2.及时将航标复位，不影响航标正常使用；</w:t>
            </w:r>
            <w:r>
              <w:rPr>
                <w:rFonts w:hint="eastAsia" w:ascii="仿宋_GB2312" w:hAnsi="宋体" w:eastAsia="仿宋_GB2312" w:cs="仿宋_GB2312"/>
                <w:i w:val="0"/>
                <w:iCs w:val="0"/>
                <w:color w:val="000000"/>
                <w:kern w:val="0"/>
                <w:sz w:val="24"/>
                <w:szCs w:val="24"/>
                <w:u w:val="none"/>
                <w:lang w:val="en-US" w:eastAsia="zh-CN" w:bidi="ar"/>
              </w:rPr>
              <w:br w:type="textWrapping"/>
            </w:r>
            <w:r>
              <w:rPr>
                <w:rFonts w:hint="eastAsia" w:ascii="仿宋_GB2312" w:hAnsi="宋体" w:eastAsia="仿宋_GB2312" w:cs="仿宋_GB2312"/>
                <w:i w:val="0"/>
                <w:iCs w:val="0"/>
                <w:color w:val="000000"/>
                <w:kern w:val="0"/>
                <w:sz w:val="24"/>
                <w:szCs w:val="24"/>
                <w:u w:val="none"/>
                <w:lang w:val="en-US" w:eastAsia="zh-CN" w:bidi="ar"/>
              </w:rPr>
              <w:t>3.未造成危害后果</w:t>
            </w:r>
          </w:p>
        </w:tc>
        <w:tc>
          <w:tcPr>
            <w:tcW w:w="60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仿宋_GB2312" w:hAnsi="宋体" w:eastAsia="仿宋_GB2312" w:cs="仿宋_GB2312"/>
                <w:i w:val="0"/>
                <w:iCs w:val="0"/>
                <w:color w:val="000000"/>
                <w:kern w:val="0"/>
                <w:sz w:val="24"/>
                <w:szCs w:val="24"/>
                <w:u w:val="none"/>
                <w:lang w:val="en-US" w:eastAsia="zh-CN" w:bidi="ar"/>
              </w:rPr>
            </w:pPr>
            <w:r>
              <w:rPr>
                <w:rFonts w:hint="eastAsia" w:ascii="仿宋_GB2312" w:hAnsi="宋体" w:eastAsia="仿宋_GB2312" w:cs="仿宋_GB2312"/>
                <w:i w:val="0"/>
                <w:iCs w:val="0"/>
                <w:color w:val="000000"/>
                <w:kern w:val="0"/>
                <w:sz w:val="24"/>
                <w:szCs w:val="24"/>
                <w:u w:val="none"/>
                <w:lang w:val="en-US" w:eastAsia="zh-CN" w:bidi="ar"/>
              </w:rPr>
              <w:t>1.《中华人民共和国航标条例》（1995年12月通过，2011年1月国务院令第588号修正）第二十一条；</w:t>
            </w:r>
            <w:r>
              <w:rPr>
                <w:rFonts w:hint="eastAsia" w:ascii="仿宋_GB2312" w:hAnsi="宋体" w:eastAsia="仿宋_GB2312" w:cs="仿宋_GB2312"/>
                <w:i w:val="0"/>
                <w:iCs w:val="0"/>
                <w:color w:val="000000"/>
                <w:kern w:val="0"/>
                <w:sz w:val="24"/>
                <w:szCs w:val="24"/>
                <w:u w:val="none"/>
                <w:lang w:val="en-US" w:eastAsia="zh-CN" w:bidi="ar"/>
              </w:rPr>
              <w:br w:type="textWrapping"/>
            </w:r>
            <w:r>
              <w:rPr>
                <w:rFonts w:hint="eastAsia" w:ascii="仿宋_GB2312" w:hAnsi="宋体" w:eastAsia="仿宋_GB2312" w:cs="仿宋_GB2312"/>
                <w:i w:val="0"/>
                <w:iCs w:val="0"/>
                <w:color w:val="000000"/>
                <w:kern w:val="0"/>
                <w:sz w:val="24"/>
                <w:szCs w:val="24"/>
                <w:u w:val="none"/>
                <w:lang w:val="en-US" w:eastAsia="zh-CN" w:bidi="ar"/>
              </w:rPr>
              <w:t>2.《中华人民共和国行政处罚法》（1996年3月通过，2021年1月修订）第三十三条</w:t>
            </w:r>
          </w:p>
        </w:tc>
      </w:tr>
      <w:tr>
        <w:tblPrEx>
          <w:tblCellMar>
            <w:top w:w="0" w:type="dxa"/>
            <w:left w:w="108" w:type="dxa"/>
            <w:bottom w:w="0" w:type="dxa"/>
            <w:right w:w="108" w:type="dxa"/>
          </w:tblCellMar>
        </w:tblPrEx>
        <w:trPr>
          <w:trHeight w:val="960" w:hRule="atLeast"/>
        </w:trPr>
        <w:tc>
          <w:tcPr>
            <w:tcW w:w="6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宋体" w:hAnsi="宋体" w:eastAsia="宋体" w:cs="宋体"/>
                <w:i w:val="0"/>
                <w:iCs w:val="0"/>
                <w:color w:val="000000"/>
                <w:sz w:val="22"/>
                <w:szCs w:val="22"/>
                <w:u w:val="none"/>
                <w:lang w:val="en-US" w:eastAsia="zh-CN"/>
              </w:rPr>
            </w:pPr>
            <w:r>
              <w:rPr>
                <w:rFonts w:hint="eastAsia" w:ascii="宋体" w:hAnsi="宋体" w:eastAsia="宋体" w:cs="宋体"/>
                <w:i w:val="0"/>
                <w:iCs w:val="0"/>
                <w:color w:val="000000"/>
                <w:sz w:val="22"/>
                <w:szCs w:val="22"/>
                <w:u w:val="none"/>
                <w:lang w:val="en-US" w:eastAsia="zh-CN"/>
              </w:rPr>
              <w:t>12</w:t>
            </w:r>
          </w:p>
        </w:tc>
        <w:tc>
          <w:tcPr>
            <w:tcW w:w="40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仿宋_GB2312" w:hAnsi="宋体" w:eastAsia="仿宋_GB2312" w:cs="仿宋_GB2312"/>
                <w:i w:val="0"/>
                <w:iCs w:val="0"/>
                <w:color w:val="000000"/>
                <w:kern w:val="0"/>
                <w:sz w:val="24"/>
                <w:szCs w:val="24"/>
                <w:u w:val="none"/>
                <w:lang w:val="en-US" w:eastAsia="zh-CN" w:bidi="ar"/>
              </w:rPr>
            </w:pPr>
            <w:r>
              <w:rPr>
                <w:rFonts w:hint="eastAsia" w:ascii="仿宋_GB2312" w:hAnsi="宋体" w:eastAsia="仿宋_GB2312" w:cs="仿宋_GB2312"/>
                <w:i w:val="0"/>
                <w:iCs w:val="0"/>
                <w:color w:val="000000"/>
                <w:kern w:val="0"/>
                <w:sz w:val="24"/>
                <w:szCs w:val="24"/>
                <w:u w:val="none"/>
                <w:lang w:val="en-US" w:eastAsia="zh-CN" w:bidi="ar"/>
              </w:rPr>
              <w:t>船舶未配置相应的防污染设备和器材，或者未持有合法有效的防止水域环境污染的证书与文书</w:t>
            </w:r>
          </w:p>
        </w:tc>
        <w:tc>
          <w:tcPr>
            <w:tcW w:w="37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仿宋_GB2312" w:hAnsi="宋体" w:eastAsia="仿宋_GB2312" w:cs="仿宋_GB2312"/>
                <w:i w:val="0"/>
                <w:iCs w:val="0"/>
                <w:color w:val="000000"/>
                <w:kern w:val="0"/>
                <w:sz w:val="24"/>
                <w:szCs w:val="24"/>
                <w:u w:val="none"/>
                <w:lang w:val="en-US" w:eastAsia="zh-CN" w:bidi="ar"/>
              </w:rPr>
            </w:pPr>
            <w:r>
              <w:rPr>
                <w:rFonts w:hint="eastAsia" w:ascii="仿宋_GB2312" w:hAnsi="宋体" w:eastAsia="仿宋_GB2312" w:cs="仿宋_GB2312"/>
                <w:i w:val="0"/>
                <w:iCs w:val="0"/>
                <w:color w:val="000000"/>
                <w:kern w:val="0"/>
                <w:sz w:val="24"/>
                <w:szCs w:val="24"/>
                <w:u w:val="none"/>
                <w:lang w:val="en-US" w:eastAsia="zh-CN" w:bidi="ar"/>
              </w:rPr>
              <w:t>1.船舶未按规定配备垃圾储存器（有盖垃圾桶或垃圾袋）；</w:t>
            </w:r>
            <w:r>
              <w:rPr>
                <w:rFonts w:hint="eastAsia" w:ascii="仿宋_GB2312" w:hAnsi="宋体" w:eastAsia="仿宋_GB2312" w:cs="仿宋_GB2312"/>
                <w:i w:val="0"/>
                <w:iCs w:val="0"/>
                <w:color w:val="000000"/>
                <w:kern w:val="0"/>
                <w:sz w:val="24"/>
                <w:szCs w:val="24"/>
                <w:u w:val="none"/>
                <w:lang w:val="en-US" w:eastAsia="zh-CN" w:bidi="ar"/>
              </w:rPr>
              <w:br w:type="textWrapping"/>
            </w:r>
            <w:r>
              <w:rPr>
                <w:rFonts w:hint="eastAsia" w:ascii="仿宋_GB2312" w:hAnsi="宋体" w:eastAsia="仿宋_GB2312" w:cs="仿宋_GB2312"/>
                <w:i w:val="0"/>
                <w:iCs w:val="0"/>
                <w:color w:val="000000"/>
                <w:kern w:val="0"/>
                <w:sz w:val="24"/>
                <w:szCs w:val="24"/>
                <w:u w:val="none"/>
                <w:lang w:val="en-US" w:eastAsia="zh-CN" w:bidi="ar"/>
              </w:rPr>
              <w:t>2.及时改正；</w:t>
            </w:r>
            <w:r>
              <w:rPr>
                <w:rFonts w:hint="eastAsia" w:ascii="仿宋_GB2312" w:hAnsi="宋体" w:eastAsia="仿宋_GB2312" w:cs="仿宋_GB2312"/>
                <w:i w:val="0"/>
                <w:iCs w:val="0"/>
                <w:color w:val="000000"/>
                <w:kern w:val="0"/>
                <w:sz w:val="24"/>
                <w:szCs w:val="24"/>
                <w:u w:val="none"/>
                <w:lang w:val="en-US" w:eastAsia="zh-CN" w:bidi="ar"/>
              </w:rPr>
              <w:br w:type="textWrapping"/>
            </w:r>
            <w:r>
              <w:rPr>
                <w:rFonts w:hint="eastAsia" w:ascii="仿宋_GB2312" w:hAnsi="宋体" w:eastAsia="仿宋_GB2312" w:cs="仿宋_GB2312"/>
                <w:i w:val="0"/>
                <w:iCs w:val="0"/>
                <w:color w:val="000000"/>
                <w:kern w:val="0"/>
                <w:sz w:val="24"/>
                <w:szCs w:val="24"/>
                <w:u w:val="none"/>
                <w:lang w:val="en-US" w:eastAsia="zh-CN" w:bidi="ar"/>
              </w:rPr>
              <w:t>3.未造成危害后果</w:t>
            </w:r>
          </w:p>
        </w:tc>
        <w:tc>
          <w:tcPr>
            <w:tcW w:w="60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仿宋_GB2312" w:hAnsi="宋体" w:eastAsia="仿宋_GB2312" w:cs="仿宋_GB2312"/>
                <w:i w:val="0"/>
                <w:iCs w:val="0"/>
                <w:color w:val="000000"/>
                <w:kern w:val="0"/>
                <w:sz w:val="24"/>
                <w:szCs w:val="24"/>
                <w:u w:val="none"/>
                <w:lang w:val="en-US" w:eastAsia="zh-CN" w:bidi="ar"/>
              </w:rPr>
            </w:pPr>
            <w:r>
              <w:rPr>
                <w:rFonts w:hint="eastAsia" w:ascii="仿宋_GB2312" w:hAnsi="宋体" w:eastAsia="仿宋_GB2312" w:cs="仿宋_GB2312"/>
                <w:i w:val="0"/>
                <w:iCs w:val="0"/>
                <w:color w:val="000000"/>
                <w:kern w:val="0"/>
                <w:sz w:val="24"/>
                <w:szCs w:val="24"/>
                <w:u w:val="none"/>
                <w:lang w:val="en-US" w:eastAsia="zh-CN" w:bidi="ar"/>
              </w:rPr>
              <w:t>1.《中华人民共和国水污染防治法》（1984年5月通过，2017年6月第二次修正）第八十九条；</w:t>
            </w:r>
            <w:r>
              <w:rPr>
                <w:rFonts w:hint="eastAsia" w:ascii="仿宋_GB2312" w:hAnsi="宋体" w:eastAsia="仿宋_GB2312" w:cs="仿宋_GB2312"/>
                <w:i w:val="0"/>
                <w:iCs w:val="0"/>
                <w:color w:val="000000"/>
                <w:kern w:val="0"/>
                <w:sz w:val="24"/>
                <w:szCs w:val="24"/>
                <w:u w:val="none"/>
                <w:lang w:val="en-US" w:eastAsia="zh-CN" w:bidi="ar"/>
              </w:rPr>
              <w:br w:type="textWrapping"/>
            </w:r>
            <w:r>
              <w:rPr>
                <w:rFonts w:hint="eastAsia" w:ascii="仿宋_GB2312" w:hAnsi="宋体" w:eastAsia="仿宋_GB2312" w:cs="仿宋_GB2312"/>
                <w:i w:val="0"/>
                <w:iCs w:val="0"/>
                <w:color w:val="000000"/>
                <w:kern w:val="0"/>
                <w:sz w:val="24"/>
                <w:szCs w:val="24"/>
                <w:u w:val="none"/>
                <w:lang w:val="en-US" w:eastAsia="zh-CN" w:bidi="ar"/>
              </w:rPr>
              <w:t>2.《中华人民共和国行政处罚法》（1996年3月通过，2021年1月修订）第三十三条</w:t>
            </w:r>
          </w:p>
        </w:tc>
      </w:tr>
      <w:tr>
        <w:tblPrEx>
          <w:tblCellMar>
            <w:top w:w="0" w:type="dxa"/>
            <w:left w:w="108" w:type="dxa"/>
            <w:bottom w:w="0" w:type="dxa"/>
            <w:right w:w="108" w:type="dxa"/>
          </w:tblCellMar>
        </w:tblPrEx>
        <w:trPr>
          <w:trHeight w:val="960" w:hRule="atLeast"/>
        </w:trPr>
        <w:tc>
          <w:tcPr>
            <w:tcW w:w="6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宋体" w:hAnsi="宋体" w:eastAsia="宋体" w:cs="宋体"/>
                <w:i w:val="0"/>
                <w:iCs w:val="0"/>
                <w:color w:val="000000"/>
                <w:sz w:val="22"/>
                <w:szCs w:val="22"/>
                <w:u w:val="none"/>
                <w:lang w:val="en-US" w:eastAsia="zh-CN"/>
              </w:rPr>
            </w:pPr>
            <w:r>
              <w:rPr>
                <w:rFonts w:hint="eastAsia" w:ascii="宋体" w:hAnsi="宋体" w:eastAsia="宋体" w:cs="宋体"/>
                <w:i w:val="0"/>
                <w:iCs w:val="0"/>
                <w:color w:val="000000"/>
                <w:sz w:val="22"/>
                <w:szCs w:val="22"/>
                <w:u w:val="none"/>
                <w:lang w:val="en-US" w:eastAsia="zh-CN"/>
              </w:rPr>
              <w:t>13</w:t>
            </w:r>
          </w:p>
        </w:tc>
        <w:tc>
          <w:tcPr>
            <w:tcW w:w="40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仿宋_GB2312" w:hAnsi="宋体" w:eastAsia="仿宋_GB2312" w:cs="仿宋_GB2312"/>
                <w:i w:val="0"/>
                <w:iCs w:val="0"/>
                <w:color w:val="000000"/>
                <w:kern w:val="0"/>
                <w:sz w:val="24"/>
                <w:szCs w:val="24"/>
                <w:u w:val="none"/>
                <w:lang w:val="en-US" w:eastAsia="zh-CN" w:bidi="ar"/>
              </w:rPr>
            </w:pPr>
            <w:r>
              <w:rPr>
                <w:rFonts w:hint="eastAsia" w:ascii="仿宋_GB2312" w:hAnsi="宋体" w:eastAsia="仿宋_GB2312" w:cs="仿宋_GB2312"/>
                <w:i w:val="0"/>
                <w:iCs w:val="0"/>
                <w:color w:val="000000"/>
                <w:kern w:val="0"/>
                <w:sz w:val="24"/>
                <w:szCs w:val="24"/>
                <w:u w:val="none"/>
                <w:lang w:val="en-US" w:eastAsia="zh-CN" w:bidi="ar"/>
              </w:rPr>
              <w:t>船舶进行涉及污染物排放的作业，未遵守操作规程或者未在相应的记录簿上如实记载</w:t>
            </w:r>
          </w:p>
        </w:tc>
        <w:tc>
          <w:tcPr>
            <w:tcW w:w="37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仿宋_GB2312" w:hAnsi="宋体" w:eastAsia="仿宋_GB2312" w:cs="仿宋_GB2312"/>
                <w:i w:val="0"/>
                <w:iCs w:val="0"/>
                <w:color w:val="000000"/>
                <w:kern w:val="0"/>
                <w:sz w:val="24"/>
                <w:szCs w:val="24"/>
                <w:u w:val="none"/>
                <w:lang w:val="en-US" w:eastAsia="zh-CN" w:bidi="ar"/>
              </w:rPr>
            </w:pPr>
            <w:r>
              <w:rPr>
                <w:rFonts w:hint="eastAsia" w:ascii="仿宋_GB2312" w:hAnsi="宋体" w:eastAsia="仿宋_GB2312" w:cs="仿宋_GB2312"/>
                <w:i w:val="0"/>
                <w:iCs w:val="0"/>
                <w:color w:val="000000"/>
                <w:kern w:val="0"/>
                <w:sz w:val="24"/>
                <w:szCs w:val="24"/>
                <w:u w:val="none"/>
                <w:lang w:val="en-US" w:eastAsia="zh-CN" w:bidi="ar"/>
              </w:rPr>
              <w:t>1.船舶有关文书记录不完整；</w:t>
            </w:r>
            <w:r>
              <w:rPr>
                <w:rFonts w:hint="eastAsia" w:ascii="仿宋_GB2312" w:hAnsi="宋体" w:eastAsia="仿宋_GB2312" w:cs="仿宋_GB2312"/>
                <w:i w:val="0"/>
                <w:iCs w:val="0"/>
                <w:color w:val="000000"/>
                <w:kern w:val="0"/>
                <w:sz w:val="24"/>
                <w:szCs w:val="24"/>
                <w:u w:val="none"/>
                <w:lang w:val="en-US" w:eastAsia="zh-CN" w:bidi="ar"/>
              </w:rPr>
              <w:br w:type="textWrapping"/>
            </w:r>
            <w:r>
              <w:rPr>
                <w:rFonts w:hint="eastAsia" w:ascii="仿宋_GB2312" w:hAnsi="宋体" w:eastAsia="仿宋_GB2312" w:cs="仿宋_GB2312"/>
                <w:i w:val="0"/>
                <w:iCs w:val="0"/>
                <w:color w:val="000000"/>
                <w:kern w:val="0"/>
                <w:sz w:val="24"/>
                <w:szCs w:val="24"/>
                <w:u w:val="none"/>
                <w:lang w:val="en-US" w:eastAsia="zh-CN" w:bidi="ar"/>
              </w:rPr>
              <w:t>2.及时改正；</w:t>
            </w:r>
            <w:r>
              <w:rPr>
                <w:rFonts w:hint="eastAsia" w:ascii="仿宋_GB2312" w:hAnsi="宋体" w:eastAsia="仿宋_GB2312" w:cs="仿宋_GB2312"/>
                <w:i w:val="0"/>
                <w:iCs w:val="0"/>
                <w:color w:val="000000"/>
                <w:kern w:val="0"/>
                <w:sz w:val="24"/>
                <w:szCs w:val="24"/>
                <w:u w:val="none"/>
                <w:lang w:val="en-US" w:eastAsia="zh-CN" w:bidi="ar"/>
              </w:rPr>
              <w:br w:type="textWrapping"/>
            </w:r>
            <w:r>
              <w:rPr>
                <w:rFonts w:hint="eastAsia" w:ascii="仿宋_GB2312" w:hAnsi="宋体" w:eastAsia="仿宋_GB2312" w:cs="仿宋_GB2312"/>
                <w:i w:val="0"/>
                <w:iCs w:val="0"/>
                <w:color w:val="000000"/>
                <w:kern w:val="0"/>
                <w:sz w:val="24"/>
                <w:szCs w:val="24"/>
                <w:u w:val="none"/>
                <w:lang w:val="en-US" w:eastAsia="zh-CN" w:bidi="ar"/>
              </w:rPr>
              <w:t>3.未造成危害后果</w:t>
            </w:r>
          </w:p>
        </w:tc>
        <w:tc>
          <w:tcPr>
            <w:tcW w:w="60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仿宋_GB2312" w:hAnsi="宋体" w:eastAsia="仿宋_GB2312" w:cs="仿宋_GB2312"/>
                <w:i w:val="0"/>
                <w:iCs w:val="0"/>
                <w:color w:val="000000"/>
                <w:kern w:val="0"/>
                <w:sz w:val="24"/>
                <w:szCs w:val="24"/>
                <w:u w:val="none"/>
                <w:lang w:val="en-US" w:eastAsia="zh-CN" w:bidi="ar"/>
              </w:rPr>
            </w:pPr>
            <w:r>
              <w:rPr>
                <w:rFonts w:hint="eastAsia" w:ascii="仿宋_GB2312" w:hAnsi="宋体" w:eastAsia="仿宋_GB2312" w:cs="仿宋_GB2312"/>
                <w:i w:val="0"/>
                <w:iCs w:val="0"/>
                <w:color w:val="000000"/>
                <w:kern w:val="0"/>
                <w:sz w:val="24"/>
                <w:szCs w:val="24"/>
                <w:u w:val="none"/>
                <w:lang w:val="en-US" w:eastAsia="zh-CN" w:bidi="ar"/>
              </w:rPr>
              <w:t>1.《中华人民共和国水污染防治法》（1984年5月通过，2017年6月第二次修正）第八十九条；</w:t>
            </w:r>
            <w:r>
              <w:rPr>
                <w:rFonts w:hint="eastAsia" w:ascii="仿宋_GB2312" w:hAnsi="宋体" w:eastAsia="仿宋_GB2312" w:cs="仿宋_GB2312"/>
                <w:i w:val="0"/>
                <w:iCs w:val="0"/>
                <w:color w:val="000000"/>
                <w:kern w:val="0"/>
                <w:sz w:val="24"/>
                <w:szCs w:val="24"/>
                <w:u w:val="none"/>
                <w:lang w:val="en-US" w:eastAsia="zh-CN" w:bidi="ar"/>
              </w:rPr>
              <w:br w:type="textWrapping"/>
            </w:r>
            <w:r>
              <w:rPr>
                <w:rFonts w:hint="eastAsia" w:ascii="仿宋_GB2312" w:hAnsi="宋体" w:eastAsia="仿宋_GB2312" w:cs="仿宋_GB2312"/>
                <w:i w:val="0"/>
                <w:iCs w:val="0"/>
                <w:color w:val="000000"/>
                <w:kern w:val="0"/>
                <w:sz w:val="24"/>
                <w:szCs w:val="24"/>
                <w:u w:val="none"/>
                <w:lang w:val="en-US" w:eastAsia="zh-CN" w:bidi="ar"/>
              </w:rPr>
              <w:t>2.《中华人民共和国行政处罚法》（1996年3月通过，2021年1月修订）第三十三条</w:t>
            </w:r>
          </w:p>
        </w:tc>
      </w:tr>
    </w:tbl>
    <w:p/>
    <w:sectPr>
      <w:pgSz w:w="16838" w:h="11906" w:orient="landscape"/>
      <w:pgMar w:top="1800" w:right="1440" w:bottom="1800" w:left="144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方正小标宋简体">
    <w:panose1 w:val="02010601030101010101"/>
    <w:charset w:val="86"/>
    <w:family w:val="auto"/>
    <w:pitch w:val="default"/>
    <w:sig w:usb0="00000001" w:usb1="080E0000" w:usb2="00000000" w:usb3="00000000" w:csb0="00040000" w:csb1="00000000"/>
  </w:font>
  <w:font w:name="仿宋_GB2312">
    <w:panose1 w:val="02010609030101010101"/>
    <w:charset w:val="86"/>
    <w:family w:val="auto"/>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oNotDisplayPageBoundaries w:val="1"/>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5D7B6CC2"/>
    <w:rsid w:val="0608541E"/>
    <w:rsid w:val="11532F72"/>
    <w:rsid w:val="11A3427C"/>
    <w:rsid w:val="145920AD"/>
    <w:rsid w:val="2190767D"/>
    <w:rsid w:val="388D4368"/>
    <w:rsid w:val="518B74F5"/>
    <w:rsid w:val="527B11F8"/>
    <w:rsid w:val="57CD4F85"/>
    <w:rsid w:val="5D7B6CC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3">
    <w:name w:val="Default Paragraph Font"/>
    <w:semiHidden/>
    <w:qFormat/>
    <w:uiPriority w:val="0"/>
  </w:style>
  <w:style w:type="table" w:default="1" w:styleId="2">
    <w:name w:val="Normal Table"/>
    <w:semiHidden/>
    <w:qFormat/>
    <w:uiPriority w:val="0"/>
    <w:tblPr>
      <w:tblCellMar>
        <w:top w:w="0" w:type="dxa"/>
        <w:left w:w="108" w:type="dxa"/>
        <w:bottom w:w="0" w:type="dxa"/>
        <w:right w:w="108" w:type="dxa"/>
      </w:tblCellMar>
    </w:tblPr>
  </w:style>
  <w:style w:type="character" w:customStyle="1" w:styleId="4">
    <w:name w:val="font31"/>
    <w:basedOn w:val="3"/>
    <w:qFormat/>
    <w:uiPriority w:val="0"/>
    <w:rPr>
      <w:rFonts w:hint="eastAsia" w:ascii="方正小标宋简体" w:hAnsi="方正小标宋简体" w:eastAsia="方正小标宋简体" w:cs="方正小标宋简体"/>
      <w:color w:val="000000"/>
      <w:sz w:val="44"/>
      <w:szCs w:val="44"/>
      <w:u w:val="single"/>
    </w:rPr>
  </w:style>
  <w:style w:type="character" w:customStyle="1" w:styleId="5">
    <w:name w:val="font21"/>
    <w:basedOn w:val="3"/>
    <w:qFormat/>
    <w:uiPriority w:val="0"/>
    <w:rPr>
      <w:rFonts w:hint="eastAsia" w:ascii="方正小标宋简体" w:hAnsi="方正小标宋简体" w:eastAsia="方正小标宋简体" w:cs="方正小标宋简体"/>
      <w:color w:val="000000"/>
      <w:sz w:val="44"/>
      <w:szCs w:val="44"/>
      <w:u w:val="none"/>
    </w:rPr>
  </w:style>
  <w:style w:type="character" w:customStyle="1" w:styleId="6">
    <w:name w:val="font01"/>
    <w:basedOn w:val="3"/>
    <w:qFormat/>
    <w:uiPriority w:val="0"/>
    <w:rPr>
      <w:rFonts w:hint="eastAsia" w:ascii="仿宋_GB2312" w:eastAsia="仿宋_GB2312" w:cs="仿宋_GB2312"/>
      <w:color w:val="000000"/>
      <w:sz w:val="24"/>
      <w:szCs w:val="24"/>
      <w:u w:val="none"/>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22</TotalTime>
  <ScaleCrop>false</ScaleCrop>
  <LinksUpToDate>false</LinksUpToDate>
  <CharactersWithSpaces>0</CharactersWithSpaces>
  <Application>WPS Office_11.1.0.10700_F1E327BC-269C-435d-A152-05C5408002CA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2021-08-17T08:32:00Z</dcterms:created>
  <dc:creator>微.简</dc:creator>
  <cp:lastModifiedBy>Administrator</cp:lastModifiedBy>
  <cp:lastPrinted>2021-08-24T01:11:00Z</cp:lastPrinted>
  <dcterms:modified xsi:type="dcterms:W3CDTF">2021-08-25T00:47:01Z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2052-11.1.0.10700</vt:lpwstr>
  </property>
  <property fmtid="{D5CDD505-2E9C-101B-9397-08002B2CF9AE}" pid="3" name="ICV">
    <vt:lpwstr>749BB3D0780047ADB5D2884E9E66B4DE</vt:lpwstr>
  </property>
</Properties>
</file>