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荣成市海洋发展局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“双随机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、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一公开”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监管工作实施细则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  为贯彻落实《国务院关于在市场监管领域全面推行部门联合“双随机、一公开”监管的意见》（国发〔2019〕5号）《山东省人民政府关于在市场监管领域全面推行部门联合“双随机、一公开”监管的实施意见》（鲁政发〔2019〕10 号）和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威海市、荣成市市场监管领域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全面推行部门联合“双随机、一公开”监管的实施细则，依法有序、科学规范实施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“双随机、一公开” 监管工作，制定本工作细则。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  本细则所称“双随机、一公开”监管，是指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根据随机抽查事项清单和抽查计划开展监督检查时，随机抽取检查对象，随机选派执法检查人员，并将抽查情况及查处结果及时向社会公开的监管工作机制。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 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使用省政府部门联合“双随机、一公开” 监管工作平台（以下简称省工作平台）对“双随机、一公开”监管工作实行全程电子化管理。监管工作各个环节均在省工作平台操作实施，做到全程留痕、流程可溯。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第四条  随机抽查工作应当遵循依法实施、协同推进、权责明确、公开透明的原则。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 建立“一单、两库”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第五条  根据法律法规规章规定，参照《山东省农业农村厅随机抽查事项目录清单（第二版）》，结合我局执法事项目录清单，制定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随机抽查事项清单（简称“一单”）并进行动态调整。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  随机抽查事项清单应明确抽查依据、对象、内容、方式、比例和频次等。法律法规规章对检查比例和频次有明确规定的，按规定实施；没有明确规定的，抽查比例原则上不低于检查对象名录库的5%，抽查频次每年不少于1次；对同一检查对象每年实施抽查次数原则上不超过2次。对投诉举报多、列入异常名录、有失信行为和严重违法违规记录等情况的检查对象，加大检查力度，不受比例和频次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>  在省工作平台建立健全与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随机抽查事项清单、职责相对应的检查对象名录库和执法检查人员名录库（统称“两库”），对“两库”进行动态管理。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第八条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提出与本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监管职责相对应的检查对象名录，形成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检查对象名录库。检查对象名录库应涵盖全部检查对象。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执法检查人员名录，形成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执法检查人员名录库。执法检查人员名录库包括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具有行政执法资格的工作人员和从事日常监管工作的人员等，按照执法资质、业务专长进行分类标注。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 制定抽查计划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每年1月上旬，根据随机抽查事项清单，结合监管工作需求，制定本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负责抽查事项对应的年度抽查工作计划，形成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年度抽查工作计划，报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荣成市市场监管局</w:t>
      </w:r>
      <w:r>
        <w:rPr>
          <w:rFonts w:hint="eastAsia" w:ascii="仿宋_GB2312" w:hAnsi="仿宋_GB2312" w:eastAsia="仿宋_GB2312" w:cs="仿宋_GB2312"/>
          <w:sz w:val="32"/>
          <w:szCs w:val="32"/>
        </w:rPr>
        <w:t>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  年度抽查工作计划应涵盖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随机抽查事项清单的全部事项，并对每一抽查事项分别明确抽查对象、抽查内容、抽查方式、抽查比例和频次、抽查时间等。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  根据法律法规规章修订情况和工作实际，对年度抽查工作计划进行动态调整，通过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荣成市人民政府公示平台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向社会公开。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 生成抽查任务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执行年度抽查计划时，应在省工作平台预先设置任务，经任务审核、随机抽取检查对象、随机匹配执法检查人员等流程后生成任务。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 对在同一时间段内，不同抽查任务抽取到同一检查对象的，协调任务执行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合并实施检查任务，实现“进一次门、查多项事”。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设置任务时，根据工作需要，采取不定向方式（直接从检查对象名录库所有主体中抽取）或定向方式（按照主体类型、经营规模、地理区域等特定条件抽取）随机抽取检查对象。 通过自动方式（直接从执法检查人员名录库所有人员中抽取）或手动方式(综合考虑执法资质、业务特长、抽查对象等条件抽取）随机匹配执法检查人员，每个检查对象抽取不少于 2名检查人员，其中 1 人为组长，组长由相关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负责人确定。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  抽取的执法检查人员与检查对象有利害关系的，应当申请回避。回避可采取与其他执法检查人员交换检查对象的方式，也可以采取不参与本次检查任务的方式。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第十七条  抽取的执法检查人员原则上不得更换，但因回避、岗位调整、工作冲突、身体健康状况等特殊情况无法继续履行检查任务的，经分管负责人同意后，可以另行在省工作平台上按程序抽取递补检查人员。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第十八条  对涉及专业领域的抽查，可以委托有资质的机构开展检验检测、财务审计、调查咨询等工作，或依法采用有关机构作出的鉴定结论。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  实施抽查检查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第十九条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应根据任务生成情况制定抽查检查工作方案，确定检查方式、检查标准和工作流程等，加强对执法检查人员的业务指导。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第二十条  执法检查人员应认真执行抽查检查工作方案，对照检查标准，依法依规进行检查，不得妨碍被检查对象正常的生产经营活动。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第二十一条  根据实际工作情况，检查可采取实地核查、书面检查、网络监测等方式。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第二十二条  执法检查人员实地核查时，应主动向检查对象出示行政执法证件，发放抽查告知书，告知配合检查的相关要求，并根据检查情况客观、公正填写抽查检查记录表。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第二十三条  执法检查人员通过文字、音像等方式对抽查检查进行全过程记录，制作抽查检查记录，交由被检查对象法定代表人、负责人或其他授权人员签字或盖章确认。检查对象拒绝签字或盖章的，由执法检查人员在检查记录中说明情况，必要时可以邀请有关人员见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第六章  结果公示运用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第二十四条  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组织执法检查人员在抽查任务完成后 20 个工作日内，将检查结果导入省工作平台，由省工作平台推送至公示系统（山东）公示。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第二十五条  对检查结果有异议的，各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在接到申请材料之日起 20 个工作日内进行复核，经复核确有错误的予以更正，无错误的予以维持。复核结果及时反馈当事人。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第二十六条  对抽查检查发现的问题，按照“谁监管、谁负责”原则，由各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负责依法依规进行处理；对涉及其他职能部门的，及时将违法违规线索移交有关部门；涉嫌犯罪的及时移送司法机关。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第二十七条 严格落实监管职责，对未履行、不当履行或违法履行“双随机、一公开”监管职责的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执法机构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和执法检查人员，依法依规严肃处理；涉嫌违法犯罪的，移送有关机关依法处理。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第七章  附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第二十八条  本细则由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荣成市海洋发展局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D0DE6F-7FB8-45E9-8306-BFEE9B3B29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231EECF-8D76-437B-BA81-8A120A14808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0DB57E6-C7C7-48B9-89B5-50D157F5777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D6FBD52C"/>
    <w:rsid w:val="12F65482"/>
    <w:rsid w:val="1FFDA2E7"/>
    <w:rsid w:val="24794DB0"/>
    <w:rsid w:val="52EB114C"/>
    <w:rsid w:val="73143C72"/>
    <w:rsid w:val="7F665FD8"/>
    <w:rsid w:val="C7E76623"/>
    <w:rsid w:val="D6FBD5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标准格式"/>
    <w:basedOn w:val="1"/>
    <w:qFormat/>
    <w:uiPriority w:val="0"/>
    <w:rPr>
      <w:rFonts w:ascii="Calibri" w:hAnsi="Calibri" w:eastAsia="CESI仿宋-GB2312"/>
      <w:sz w:val="32"/>
    </w:rPr>
  </w:style>
  <w:style w:type="paragraph" w:customStyle="1" w:styleId="7">
    <w:name w:val="公文"/>
    <w:basedOn w:val="1"/>
    <w:qFormat/>
    <w:uiPriority w:val="0"/>
    <w:rPr>
      <w:rFonts w:ascii="Calibri" w:hAnsi="Calibri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2480</Words>
  <Characters>2490</Characters>
  <Lines>0</Lines>
  <Paragraphs>0</Paragraphs>
  <TotalTime>13</TotalTime>
  <ScaleCrop>false</ScaleCrop>
  <LinksUpToDate>false</LinksUpToDate>
  <CharactersWithSpaces>2571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2023-11-07T09:17:00Z</dcterms:created>
  <dc:creator>user</dc:creator>
  <cp:lastModifiedBy>李宗达</cp:lastModifiedBy>
  <cp:lastPrinted>2023-11-07T09:22:00Z</cp:lastPrinted>
  <dcterms:modified xsi:type="dcterms:W3CDTF">2024-07-23T00:21:59Z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A8BAF9B1F2E542ADB6776EA7DBBC4722_13</vt:lpwstr>
  </property>
</Properties>
</file>