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黑体"/>
          <w:sz w:val="32"/>
          <w:szCs w:val="32"/>
        </w:rPr>
      </w:pPr>
      <w:r>
        <w:rPr>
          <w:rFonts w:hint="eastAsia" w:ascii="黑体" w:hAnsi="黑体" w:eastAsia="黑体" w:cs="黑体"/>
          <w:sz w:val="32"/>
          <w:szCs w:val="32"/>
        </w:rPr>
        <w:t>附件1</w:t>
      </w:r>
    </w:p>
    <w:p>
      <w:pPr>
        <w:spacing w:line="640" w:lineRule="exact"/>
        <w:jc w:val="center"/>
        <w:rPr>
          <w:rFonts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优势特色产业集群项目储备需求</w:t>
      </w:r>
    </w:p>
    <w:p>
      <w:pPr>
        <w:tabs>
          <w:tab w:val="left" w:pos="2520"/>
        </w:tabs>
        <w:adjustRightInd w:val="0"/>
        <w:spacing w:line="620" w:lineRule="exact"/>
        <w:ind w:firstLine="640" w:firstLineChars="200"/>
        <w:jc w:val="left"/>
        <w:rPr>
          <w:rFonts w:ascii="仿宋_GB2312" w:hAnsi="仿宋_GB2312" w:eastAsia="仿宋_GB2312" w:cs="仿宋_GB2312"/>
          <w:color w:val="000000"/>
          <w:sz w:val="32"/>
          <w:szCs w:val="32"/>
        </w:rPr>
      </w:pPr>
      <w:r>
        <w:rPr>
          <w:rFonts w:hint="eastAsia" w:ascii="黑体" w:hAnsi="黑体" w:eastAsia="黑体" w:cs="黑体"/>
          <w:color w:val="000000"/>
          <w:sz w:val="32"/>
          <w:szCs w:val="32"/>
        </w:rPr>
        <w:t>一、支持对象</w:t>
      </w:r>
    </w:p>
    <w:p>
      <w:pPr>
        <w:tabs>
          <w:tab w:val="left" w:pos="2520"/>
        </w:tabs>
        <w:adjustRightInd w:val="0"/>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立足省域范围，聚焦一个优势特色品种并突出重点县市，进行全产业链开发、全价值链提升。省级支持5-8个县（市、区）围绕特色产业开展优势特色产业集群建设。</w:t>
      </w:r>
    </w:p>
    <w:p>
      <w:pPr>
        <w:tabs>
          <w:tab w:val="left" w:pos="2520"/>
        </w:tabs>
        <w:adjustRightIn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二、建设内容</w:t>
      </w:r>
    </w:p>
    <w:p>
      <w:pPr>
        <w:spacing w:line="62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中央奖补资金</w:t>
      </w:r>
      <w:r>
        <w:rPr>
          <w:rFonts w:ascii="Times New Roman" w:hAnsi="Times New Roman" w:eastAsia="仿宋_GB2312" w:cs="Times New Roman"/>
          <w:sz w:val="32"/>
          <w:szCs w:val="32"/>
        </w:rPr>
        <w:t>主要用于支持规模生产基地标准化、商品化生产水平提升，农产品初加工、深加工和物流设施建设，农业全产业链数字化等新基建建设，市场品牌体系和公共服务平台建设，以及经营主体和服务主体培育壮大等方面。</w:t>
      </w:r>
    </w:p>
    <w:p>
      <w:pPr>
        <w:tabs>
          <w:tab w:val="left" w:pos="2520"/>
        </w:tabs>
        <w:adjustRightIn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三、申报条件</w:t>
      </w:r>
    </w:p>
    <w:p>
      <w:pPr>
        <w:spacing w:line="620" w:lineRule="exact"/>
        <w:ind w:firstLine="640" w:firstLineChars="200"/>
        <w:rPr>
          <w:rFonts w:ascii="仿宋_GB2312" w:hAnsi="微软雅黑" w:eastAsia="仿宋_GB2312" w:cs="宋体"/>
          <w:color w:val="000000"/>
          <w:kern w:val="0"/>
          <w:sz w:val="32"/>
          <w:szCs w:val="32"/>
        </w:rPr>
      </w:pPr>
      <w:r>
        <w:rPr>
          <w:rFonts w:hint="eastAsia" w:ascii="仿宋_GB2312" w:hAnsi="微软雅黑" w:eastAsia="仿宋_GB2312" w:cs="宋体"/>
          <w:color w:val="000000"/>
          <w:kern w:val="0"/>
          <w:sz w:val="32"/>
          <w:szCs w:val="32"/>
        </w:rPr>
        <w:t>项目县（市、区）产业基础较好，种（养）规模大，有较强的加工转化能力，具有一定影响力，具有较大的发展潜力（所有项目县总计全产业链总产值超过100亿元）；省域内初步形成集中连片发展格局；产业经营主体活跃，有多家省级以上产业化龙头企业带动，较多新型农业经营主体深度参与。</w:t>
      </w:r>
    </w:p>
    <w:p>
      <w:pPr>
        <w:tabs>
          <w:tab w:val="left" w:pos="2520"/>
        </w:tabs>
        <w:adjustRightIn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四、补助标准</w:t>
      </w:r>
    </w:p>
    <w:p>
      <w:pPr>
        <w:spacing w:line="620" w:lineRule="exact"/>
        <w:ind w:firstLine="640" w:firstLineChars="200"/>
        <w:rPr>
          <w:rFonts w:ascii="仿宋_GB2312" w:hAnsi="仿宋_GB2312" w:eastAsia="仿宋_GB2312" w:cs="仿宋_GB2312"/>
          <w:sz w:val="32"/>
          <w:szCs w:val="32"/>
          <w:shd w:val="clear" w:color="auto" w:fill="FFFFFF"/>
        </w:rPr>
      </w:pPr>
      <w:r>
        <w:rPr>
          <w:rFonts w:hint="eastAsia" w:ascii="仿宋_GB2312" w:hAnsi="微软雅黑" w:eastAsia="仿宋_GB2312" w:cs="宋体"/>
          <w:color w:val="000000"/>
          <w:kern w:val="0"/>
          <w:sz w:val="32"/>
          <w:szCs w:val="32"/>
        </w:rPr>
        <w:t>原则上，</w:t>
      </w:r>
      <w:r>
        <w:rPr>
          <w:rFonts w:ascii="仿宋_GB2312" w:hAnsi="微软雅黑" w:eastAsia="仿宋_GB2312" w:cs="宋体"/>
          <w:color w:val="000000"/>
          <w:kern w:val="0"/>
          <w:sz w:val="32"/>
          <w:szCs w:val="32"/>
        </w:rPr>
        <w:t>每个</w:t>
      </w:r>
      <w:r>
        <w:rPr>
          <w:rFonts w:hint="eastAsia" w:ascii="仿宋_GB2312" w:hAnsi="微软雅黑" w:eastAsia="仿宋_GB2312" w:cs="宋体"/>
          <w:color w:val="000000"/>
          <w:kern w:val="0"/>
          <w:sz w:val="32"/>
          <w:szCs w:val="32"/>
        </w:rPr>
        <w:t>产业集群</w:t>
      </w:r>
      <w:r>
        <w:rPr>
          <w:rFonts w:ascii="仿宋_GB2312" w:hAnsi="微软雅黑" w:eastAsia="仿宋_GB2312" w:cs="宋体"/>
          <w:color w:val="000000"/>
          <w:kern w:val="0"/>
          <w:sz w:val="32"/>
          <w:szCs w:val="32"/>
        </w:rPr>
        <w:t>奖补资金总额2亿元，按照1亿元、0.5亿元、0.5亿元分三年安排</w:t>
      </w:r>
      <w:r>
        <w:rPr>
          <w:rFonts w:hint="eastAsia" w:ascii="仿宋_GB2312" w:hAnsi="微软雅黑" w:eastAsia="仿宋_GB2312" w:cs="宋体"/>
          <w:color w:val="000000"/>
          <w:kern w:val="0"/>
          <w:sz w:val="32"/>
          <w:szCs w:val="32"/>
        </w:rPr>
        <w:t>；</w:t>
      </w:r>
      <w:r>
        <w:rPr>
          <w:rFonts w:hint="eastAsia" w:ascii="仿宋_GB2312" w:hAnsi="仿宋_GB2312" w:eastAsia="仿宋_GB2312" w:cs="仿宋_GB2312"/>
          <w:sz w:val="32"/>
          <w:szCs w:val="32"/>
          <w:shd w:val="clear" w:color="auto" w:fill="FFFFFF"/>
        </w:rPr>
        <w:t>单个企业承担中央资金不得超过2000万元，</w:t>
      </w:r>
      <w:r>
        <w:rPr>
          <w:rFonts w:hint="eastAsia" w:ascii="仿宋_GB2312" w:hAnsi="仿宋_GB2312" w:eastAsia="仿宋_GB2312" w:cs="仿宋_GB2312"/>
          <w:sz w:val="32"/>
          <w:szCs w:val="32"/>
        </w:rPr>
        <w:t>中央财政奖补资金对企业的投入原则上要带动三倍及以上的社会资本投入</w:t>
      </w:r>
      <w:r>
        <w:rPr>
          <w:rFonts w:hint="eastAsia" w:ascii="仿宋_GB2312" w:hAnsi="仿宋_GB2312" w:eastAsia="仿宋_GB2312" w:cs="仿宋_GB2312"/>
          <w:sz w:val="32"/>
          <w:szCs w:val="32"/>
          <w:shd w:val="clear" w:color="auto" w:fill="FFFFFF"/>
        </w:rPr>
        <w:t>。省农业农村厅、省财政厅根据中央奖补资金数量、项目县个数、特色产业规模、项目储备等情况综合评判，分配各项目县中央奖补资金。</w:t>
      </w:r>
    </w:p>
    <w:p>
      <w:pPr>
        <w:tabs>
          <w:tab w:val="left" w:pos="2520"/>
        </w:tabs>
        <w:adjustRightIn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五、储备要求</w:t>
      </w:r>
    </w:p>
    <w:p>
      <w:pPr>
        <w:spacing w:line="620" w:lineRule="exact"/>
        <w:ind w:firstLine="640" w:firstLineChars="200"/>
        <w:rPr>
          <w:rFonts w:ascii="仿宋_GB2312" w:hAnsi="微软雅黑" w:eastAsia="仿宋_GB2312" w:cs="宋体"/>
          <w:color w:val="000000"/>
          <w:kern w:val="0"/>
          <w:sz w:val="32"/>
          <w:szCs w:val="32"/>
        </w:rPr>
      </w:pPr>
      <w:r>
        <w:rPr>
          <w:rFonts w:hint="eastAsia" w:ascii="仿宋_GB2312" w:hAnsi="微软雅黑" w:eastAsia="仿宋_GB2312" w:cs="宋体"/>
          <w:color w:val="000000"/>
          <w:kern w:val="0"/>
          <w:sz w:val="32"/>
          <w:szCs w:val="32"/>
        </w:rPr>
        <w:t>各市可根据当地玉米、大豆、花生、海珍品、大蒜、大姜、食用菌、肉禽、生猪、奶业等优势特色产业情况，组织部分县（市、区）围绕1</w:t>
      </w:r>
      <w:r>
        <w:rPr>
          <w:rFonts w:ascii="仿宋_GB2312" w:hAnsi="微软雅黑" w:eastAsia="仿宋_GB2312" w:cs="宋体"/>
          <w:color w:val="000000"/>
          <w:kern w:val="0"/>
          <w:sz w:val="32"/>
          <w:szCs w:val="32"/>
        </w:rPr>
        <w:t>-2</w:t>
      </w:r>
      <w:r>
        <w:rPr>
          <w:rFonts w:hint="eastAsia" w:ascii="仿宋_GB2312" w:hAnsi="微软雅黑" w:eastAsia="仿宋_GB2312" w:cs="宋体"/>
          <w:color w:val="000000"/>
          <w:kern w:val="0"/>
          <w:sz w:val="32"/>
          <w:szCs w:val="32"/>
        </w:rPr>
        <w:t>个主导产业申报产业集群重点县储备。省农业农村厅、省财政厅综合考虑产业基础、主体培育、产业布局等因素，从申报县中择优纳入2</w:t>
      </w:r>
      <w:r>
        <w:rPr>
          <w:rFonts w:ascii="仿宋_GB2312" w:hAnsi="微软雅黑" w:eastAsia="仿宋_GB2312" w:cs="宋体"/>
          <w:color w:val="000000"/>
          <w:kern w:val="0"/>
          <w:sz w:val="32"/>
          <w:szCs w:val="32"/>
        </w:rPr>
        <w:t>022</w:t>
      </w:r>
      <w:r>
        <w:rPr>
          <w:rFonts w:hint="eastAsia" w:ascii="仿宋_GB2312" w:hAnsi="微软雅黑" w:eastAsia="仿宋_GB2312" w:cs="宋体"/>
          <w:color w:val="000000"/>
          <w:kern w:val="0"/>
          <w:sz w:val="32"/>
          <w:szCs w:val="32"/>
        </w:rPr>
        <w:t>年产业集群重点县支持。</w:t>
      </w:r>
    </w:p>
    <w:p>
      <w:pPr>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联系方式：省农业农村厅乡村产业发展处 张同政</w:t>
      </w:r>
    </w:p>
    <w:p>
      <w:pPr>
        <w:spacing w:line="620" w:lineRule="exact"/>
        <w:ind w:firstLine="2240" w:firstLineChars="700"/>
        <w:rPr>
          <w:rFonts w:ascii="仿宋_GB2312" w:hAnsi="微软雅黑" w:eastAsia="仿宋_GB2312" w:cs="宋体"/>
          <w:color w:val="000000"/>
          <w:kern w:val="0"/>
          <w:sz w:val="32"/>
          <w:szCs w:val="32"/>
        </w:rPr>
      </w:pPr>
      <w:r>
        <w:rPr>
          <w:rFonts w:hint="eastAsia" w:ascii="仿宋_GB2312" w:hAnsi="仿宋_GB2312" w:eastAsia="仿宋_GB2312" w:cs="仿宋_GB2312"/>
          <w:sz w:val="32"/>
          <w:szCs w:val="32"/>
        </w:rPr>
        <w:t>0531-51789188</w:t>
      </w:r>
    </w:p>
    <w:p>
      <w:pPr>
        <w:spacing w:line="62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附表：优势特色产业集群储备项目基本情况</w:t>
      </w: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p>
    <w:p>
      <w:pPr>
        <w:pStyle w:val="2"/>
        <w:jc w:val="both"/>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附表</w:t>
      </w:r>
    </w:p>
    <w:p>
      <w:pPr>
        <w:pStyle w:val="2"/>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优势特色产业集群储备项目基本情况</w:t>
      </w:r>
    </w:p>
    <w:p>
      <w:pPr>
        <w:pStyle w:val="2"/>
        <w:rPr>
          <w:rFonts w:hint="eastAsia"/>
          <w:lang w:val="en-US" w:eastAsia="zh-CN"/>
        </w:rPr>
      </w:pPr>
    </w:p>
    <w:tbl>
      <w:tblPr>
        <w:tblStyle w:val="10"/>
        <w:tblW w:w="84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3600"/>
        <w:gridCol w:w="35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2"/>
                <w:szCs w:val="22"/>
                <w:u w:val="none"/>
              </w:rPr>
            </w:pPr>
            <w:r>
              <w:rPr>
                <w:rFonts w:hint="eastAsia" w:ascii="黑体" w:hAnsi="黑体" w:eastAsia="黑体" w:cs="黑体"/>
                <w:b w:val="0"/>
                <w:bCs/>
                <w:i w:val="0"/>
                <w:color w:val="000000"/>
                <w:kern w:val="0"/>
                <w:sz w:val="22"/>
                <w:szCs w:val="22"/>
                <w:u w:val="none"/>
                <w:lang w:val="en-US" w:eastAsia="zh-CN" w:bidi="ar"/>
              </w:rPr>
              <w:t>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2"/>
                <w:szCs w:val="22"/>
                <w:u w:val="none"/>
              </w:rPr>
            </w:pPr>
            <w:r>
              <w:rPr>
                <w:rFonts w:hint="eastAsia" w:ascii="黑体" w:hAnsi="黑体" w:eastAsia="黑体" w:cs="黑体"/>
                <w:b w:val="0"/>
                <w:bCs/>
                <w:i w:val="0"/>
                <w:color w:val="000000"/>
                <w:kern w:val="0"/>
                <w:sz w:val="22"/>
                <w:szCs w:val="22"/>
                <w:u w:val="none"/>
                <w:lang w:val="en-US" w:eastAsia="zh-CN" w:bidi="ar"/>
              </w:rPr>
              <w:t>内容/数量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县（市、区）名称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主导产业名称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主导产业</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种植业、渔业填报：种植（养殖）面积（万亩）</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畜牧业填报：年存栏量（万头）</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畜牧业填报：年出栏量（万头）</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主导产业总产值（万元）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2"/>
                <w:szCs w:val="22"/>
                <w:u w:val="none"/>
              </w:rPr>
            </w:pPr>
            <w:r>
              <w:rPr>
                <w:rFonts w:hint="default" w:ascii="Times New Roman" w:hAnsi="Times New Roman" w:eastAsia="宋体" w:cs="Times New Roman"/>
                <w:i w:val="0"/>
                <w:color w:val="000000"/>
                <w:kern w:val="0"/>
                <w:sz w:val="22"/>
                <w:szCs w:val="22"/>
                <w:u w:val="none"/>
                <w:lang w:val="en-US" w:eastAsia="zh-CN" w:bidi="ar"/>
              </w:rPr>
              <w:t xml:space="preserve">    </w:t>
            </w:r>
            <w:r>
              <w:rPr>
                <w:rStyle w:val="21"/>
                <w:lang w:val="en-US" w:eastAsia="zh-CN" w:bidi="ar"/>
              </w:rPr>
              <w:t>其中：一产产值（万元）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2"/>
                <w:szCs w:val="22"/>
                <w:u w:val="none"/>
              </w:rPr>
            </w:pPr>
            <w:r>
              <w:rPr>
                <w:rFonts w:hint="default" w:ascii="Times New Roman" w:hAnsi="Times New Roman" w:eastAsia="宋体" w:cs="Times New Roman"/>
                <w:i w:val="0"/>
                <w:color w:val="000000"/>
                <w:kern w:val="0"/>
                <w:sz w:val="22"/>
                <w:szCs w:val="22"/>
                <w:u w:val="none"/>
                <w:lang w:val="en-US" w:eastAsia="zh-CN" w:bidi="ar"/>
              </w:rPr>
              <w:t xml:space="preserve">          </w:t>
            </w:r>
            <w:r>
              <w:rPr>
                <w:rStyle w:val="21"/>
                <w:lang w:val="en-US" w:eastAsia="zh-CN" w:bidi="ar"/>
              </w:rPr>
              <w:t>二产产值（万元）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主导产业加工转化率（%）</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经营主体</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从事主导产业的市级以上龙头企业名称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（请列出企业名称）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从事主导产业的农民合作社数量（个）</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从事主导产业的家庭农场数量（个）</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储备建设项目</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储备建设项目总投资（万元）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其中：1.建设主体名称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主要建设内容</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（简要说明项目建设内容、规模等）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2.建设主体名称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主要建设内容</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（简要说明项目建设内容、规模等）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w:hAnsi="Arial" w:eastAsia="宋体" w:cs="Arial"/>
                <w:i w:val="0"/>
                <w:color w:val="000000"/>
                <w:sz w:val="22"/>
                <w:szCs w:val="22"/>
                <w:u w:val="none"/>
              </w:rPr>
            </w:pPr>
            <w:r>
              <w:rPr>
                <w:rFonts w:hint="default" w:ascii="Arial" w:hAnsi="Arial" w:eastAsia="宋体" w:cs="Arial"/>
                <w:i w:val="0"/>
                <w:color w:val="000000"/>
                <w:kern w:val="0"/>
                <w:sz w:val="22"/>
                <w:szCs w:val="22"/>
                <w:u w:val="none"/>
                <w:lang w:val="en-US" w:eastAsia="zh-CN" w:bidi="ar"/>
              </w:rPr>
              <w:t>……</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hint="eastAsia" w:ascii="方正小标宋简体" w:hAnsi="方正小标宋简体" w:eastAsia="方正小标宋简体" w:cs="方正小标宋简体"/>
          <w:sz w:val="32"/>
          <w:szCs w:val="32"/>
        </w:rPr>
      </w:pPr>
    </w:p>
    <w:p>
      <w:pPr>
        <w:pStyle w:val="2"/>
        <w:rPr>
          <w:rFonts w:hint="eastAsia" w:ascii="方正小标宋简体" w:hAnsi="方正小标宋简体" w:eastAsia="方正小标宋简体" w:cs="方正小标宋简体"/>
          <w:sz w:val="32"/>
          <w:szCs w:val="32"/>
        </w:rPr>
      </w:pPr>
    </w:p>
    <w:p>
      <w:pPr>
        <w:pStyle w:val="2"/>
        <w:rPr>
          <w:rFonts w:hint="eastAsia" w:ascii="方正小标宋简体" w:hAnsi="方正小标宋简体" w:eastAsia="方正小标宋简体" w:cs="方正小标宋简体"/>
          <w:sz w:val="32"/>
          <w:szCs w:val="32"/>
        </w:rPr>
      </w:pPr>
    </w:p>
    <w:p>
      <w:pPr>
        <w:pStyle w:val="2"/>
        <w:rPr>
          <w:rFonts w:hint="eastAsia" w:ascii="方正小标宋简体" w:hAnsi="方正小标宋简体" w:eastAsia="方正小标宋简体" w:cs="方正小标宋简体"/>
          <w:sz w:val="32"/>
          <w:szCs w:val="32"/>
        </w:rPr>
      </w:pPr>
    </w:p>
    <w:p>
      <w:pPr>
        <w:pStyle w:val="2"/>
        <w:rPr>
          <w:rFonts w:hint="eastAsia" w:ascii="方正小标宋简体" w:hAnsi="方正小标宋简体" w:eastAsia="方正小标宋简体" w:cs="方正小标宋简体"/>
          <w:sz w:val="32"/>
          <w:szCs w:val="32"/>
        </w:rPr>
      </w:pPr>
    </w:p>
    <w:p>
      <w:pPr>
        <w:pStyle w:val="2"/>
        <w:rPr>
          <w:rFonts w:hint="eastAsia" w:ascii="方正小标宋简体" w:hAnsi="方正小标宋简体" w:eastAsia="方正小标宋简体" w:cs="方正小标宋简体"/>
          <w:sz w:val="32"/>
          <w:szCs w:val="32"/>
        </w:rPr>
      </w:pPr>
    </w:p>
    <w:p>
      <w:pPr>
        <w:adjustRightInd w:val="0"/>
        <w:snapToGrid w:val="0"/>
        <w:spacing w:line="560" w:lineRule="exact"/>
        <w:jc w:val="left"/>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附件2</w:t>
      </w:r>
    </w:p>
    <w:p>
      <w:pPr>
        <w:spacing w:line="640" w:lineRule="exact"/>
        <w:jc w:val="center"/>
        <w:rPr>
          <w:rFonts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国家农业产业强镇项目储备要求</w:t>
      </w:r>
    </w:p>
    <w:p>
      <w:pPr>
        <w:tabs>
          <w:tab w:val="left" w:pos="2520"/>
        </w:tabs>
        <w:adjustRightInd w:val="0"/>
        <w:snapToGrid w:val="0"/>
        <w:spacing w:line="620" w:lineRule="exact"/>
        <w:ind w:firstLine="640" w:firstLineChars="200"/>
        <w:jc w:val="left"/>
        <w:rPr>
          <w:rFonts w:ascii="仿宋_GB2312" w:hAnsi="仿宋_GB2312" w:eastAsia="仿宋_GB2312" w:cs="仿宋_GB2312"/>
          <w:color w:val="000000"/>
          <w:sz w:val="32"/>
          <w:szCs w:val="32"/>
        </w:rPr>
      </w:pPr>
      <w:r>
        <w:rPr>
          <w:rFonts w:hint="eastAsia" w:ascii="黑体" w:hAnsi="黑体" w:eastAsia="黑体" w:cs="黑体"/>
          <w:color w:val="000000"/>
          <w:sz w:val="32"/>
          <w:szCs w:val="32"/>
        </w:rPr>
        <w:t>一、支持对象</w:t>
      </w:r>
    </w:p>
    <w:p>
      <w:pPr>
        <w:tabs>
          <w:tab w:val="left" w:pos="2520"/>
        </w:tabs>
        <w:adjustRightInd w:val="0"/>
        <w:snapToGrid w:val="0"/>
        <w:spacing w:line="620" w:lineRule="exact"/>
        <w:ind w:firstLine="640" w:firstLineChars="200"/>
        <w:jc w:val="left"/>
        <w:rPr>
          <w:rFonts w:ascii="仿宋_GB2312" w:hAnsi="宋体" w:eastAsia="仿宋_GB2312" w:cs="宋体"/>
          <w:kern w:val="0"/>
          <w:sz w:val="32"/>
          <w:szCs w:val="32"/>
        </w:rPr>
      </w:pPr>
      <w:r>
        <w:rPr>
          <w:rFonts w:hint="eastAsia" w:ascii="仿宋_GB2312" w:hAnsi="仿宋_GB2312" w:eastAsia="仿宋_GB2312" w:cs="仿宋_GB2312"/>
          <w:sz w:val="32"/>
          <w:szCs w:val="32"/>
        </w:rPr>
        <w:t>在镇</w:t>
      </w:r>
      <w:r>
        <w:rPr>
          <w:rFonts w:hint="eastAsia" w:ascii="仿宋_GB2312" w:hAnsi="仿宋_GB2312" w:eastAsia="仿宋_GB2312" w:cs="仿宋_GB2312"/>
          <w:color w:val="000000"/>
          <w:kern w:val="0"/>
          <w:sz w:val="32"/>
          <w:szCs w:val="32"/>
        </w:rPr>
        <w:t>（乡）</w:t>
      </w:r>
      <w:r>
        <w:rPr>
          <w:rFonts w:hint="eastAsia" w:ascii="仿宋_GB2312" w:hAnsi="仿宋_GB2312" w:eastAsia="仿宋_GB2312" w:cs="仿宋_GB2312"/>
          <w:sz w:val="32"/>
          <w:szCs w:val="32"/>
        </w:rPr>
        <w:t>行政区域范围内，</w:t>
      </w:r>
      <w:r>
        <w:rPr>
          <w:rFonts w:hint="eastAsia" w:ascii="仿宋_GB2312" w:hAnsi="宋体" w:eastAsia="仿宋_GB2312" w:cs="宋体"/>
          <w:kern w:val="0"/>
          <w:sz w:val="32"/>
          <w:szCs w:val="32"/>
        </w:rPr>
        <w:t>扶持一批管理规范、运营良好、联农带农能力强的农民合作社、家庭农场，培育壮大一批产业基础好、发展前景足、引领动力强的农产品加工企业，打造一批以龙头企业为引领、以合作社和家庭农场为纽带、以农户为基础的农业产业化联合体。</w:t>
      </w:r>
    </w:p>
    <w:p>
      <w:pPr>
        <w:tabs>
          <w:tab w:val="left" w:pos="2520"/>
        </w:tabs>
        <w:adjustRightInd w:val="0"/>
        <w:snapToGri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二、建设内容</w:t>
      </w:r>
    </w:p>
    <w:p>
      <w:pPr>
        <w:spacing w:line="620" w:lineRule="exact"/>
        <w:ind w:firstLine="640" w:firstLineChars="200"/>
        <w:rPr>
          <w:rFonts w:ascii="仿宋_GB2312" w:hAnsi="仿宋_GB2312" w:eastAsia="仿宋_GB2312" w:cs="仿宋_GB2312"/>
          <w:sz w:val="32"/>
          <w:szCs w:val="32"/>
        </w:rPr>
      </w:pPr>
      <w:r>
        <w:rPr>
          <w:rFonts w:hint="eastAsia" w:ascii="仿宋_GB2312" w:eastAsia="仿宋_GB2312"/>
          <w:sz w:val="32"/>
          <w:szCs w:val="32"/>
        </w:rPr>
        <w:t>围绕当地资源要素，</w:t>
      </w:r>
      <w:r>
        <w:rPr>
          <w:rFonts w:hint="eastAsia" w:ascii="仿宋_GB2312" w:hAnsi="仿宋_GB2312" w:eastAsia="仿宋_GB2312" w:cs="仿宋_GB2312"/>
          <w:sz w:val="32"/>
          <w:szCs w:val="32"/>
        </w:rPr>
        <w:t>聚焦</w:t>
      </w:r>
      <w:r>
        <w:rPr>
          <w:rFonts w:hint="eastAsia" w:ascii="仿宋_GB2312" w:eastAsia="仿宋_GB2312"/>
          <w:sz w:val="32"/>
          <w:szCs w:val="32"/>
        </w:rPr>
        <w:t>镇域一个农业主导产业，加快全产业链、全价值链建设。着力支持提升原料基地、仓储保鲜、加工营销等设施装备水平，</w:t>
      </w:r>
      <w:r>
        <w:rPr>
          <w:rFonts w:hint="eastAsia" w:ascii="仿宋_GB2312" w:hAnsi="仿宋_GB2312" w:eastAsia="仿宋_GB2312" w:cs="仿宋_GB2312"/>
          <w:sz w:val="32"/>
          <w:szCs w:val="32"/>
        </w:rPr>
        <w:t>延长产业链条，补齐发展短板，完善利益联结，</w:t>
      </w:r>
      <w:r>
        <w:rPr>
          <w:rFonts w:ascii="Times New Roman" w:hAnsi="Times New Roman" w:eastAsia="仿宋_GB2312" w:cs="Times New Roman"/>
          <w:sz w:val="32"/>
          <w:szCs w:val="32"/>
        </w:rPr>
        <w:t>推动产城融合、产村融合发展</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打造综合服务功能强、宜居宜业的乡村产业融合综合体。</w:t>
      </w:r>
    </w:p>
    <w:p>
      <w:pPr>
        <w:tabs>
          <w:tab w:val="left" w:pos="2520"/>
        </w:tabs>
        <w:adjustRightInd w:val="0"/>
        <w:snapToGri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三、申报条件</w:t>
      </w:r>
    </w:p>
    <w:p>
      <w:pPr>
        <w:spacing w:line="620" w:lineRule="exact"/>
        <w:ind w:firstLine="640" w:firstLineChars="200"/>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1.</w:t>
      </w:r>
      <w:r>
        <w:rPr>
          <w:rFonts w:hint="eastAsia" w:ascii="仿宋_GB2312" w:hAnsi="微软雅黑" w:eastAsia="仿宋_GB2312" w:cs="宋体"/>
          <w:color w:val="000000"/>
          <w:kern w:val="0"/>
          <w:sz w:val="32"/>
          <w:szCs w:val="32"/>
        </w:rPr>
        <w:t>政府重视支持有力。</w:t>
      </w:r>
      <w:r>
        <w:rPr>
          <w:rFonts w:hint="eastAsia" w:ascii="仿宋_GB2312" w:hAnsi="仿宋_GB2312" w:eastAsia="仿宋_GB2312" w:cs="仿宋_GB2312"/>
          <w:sz w:val="32"/>
          <w:szCs w:val="32"/>
        </w:rPr>
        <w:t>县镇两级人民政府积极主动布局农业产业强镇建设，制定了农业产业发展中长期规划，且思路清晰、目标明确、措施可行、支持力度大。</w:t>
      </w:r>
      <w:r>
        <w:rPr>
          <w:rFonts w:ascii="仿宋_GB2312" w:hAnsi="微软雅黑" w:eastAsia="仿宋_GB2312" w:cs="宋体"/>
          <w:color w:val="000000"/>
          <w:kern w:val="0"/>
          <w:sz w:val="32"/>
          <w:szCs w:val="32"/>
        </w:rPr>
        <w:t> </w:t>
      </w:r>
    </w:p>
    <w:p>
      <w:pPr>
        <w:spacing w:line="620" w:lineRule="exact"/>
        <w:ind w:firstLine="640" w:firstLineChars="200"/>
        <w:rPr>
          <w:rFonts w:ascii="仿宋_GB2312" w:hAnsi="仿宋_GB2312" w:eastAsia="仿宋_GB2312" w:cs="仿宋_GB2312"/>
          <w:color w:val="000000"/>
          <w:kern w:val="0"/>
          <w:sz w:val="32"/>
          <w:szCs w:val="32"/>
        </w:rPr>
      </w:pPr>
      <w:r>
        <w:rPr>
          <w:rFonts w:ascii="仿宋_GB2312" w:hAnsi="微软雅黑" w:eastAsia="仿宋_GB2312" w:cs="宋体"/>
          <w:color w:val="000000"/>
          <w:kern w:val="0"/>
          <w:sz w:val="32"/>
          <w:szCs w:val="32"/>
        </w:rPr>
        <w:t>2.</w:t>
      </w:r>
      <w:r>
        <w:rPr>
          <w:rFonts w:hint="eastAsia" w:ascii="仿宋_GB2312" w:hAnsi="微软雅黑" w:eastAsia="仿宋_GB2312" w:cs="宋体"/>
          <w:color w:val="000000"/>
          <w:kern w:val="0"/>
          <w:sz w:val="32"/>
          <w:szCs w:val="32"/>
        </w:rPr>
        <w:t>主导产业基础牢固。</w:t>
      </w:r>
      <w:r>
        <w:rPr>
          <w:rFonts w:hint="eastAsia" w:ascii="仿宋_GB2312" w:hAnsi="仿宋_GB2312" w:eastAsia="仿宋_GB2312" w:cs="仿宋_GB2312"/>
          <w:sz w:val="32"/>
          <w:szCs w:val="32"/>
        </w:rPr>
        <w:t>主导产业应明确为1个农业产业，可以是种植业、畜牧业或渔业（种业、大豆）等</w:t>
      </w:r>
      <w:r>
        <w:rPr>
          <w:rFonts w:hint="eastAsia" w:ascii="仿宋_GB2312" w:hAnsi="仿宋_GB2312" w:eastAsia="仿宋_GB2312" w:cs="仿宋_GB2312"/>
          <w:color w:val="000000"/>
          <w:kern w:val="0"/>
          <w:sz w:val="32"/>
          <w:szCs w:val="32"/>
        </w:rPr>
        <w:t>。主导产业</w:t>
      </w:r>
      <w:r>
        <w:rPr>
          <w:rFonts w:hint="eastAsia" w:ascii="仿宋_GB2312" w:hAnsi="仿宋_GB2312" w:eastAsia="仿宋_GB2312" w:cs="仿宋_GB2312"/>
          <w:sz w:val="32"/>
          <w:szCs w:val="32"/>
        </w:rPr>
        <w:t>优势明显，</w:t>
      </w:r>
      <w:r>
        <w:rPr>
          <w:rFonts w:hint="eastAsia" w:ascii="仿宋_GB2312" w:hAnsi="仿宋_GB2312" w:eastAsia="仿宋_GB2312" w:cs="仿宋_GB2312"/>
          <w:color w:val="000000"/>
          <w:kern w:val="0"/>
          <w:sz w:val="32"/>
          <w:szCs w:val="32"/>
        </w:rPr>
        <w:t>绿色发展成效突出，农村一二三产业结构合理，社会化服务体系保障有力，</w:t>
      </w:r>
      <w:r>
        <w:rPr>
          <w:rFonts w:hint="eastAsia" w:ascii="仿宋_GB2312" w:hAnsi="仿宋_GB2312" w:eastAsia="仿宋_GB2312" w:cs="仿宋_GB2312"/>
          <w:sz w:val="32"/>
          <w:szCs w:val="32"/>
        </w:rPr>
        <w:t>镇域主导产业全产业链产值应</w:t>
      </w:r>
      <w:r>
        <w:rPr>
          <w:rFonts w:hint="eastAsia" w:ascii="仿宋_GB2312" w:hAnsi="仿宋_GB2312" w:eastAsia="仿宋_GB2312" w:cs="仿宋_GB2312"/>
          <w:color w:val="000000"/>
          <w:kern w:val="0"/>
          <w:sz w:val="32"/>
          <w:szCs w:val="32"/>
        </w:rPr>
        <w:t>达到</w:t>
      </w:r>
      <w:r>
        <w:rPr>
          <w:rFonts w:hint="eastAsia" w:ascii="仿宋_GB2312" w:hAnsi="仿宋_GB2312" w:eastAsia="仿宋_GB2312" w:cs="仿宋_GB2312"/>
          <w:kern w:val="0"/>
          <w:sz w:val="32"/>
          <w:szCs w:val="32"/>
        </w:rPr>
        <w:t>2</w:t>
      </w:r>
      <w:r>
        <w:rPr>
          <w:rFonts w:hint="eastAsia" w:ascii="仿宋_GB2312" w:hAnsi="仿宋_GB2312" w:eastAsia="仿宋_GB2312" w:cs="仿宋_GB2312"/>
          <w:color w:val="000000"/>
          <w:kern w:val="0"/>
          <w:sz w:val="32"/>
          <w:szCs w:val="32"/>
        </w:rPr>
        <w:t>亿元以上。申报时要将培育的主导产业落实到具体品种类别，不得笼统地将粮食、果蔬、畜禽、水产等综合大类申报。</w:t>
      </w:r>
    </w:p>
    <w:p>
      <w:pPr>
        <w:spacing w:line="620" w:lineRule="exact"/>
        <w:ind w:firstLine="640" w:firstLineChars="200"/>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3.</w:t>
      </w:r>
      <w:r>
        <w:rPr>
          <w:rFonts w:hint="eastAsia" w:ascii="仿宋_GB2312" w:hAnsi="微软雅黑" w:eastAsia="仿宋_GB2312" w:cs="宋体"/>
          <w:color w:val="000000"/>
          <w:kern w:val="0"/>
          <w:sz w:val="32"/>
          <w:szCs w:val="32"/>
        </w:rPr>
        <w:t>融合发展初见成效。围绕主导产业推进农村一二三产业融合发展，产业链长、主体多元、业态多样，类型丰富</w:t>
      </w:r>
      <w:r>
        <w:rPr>
          <w:rFonts w:hint="eastAsia" w:ascii="仿宋_GB2312" w:hAnsi="仿宋" w:eastAsia="仿宋_GB2312"/>
          <w:color w:val="000000"/>
          <w:sz w:val="32"/>
          <w:szCs w:val="32"/>
        </w:rPr>
        <w:t>，有成熟的农业产业化组织模式。</w:t>
      </w:r>
      <w:r>
        <w:rPr>
          <w:rFonts w:hint="eastAsia" w:ascii="仿宋_GB2312" w:hAnsi="微软雅黑" w:eastAsia="仿宋_GB2312" w:cs="宋体"/>
          <w:color w:val="000000"/>
          <w:kern w:val="0"/>
          <w:sz w:val="32"/>
          <w:szCs w:val="32"/>
        </w:rPr>
        <w:t>农产品加工业产值与农业产值比达到</w:t>
      </w:r>
      <w:r>
        <w:rPr>
          <w:rFonts w:ascii="仿宋_GB2312" w:hAnsi="微软雅黑" w:eastAsia="仿宋_GB2312" w:cs="宋体"/>
          <w:color w:val="000000"/>
          <w:kern w:val="0"/>
          <w:sz w:val="32"/>
          <w:szCs w:val="32"/>
        </w:rPr>
        <w:t>2</w:t>
      </w:r>
      <w:r>
        <w:rPr>
          <w:rFonts w:hint="eastAsia" w:ascii="仿宋_GB2312" w:hAnsi="微软雅黑" w:eastAsia="仿宋_GB2312" w:cs="宋体"/>
          <w:color w:val="000000"/>
          <w:kern w:val="0"/>
          <w:sz w:val="32"/>
          <w:szCs w:val="32"/>
        </w:rPr>
        <w:t>：</w:t>
      </w:r>
      <w:r>
        <w:rPr>
          <w:rFonts w:ascii="仿宋_GB2312" w:hAnsi="微软雅黑" w:eastAsia="仿宋_GB2312" w:cs="宋体"/>
          <w:color w:val="000000"/>
          <w:kern w:val="0"/>
          <w:sz w:val="32"/>
          <w:szCs w:val="32"/>
        </w:rPr>
        <w:t>1</w:t>
      </w:r>
      <w:r>
        <w:rPr>
          <w:rFonts w:hint="eastAsia" w:ascii="仿宋_GB2312" w:hAnsi="微软雅黑" w:eastAsia="仿宋_GB2312" w:cs="宋体"/>
          <w:color w:val="000000"/>
          <w:kern w:val="0"/>
          <w:sz w:val="32"/>
          <w:szCs w:val="32"/>
        </w:rPr>
        <w:t>以上。</w:t>
      </w:r>
    </w:p>
    <w:p>
      <w:pPr>
        <w:spacing w:line="620" w:lineRule="exact"/>
        <w:ind w:firstLine="640" w:firstLineChars="200"/>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4.</w:t>
      </w:r>
      <w:r>
        <w:rPr>
          <w:rFonts w:hint="eastAsia" w:ascii="仿宋_GB2312" w:hAnsi="微软雅黑" w:eastAsia="仿宋_GB2312" w:cs="宋体"/>
          <w:color w:val="000000"/>
          <w:kern w:val="0"/>
          <w:sz w:val="32"/>
          <w:szCs w:val="32"/>
        </w:rPr>
        <w:t>产业布局科学合理。主导产业与当地发展基础、资源条件、生态环境、经济区位等相匹配，发展功能定位准确，镇域公共基础设施完备，服务设施配套，产业发展与村庄建设、生态宜居同步推进。</w:t>
      </w:r>
      <w:r>
        <w:rPr>
          <w:rFonts w:ascii="微软雅黑" w:hAnsi="微软雅黑" w:eastAsia="仿宋_GB2312" w:cs="宋体"/>
          <w:color w:val="000000"/>
          <w:kern w:val="0"/>
          <w:sz w:val="32"/>
          <w:szCs w:val="32"/>
        </w:rPr>
        <w:t> </w:t>
      </w:r>
    </w:p>
    <w:p>
      <w:pPr>
        <w:tabs>
          <w:tab w:val="left" w:pos="2520"/>
        </w:tabs>
        <w:adjustRightInd w:val="0"/>
        <w:snapToGrid w:val="0"/>
        <w:spacing w:line="620" w:lineRule="exact"/>
        <w:ind w:firstLine="640" w:firstLineChars="200"/>
        <w:jc w:val="left"/>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5.</w:t>
      </w:r>
      <w:r>
        <w:rPr>
          <w:rFonts w:hint="eastAsia" w:ascii="仿宋_GB2312" w:hAnsi="微软雅黑" w:eastAsia="仿宋_GB2312" w:cs="宋体"/>
          <w:color w:val="000000"/>
          <w:kern w:val="0"/>
          <w:sz w:val="32"/>
          <w:szCs w:val="32"/>
        </w:rPr>
        <w:t>联农带农机制完善。积极创新联农带农激励机制，推动村集体和家庭农场、农民合作社、农业产业化龙头企业等新型经营主体与农户建立紧密利益联结机制，分享二三产业增值收益。</w:t>
      </w:r>
    </w:p>
    <w:p>
      <w:pPr>
        <w:tabs>
          <w:tab w:val="left" w:pos="2520"/>
        </w:tabs>
        <w:adjustRightInd w:val="0"/>
        <w:snapToGrid w:val="0"/>
        <w:spacing w:line="620" w:lineRule="exact"/>
        <w:ind w:firstLine="640" w:firstLineChars="200"/>
        <w:jc w:val="left"/>
        <w:rPr>
          <w:rFonts w:ascii="黑体" w:hAnsi="黑体" w:eastAsia="黑体" w:cs="黑体"/>
          <w:color w:val="000000"/>
          <w:sz w:val="32"/>
          <w:szCs w:val="32"/>
        </w:rPr>
      </w:pPr>
      <w:r>
        <w:rPr>
          <w:rFonts w:hint="eastAsia" w:ascii="黑体" w:hAnsi="黑体" w:eastAsia="黑体" w:cs="黑体"/>
          <w:color w:val="000000"/>
          <w:sz w:val="32"/>
          <w:szCs w:val="32"/>
        </w:rPr>
        <w:t>四、补助标准</w:t>
      </w:r>
    </w:p>
    <w:p>
      <w:pPr>
        <w:pStyle w:val="3"/>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每个强镇中央安排补贴资金共1000万元，其中批准创建时安排300万元，通过认定后再奖补700万元。采取批准建设期间予以适当补助、通过认定再进行奖补的方式，进一步调动地方主动作为、加大投入的积极性，提升建设效果。</w:t>
      </w:r>
    </w:p>
    <w:p>
      <w:pPr>
        <w:tabs>
          <w:tab w:val="left" w:pos="2520"/>
        </w:tabs>
        <w:adjustRightInd w:val="0"/>
        <w:snapToGrid w:val="0"/>
        <w:spacing w:line="620" w:lineRule="exact"/>
        <w:ind w:firstLine="640" w:firstLineChars="200"/>
        <w:jc w:val="left"/>
        <w:rPr>
          <w:rFonts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lang w:bidi="ar"/>
        </w:rPr>
        <w:t>各市要充分发挥市场在资源配置中的决定性作用，通过中央财政资金引导，有效带动地方政府加大投入，引导和</w:t>
      </w:r>
      <w:r>
        <w:rPr>
          <w:rFonts w:hint="eastAsia" w:ascii="仿宋_GB2312" w:hAnsi="仿宋_GB2312" w:eastAsia="仿宋_GB2312" w:cs="仿宋_GB2312"/>
          <w:sz w:val="32"/>
          <w:szCs w:val="32"/>
        </w:rPr>
        <w:t>撬动金融资本和社会资本参与建设。原则上，中央财政资金与撬动金融资本和社会资本比值要达到1:3以上，单个项目中央财政资金补助比例不超过30%。</w:t>
      </w:r>
    </w:p>
    <w:p>
      <w:pPr>
        <w:adjustRightInd w:val="0"/>
        <w:snapToGrid w:val="0"/>
        <w:spacing w:line="620" w:lineRule="exact"/>
        <w:ind w:firstLine="640" w:firstLineChars="200"/>
        <w:rPr>
          <w:rFonts w:eastAsia="黑体"/>
          <w:sz w:val="32"/>
          <w:szCs w:val="32"/>
        </w:rPr>
      </w:pPr>
      <w:r>
        <w:rPr>
          <w:rFonts w:hint="eastAsia" w:eastAsia="黑体"/>
          <w:sz w:val="32"/>
          <w:szCs w:val="32"/>
        </w:rPr>
        <w:t>五</w:t>
      </w:r>
      <w:r>
        <w:rPr>
          <w:rFonts w:eastAsia="黑体"/>
          <w:sz w:val="32"/>
          <w:szCs w:val="32"/>
        </w:rPr>
        <w:t>、</w:t>
      </w:r>
      <w:r>
        <w:rPr>
          <w:rFonts w:hint="eastAsia" w:eastAsia="黑体"/>
          <w:sz w:val="32"/>
          <w:szCs w:val="32"/>
        </w:rPr>
        <w:t>储备要求</w:t>
      </w:r>
    </w:p>
    <w:p>
      <w:pPr>
        <w:adjustRightInd w:val="0"/>
        <w:snapToGrid w:val="0"/>
        <w:spacing w:line="620" w:lineRule="exact"/>
        <w:ind w:firstLine="640" w:firstLineChars="200"/>
        <w:rPr>
          <w:rFonts w:eastAsia="仿宋_GB2312"/>
          <w:sz w:val="32"/>
          <w:szCs w:val="32"/>
        </w:rPr>
      </w:pPr>
      <w:r>
        <w:rPr>
          <w:rFonts w:hint="eastAsia" w:ascii="仿宋_GB2312" w:hAnsi="仿宋_GB2312" w:eastAsia="仿宋_GB2312" w:cs="仿宋_GB2312"/>
          <w:bCs/>
          <w:sz w:val="32"/>
          <w:szCs w:val="32"/>
        </w:rPr>
        <w:t>各市要严格对照实施对象和范围等条件，积极做好宣传发动工作，开展项目需求摸底调查工作。</w:t>
      </w:r>
      <w:r>
        <w:rPr>
          <w:rFonts w:hint="eastAsia" w:ascii="仿宋_GB2312" w:hAnsi="微软雅黑" w:eastAsia="仿宋_GB2312" w:cs="宋体"/>
          <w:color w:val="000000"/>
          <w:kern w:val="0"/>
          <w:sz w:val="32"/>
          <w:szCs w:val="32"/>
        </w:rPr>
        <w:t>每个市推荐农业产业强镇数量不超过2个，城关镇、开发区、街道办事处不得列入申报范围。</w:t>
      </w:r>
      <w:r>
        <w:rPr>
          <w:rFonts w:hint="eastAsia" w:ascii="仿宋_GB2312" w:eastAsia="仿宋_GB2312"/>
          <w:sz w:val="32"/>
          <w:szCs w:val="32"/>
        </w:rPr>
        <w:t>各市要统筹考虑当地种植业、畜牧业、渔业</w:t>
      </w:r>
      <w:r>
        <w:rPr>
          <w:rFonts w:hint="eastAsia" w:ascii="仿宋_GB2312" w:eastAsia="仿宋_GB2312"/>
          <w:sz w:val="32"/>
          <w:szCs w:val="32"/>
          <w:lang w:eastAsia="zh-CN"/>
        </w:rPr>
        <w:t>、</w:t>
      </w:r>
      <w:r>
        <w:rPr>
          <w:rFonts w:hint="eastAsia" w:ascii="仿宋_GB2312" w:eastAsia="仿宋_GB2312"/>
          <w:sz w:val="32"/>
          <w:szCs w:val="32"/>
        </w:rPr>
        <w:t>种业产业发展需求，由市农业农村局牵头协调相关部门，</w:t>
      </w:r>
      <w:r>
        <w:rPr>
          <w:rFonts w:hint="eastAsia" w:ascii="仿宋_GB2312" w:hAnsi="仿宋_GB2312" w:eastAsia="仿宋_GB2312" w:cs="仿宋_GB2312"/>
          <w:bCs/>
          <w:sz w:val="32"/>
          <w:szCs w:val="32"/>
        </w:rPr>
        <w:t>确保摸清摸准需求底数</w:t>
      </w:r>
      <w:r>
        <w:rPr>
          <w:rFonts w:hint="eastAsia" w:eastAsia="仿宋_GB2312"/>
          <w:sz w:val="32"/>
          <w:szCs w:val="32"/>
        </w:rPr>
        <w:t>。</w:t>
      </w:r>
    </w:p>
    <w:p>
      <w:pPr>
        <w:adjustRightInd w:val="0"/>
        <w:snapToGrid w:val="0"/>
        <w:spacing w:line="620" w:lineRule="exact"/>
        <w:ind w:firstLine="640" w:firstLineChars="200"/>
        <w:rPr>
          <w:rFonts w:ascii="仿宋_GB2312" w:hAnsi="微软雅黑" w:eastAsia="仿宋_GB2312" w:cs="宋体"/>
          <w:color w:val="000000"/>
          <w:kern w:val="0"/>
          <w:sz w:val="32"/>
          <w:szCs w:val="32"/>
        </w:rPr>
      </w:pPr>
      <w:r>
        <w:rPr>
          <w:rFonts w:hint="eastAsia" w:ascii="仿宋_GB2312" w:eastAsia="仿宋_GB2312"/>
          <w:sz w:val="32"/>
          <w:szCs w:val="32"/>
        </w:rPr>
        <w:t>联系方式：</w:t>
      </w:r>
      <w:r>
        <w:rPr>
          <w:rFonts w:hint="eastAsia" w:ascii="仿宋_GB2312" w:hAnsi="微软雅黑" w:eastAsia="仿宋_GB2312" w:cs="宋体"/>
          <w:color w:val="000000"/>
          <w:kern w:val="0"/>
          <w:sz w:val="32"/>
          <w:szCs w:val="32"/>
        </w:rPr>
        <w:t>省农业农村厅乡村产业处 高洁</w:t>
      </w:r>
    </w:p>
    <w:p>
      <w:pPr>
        <w:adjustRightInd w:val="0"/>
        <w:snapToGrid w:val="0"/>
        <w:spacing w:line="620" w:lineRule="exact"/>
        <w:ind w:firstLine="2240" w:firstLineChars="700"/>
        <w:rPr>
          <w:rFonts w:ascii="仿宋_GB2312" w:hAnsi="微软雅黑" w:eastAsia="仿宋_GB2312" w:cs="宋体"/>
          <w:color w:val="000000"/>
          <w:kern w:val="0"/>
          <w:sz w:val="32"/>
          <w:szCs w:val="32"/>
        </w:rPr>
      </w:pPr>
      <w:r>
        <w:rPr>
          <w:rFonts w:ascii="仿宋_GB2312" w:hAnsi="微软雅黑" w:eastAsia="仿宋_GB2312" w:cs="宋体"/>
          <w:color w:val="000000"/>
          <w:kern w:val="0"/>
          <w:sz w:val="32"/>
          <w:szCs w:val="32"/>
        </w:rPr>
        <w:t>0531-51789183</w:t>
      </w:r>
    </w:p>
    <w:p>
      <w:pPr>
        <w:pStyle w:val="2"/>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附表：农业产业强镇储备项目基本情况</w:t>
      </w:r>
    </w:p>
    <w:p>
      <w:pPr>
        <w:pStyle w:val="2"/>
        <w:ind w:firstLine="640" w:firstLineChars="200"/>
        <w:jc w:val="both"/>
        <w:rPr>
          <w:rFonts w:hint="eastAsia" w:ascii="仿宋_GB2312" w:hAnsi="仿宋_GB2312" w:eastAsia="仿宋_GB2312" w:cs="仿宋_GB2312"/>
          <w:sz w:val="32"/>
          <w:szCs w:val="32"/>
          <w:lang w:val="en-US" w:eastAsia="zh-CN"/>
        </w:rPr>
      </w:pPr>
    </w:p>
    <w:p>
      <w:pPr>
        <w:pStyle w:val="2"/>
        <w:ind w:firstLine="640" w:firstLineChars="200"/>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pStyle w:val="2"/>
        <w:jc w:val="both"/>
        <w:rPr>
          <w:rFonts w:hint="eastAsia" w:ascii="仿宋_GB2312" w:hAnsi="仿宋_GB2312" w:eastAsia="仿宋_GB2312" w:cs="仿宋_GB2312"/>
          <w:sz w:val="32"/>
          <w:szCs w:val="32"/>
          <w:lang w:val="en-US" w:eastAsia="zh-CN"/>
        </w:rPr>
      </w:pPr>
    </w:p>
    <w:p>
      <w:pPr>
        <w:widowControl w:val="0"/>
        <w:autoSpaceDE w:val="0"/>
        <w:autoSpaceDN w:val="0"/>
        <w:adjustRightInd w:val="0"/>
        <w:spacing w:line="240" w:lineRule="atLeast"/>
        <w:jc w:val="both"/>
        <w:rPr>
          <w:rFonts w:hint="eastAsia" w:ascii="黑体" w:hAnsi="黑体" w:eastAsia="黑体" w:cs="黑体"/>
          <w:sz w:val="32"/>
          <w:szCs w:val="32"/>
          <w:lang w:val="en-US" w:eastAsia="zh-CN" w:bidi="ar-SA"/>
        </w:rPr>
      </w:pPr>
      <w:r>
        <w:rPr>
          <w:rFonts w:hint="eastAsia" w:ascii="黑体" w:hAnsi="黑体" w:eastAsia="黑体" w:cs="黑体"/>
          <w:sz w:val="32"/>
          <w:szCs w:val="32"/>
          <w:lang w:val="en-US" w:eastAsia="zh-CN" w:bidi="ar-SA"/>
        </w:rPr>
        <w:t>附表</w:t>
      </w:r>
    </w:p>
    <w:p>
      <w:pPr>
        <w:widowControl w:val="0"/>
        <w:autoSpaceDE w:val="0"/>
        <w:autoSpaceDN w:val="0"/>
        <w:adjustRightInd w:val="0"/>
        <w:spacing w:line="240" w:lineRule="atLeast"/>
        <w:jc w:val="center"/>
        <w:rPr>
          <w:rFonts w:hint="eastAsia" w:ascii="方正小标宋简体" w:hAnsi="方正小标宋简体" w:eastAsia="方正小标宋简体" w:cs="方正小标宋简体"/>
          <w:sz w:val="36"/>
          <w:szCs w:val="36"/>
          <w:lang w:val="en-US" w:eastAsia="zh-CN" w:bidi="ar-SA"/>
        </w:rPr>
      </w:pPr>
      <w:r>
        <w:rPr>
          <w:rFonts w:hint="eastAsia" w:ascii="方正小标宋简体" w:hAnsi="方正小标宋简体" w:eastAsia="方正小标宋简体" w:cs="方正小标宋简体"/>
          <w:sz w:val="36"/>
          <w:szCs w:val="36"/>
          <w:lang w:val="en-US" w:eastAsia="zh-CN" w:bidi="ar-SA"/>
        </w:rPr>
        <w:t>农业产业强镇储备项目基本情况</w:t>
      </w:r>
    </w:p>
    <w:p>
      <w:pPr>
        <w:widowControl w:val="0"/>
        <w:autoSpaceDE w:val="0"/>
        <w:autoSpaceDN w:val="0"/>
        <w:adjustRightInd w:val="0"/>
        <w:spacing w:line="240" w:lineRule="atLeast"/>
        <w:jc w:val="center"/>
        <w:rPr>
          <w:rFonts w:hint="eastAsia" w:ascii="宋体" w:hAnsi="Times New Roman" w:eastAsia="宋体" w:cs="Times New Roman"/>
          <w:sz w:val="21"/>
          <w:szCs w:val="22"/>
          <w:lang w:val="en-US" w:eastAsia="zh-CN" w:bidi="ar-SA"/>
        </w:rPr>
      </w:pPr>
    </w:p>
    <w:tbl>
      <w:tblPr>
        <w:tblStyle w:val="10"/>
        <w:tblW w:w="849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50"/>
        <w:gridCol w:w="3600"/>
        <w:gridCol w:w="35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2"/>
                <w:szCs w:val="22"/>
                <w:u w:val="none"/>
              </w:rPr>
            </w:pPr>
            <w:r>
              <w:rPr>
                <w:rFonts w:hint="eastAsia" w:ascii="黑体" w:hAnsi="黑体" w:eastAsia="黑体" w:cs="黑体"/>
                <w:b w:val="0"/>
                <w:bCs/>
                <w:i w:val="0"/>
                <w:color w:val="000000"/>
                <w:kern w:val="0"/>
                <w:sz w:val="22"/>
                <w:szCs w:val="22"/>
                <w:u w:val="none"/>
                <w:lang w:val="en-US" w:eastAsia="zh-CN" w:bidi="ar"/>
              </w:rPr>
              <w:t>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黑体" w:hAnsi="黑体" w:eastAsia="黑体" w:cs="黑体"/>
                <w:b w:val="0"/>
                <w:bCs/>
                <w:i w:val="0"/>
                <w:color w:val="000000"/>
                <w:sz w:val="22"/>
                <w:szCs w:val="22"/>
                <w:u w:val="none"/>
              </w:rPr>
            </w:pPr>
            <w:r>
              <w:rPr>
                <w:rFonts w:hint="eastAsia" w:ascii="黑体" w:hAnsi="黑体" w:eastAsia="黑体" w:cs="黑体"/>
                <w:b w:val="0"/>
                <w:bCs/>
                <w:i w:val="0"/>
                <w:color w:val="000000"/>
                <w:kern w:val="0"/>
                <w:sz w:val="22"/>
                <w:szCs w:val="22"/>
                <w:u w:val="none"/>
                <w:lang w:val="en-US" w:eastAsia="zh-CN" w:bidi="ar"/>
              </w:rPr>
              <w:t>内容/数量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镇（乡）名称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49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主导产业名称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主导产业</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种植业、渔业填报：种植（养殖）面积（万亩）</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畜牧业填报：年存栏量（万头）</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畜牧业填报：年出栏量（万头）</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主导产业总产值（万元）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2"/>
                <w:szCs w:val="22"/>
                <w:u w:val="none"/>
              </w:rPr>
            </w:pPr>
            <w:r>
              <w:rPr>
                <w:rFonts w:hint="default" w:ascii="Times New Roman" w:hAnsi="Times New Roman" w:eastAsia="宋体" w:cs="Times New Roman"/>
                <w:i w:val="0"/>
                <w:color w:val="000000"/>
                <w:kern w:val="0"/>
                <w:sz w:val="22"/>
                <w:szCs w:val="22"/>
                <w:u w:val="none"/>
                <w:lang w:val="en-US" w:eastAsia="zh-CN" w:bidi="ar"/>
              </w:rPr>
              <w:t xml:space="preserve">    </w:t>
            </w:r>
            <w:r>
              <w:rPr>
                <w:rStyle w:val="21"/>
                <w:lang w:val="en-US" w:eastAsia="zh-CN" w:bidi="ar"/>
              </w:rPr>
              <w:t>其中：一产产值（万元）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2"/>
                <w:szCs w:val="22"/>
                <w:u w:val="none"/>
              </w:rPr>
            </w:pPr>
            <w:r>
              <w:rPr>
                <w:rFonts w:hint="default" w:ascii="Times New Roman" w:hAnsi="Times New Roman" w:eastAsia="宋体" w:cs="Times New Roman"/>
                <w:i w:val="0"/>
                <w:color w:val="000000"/>
                <w:kern w:val="0"/>
                <w:sz w:val="22"/>
                <w:szCs w:val="22"/>
                <w:u w:val="none"/>
                <w:lang w:val="en-US" w:eastAsia="zh-CN" w:bidi="ar"/>
              </w:rPr>
              <w:t xml:space="preserve">          </w:t>
            </w:r>
            <w:r>
              <w:rPr>
                <w:rStyle w:val="21"/>
                <w:lang w:val="en-US" w:eastAsia="zh-CN" w:bidi="ar"/>
              </w:rPr>
              <w:t>二产产值（万元）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三产产值（万元）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主导产业加工转化率（%）</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经营主体</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从事主导产业的市级以上龙头企业名称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（请列出企业名称）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从事主导产业的农民合作社数量（个）</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从事主导产业的家庭农场数量（个）</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2"/>
                <w:szCs w:val="22"/>
                <w:u w:val="none"/>
              </w:rPr>
            </w:pPr>
            <w:r>
              <w:rPr>
                <w:rFonts w:hint="eastAsia" w:ascii="宋体" w:hAnsi="宋体" w:eastAsia="宋体" w:cs="宋体"/>
                <w:b/>
                <w:i w:val="0"/>
                <w:color w:val="000000"/>
                <w:kern w:val="0"/>
                <w:sz w:val="22"/>
                <w:szCs w:val="22"/>
                <w:u w:val="none"/>
                <w:lang w:val="en-US" w:eastAsia="zh-CN" w:bidi="ar"/>
              </w:rPr>
              <w:t>储备建设项目</w:t>
            </w: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储备建设项目总投资（万元）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Times New Roman" w:hAnsi="Times New Roman" w:eastAsia="宋体" w:cs="Times New Roman"/>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其中：1.建设主体名称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主要建设内容</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（简要说明项目建设内容、规模等）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2.建设主体名称</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主要建设内容</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（简要说明项目建设内容、规模等）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项目总投资（万元）</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0" w:hRule="atLeast"/>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22"/>
                <w:szCs w:val="22"/>
                <w:u w:val="none"/>
              </w:rPr>
            </w:pPr>
          </w:p>
        </w:tc>
        <w:tc>
          <w:tcPr>
            <w:tcW w:w="3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w:hAnsi="Arial" w:eastAsia="宋体" w:cs="Arial"/>
                <w:i w:val="0"/>
                <w:color w:val="000000"/>
                <w:sz w:val="22"/>
                <w:szCs w:val="22"/>
                <w:u w:val="none"/>
              </w:rPr>
            </w:pPr>
            <w:r>
              <w:rPr>
                <w:rFonts w:hint="default" w:ascii="Arial" w:hAnsi="Arial" w:eastAsia="宋体" w:cs="Arial"/>
                <w:i w:val="0"/>
                <w:color w:val="000000"/>
                <w:kern w:val="0"/>
                <w:sz w:val="22"/>
                <w:szCs w:val="22"/>
                <w:u w:val="none"/>
                <w:lang w:val="en-US" w:eastAsia="zh-CN" w:bidi="ar"/>
              </w:rPr>
              <w:t>……</w:t>
            </w:r>
          </w:p>
        </w:tc>
        <w:tc>
          <w:tcPr>
            <w:tcW w:w="3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bl>
    <w:p>
      <w:pPr>
        <w:pStyle w:val="2"/>
        <w:ind w:firstLine="640" w:firstLineChars="200"/>
        <w:jc w:val="both"/>
        <w:rPr>
          <w:rFonts w:hint="eastAsia" w:ascii="仿宋_GB2312" w:hAnsi="仿宋_GB2312" w:eastAsia="仿宋_GB2312" w:cs="仿宋_GB2312"/>
          <w:sz w:val="32"/>
          <w:szCs w:val="32"/>
          <w:lang w:val="en-US" w:eastAsia="zh-CN"/>
        </w:rPr>
        <w:sectPr>
          <w:footerReference r:id="rId3" w:type="default"/>
          <w:pgSz w:w="11906" w:h="16838"/>
          <w:pgMar w:top="1440" w:right="1800" w:bottom="1440" w:left="1800" w:header="851" w:footer="992" w:gutter="0"/>
          <w:cols w:space="425" w:num="1"/>
          <w:docGrid w:type="lines" w:linePitch="312" w:charSpace="0"/>
        </w:sectPr>
      </w:pPr>
    </w:p>
    <w:p>
      <w:pPr>
        <w:spacing w:before="240" w:line="560" w:lineRule="exact"/>
        <w:rPr>
          <w:rFonts w:ascii="黑体" w:hAnsi="黑体" w:eastAsia="黑体" w:cs="黑体"/>
          <w:sz w:val="32"/>
          <w:szCs w:val="32"/>
        </w:rPr>
      </w:pPr>
      <w:r>
        <w:rPr>
          <w:rFonts w:hint="eastAsia" w:ascii="黑体" w:hAnsi="黑体" w:eastAsia="黑体" w:cs="黑体"/>
          <w:sz w:val="32"/>
          <w:szCs w:val="32"/>
        </w:rPr>
        <w:t>附件8</w:t>
      </w:r>
    </w:p>
    <w:p>
      <w:pPr>
        <w:spacing w:line="640" w:lineRule="exact"/>
        <w:jc w:val="center"/>
        <w:rPr>
          <w:rFonts w:ascii="方正小标宋简体" w:hAnsi="方正小标宋简体" w:eastAsia="方正小标宋简体" w:cs="方正小标宋简体"/>
          <w:sz w:val="40"/>
          <w:szCs w:val="40"/>
        </w:rPr>
      </w:pPr>
      <w:r>
        <w:rPr>
          <w:rFonts w:hint="eastAsia" w:ascii="方正小标宋简体" w:hAnsi="方正小标宋简体" w:eastAsia="方正小标宋简体" w:cs="方正小标宋简体"/>
          <w:sz w:val="40"/>
          <w:szCs w:val="40"/>
        </w:rPr>
        <w:t>地理标志农产品保护工程项目储备要求</w:t>
      </w:r>
    </w:p>
    <w:p>
      <w:pPr>
        <w:spacing w:line="620" w:lineRule="exact"/>
        <w:ind w:firstLine="640" w:firstLineChars="200"/>
        <w:rPr>
          <w:rFonts w:ascii="黑体" w:hAnsi="黑体" w:eastAsia="黑体"/>
          <w:sz w:val="32"/>
          <w:szCs w:val="32"/>
        </w:rPr>
      </w:pPr>
      <w:r>
        <w:rPr>
          <w:rFonts w:hint="eastAsia" w:ascii="黑体" w:hAnsi="黑体" w:eastAsia="黑体"/>
          <w:sz w:val="32"/>
          <w:szCs w:val="32"/>
        </w:rPr>
        <w:t>一、申报范围</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(一）有关市、县（市、区）农业农村（畜牧兽医）局或渔业主管局为项目储备申报主体，地理标志农产品（以下简称“地标”）登记证书持有人和标志授权使用企业为具体承担单位。</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(二）储备数量。现有地标产品20个以上济南、潍坊、威海、济宁、临沂等市可申报2个，其他市申报1个。</w:t>
      </w:r>
    </w:p>
    <w:p>
      <w:pPr>
        <w:spacing w:line="620" w:lineRule="exact"/>
        <w:ind w:firstLine="640" w:firstLineChars="200"/>
        <w:rPr>
          <w:rFonts w:ascii="仿宋_GB2312" w:eastAsia="仿宋_GB2312"/>
          <w:sz w:val="32"/>
          <w:szCs w:val="32"/>
        </w:rPr>
      </w:pPr>
      <w:r>
        <w:rPr>
          <w:rFonts w:hint="eastAsia" w:ascii="黑体" w:hAnsi="黑体" w:eastAsia="黑体"/>
          <w:sz w:val="32"/>
          <w:szCs w:val="32"/>
        </w:rPr>
        <w:t>二、申报条件</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(一）申报产品必须符合农业农村部六大品类范围要求，年销售额达2000万元以上，带动农户500人以上，人均收入年增幅10%以上。</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(二）达到地标产品“三标并行，一网追溯”要求，即产品有规范的包装，附着“地标标志”、“注册商标”、“食用农产品合格证”等标志，并在国家农产品质量安全追溯管理信息平台实行追溯管理。</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(三）加强产品质量管控，制定产品参加省级以上宣传推介活动计划，积极开展山东品牌农产品综合服务平台及其他有影响力的电商平台等营销。</w:t>
      </w:r>
    </w:p>
    <w:p>
      <w:pPr>
        <w:spacing w:line="620" w:lineRule="exact"/>
        <w:ind w:firstLine="640" w:firstLineChars="200"/>
        <w:rPr>
          <w:rFonts w:ascii="黑体" w:hAnsi="黑体" w:eastAsia="黑体"/>
          <w:sz w:val="32"/>
          <w:szCs w:val="32"/>
        </w:rPr>
      </w:pPr>
      <w:r>
        <w:rPr>
          <w:rFonts w:hint="eastAsia" w:ascii="黑体" w:hAnsi="黑体" w:eastAsia="黑体"/>
          <w:sz w:val="32"/>
          <w:szCs w:val="32"/>
        </w:rPr>
        <w:t>三、申报要求</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县级主管部门制定实施方案，填写《地理标志农产品保护工程申报书》，地标登记证书持有人填报《地理标志农产品保护工程备案表》，经市级申报，择优向省农业农村厅推荐。</w:t>
      </w:r>
    </w:p>
    <w:p>
      <w:pPr>
        <w:spacing w:line="620" w:lineRule="exact"/>
        <w:ind w:firstLine="640" w:firstLineChars="200"/>
        <w:rPr>
          <w:rFonts w:ascii="仿宋_GB2312" w:eastAsia="仿宋_GB2312"/>
          <w:sz w:val="32"/>
          <w:szCs w:val="32"/>
        </w:rPr>
      </w:pPr>
      <w:r>
        <w:rPr>
          <w:rFonts w:hint="eastAsia" w:ascii="仿宋_GB2312" w:eastAsia="仿宋_GB2312"/>
          <w:sz w:val="32"/>
          <w:szCs w:val="32"/>
        </w:rPr>
        <w:t>各市要统筹考虑当地种植业、畜牧、渔业产业发展需求，农业农村局牵头协调畜牧、渔业等部门确定申报主体。单一渔业产品项目申报，由沿海市渔业主管局直接申报，涉及多个品种的，由市农业农村局会同渔业主管局联合申报。</w:t>
      </w:r>
    </w:p>
    <w:p>
      <w:pPr>
        <w:spacing w:line="62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联系方式：省农业农村厅农产品质量安全监管处</w:t>
      </w:r>
    </w:p>
    <w:p>
      <w:pPr>
        <w:spacing w:line="620" w:lineRule="exact"/>
        <w:ind w:firstLine="640" w:firstLineChars="200"/>
        <w:jc w:val="left"/>
        <w:rPr>
          <w:rFonts w:eastAsia="仿宋_GB2312" w:asciiTheme="minorEastAsia" w:hAnsiTheme="minorEastAsia" w:cstheme="minorEastAsia"/>
          <w:sz w:val="24"/>
        </w:rPr>
        <w:sectPr>
          <w:pgSz w:w="11906" w:h="16838"/>
          <w:pgMar w:top="1440" w:right="1800" w:bottom="1440" w:left="1800" w:header="851" w:footer="992" w:gutter="0"/>
          <w:cols w:space="425" w:num="1"/>
          <w:docGrid w:type="lines" w:linePitch="312" w:charSpace="0"/>
        </w:sectPr>
      </w:pPr>
      <w:r>
        <w:rPr>
          <w:rFonts w:hint="eastAsia" w:ascii="仿宋_GB2312" w:hAnsi="仿宋_GB2312" w:eastAsia="仿宋_GB2312" w:cs="仿宋_GB2312"/>
          <w:sz w:val="32"/>
          <w:szCs w:val="32"/>
        </w:rPr>
        <w:t>任晓晓 0531-51789261</w:t>
      </w:r>
      <w:r>
        <w:rPr>
          <w:rFonts w:hint="eastAsia" w:ascii="仿宋_GB2312" w:eastAsia="仿宋_GB2312"/>
          <w:sz w:val="32"/>
          <w:szCs w:val="32"/>
        </w:rPr>
        <w:t>邮箱:sdsnytzjc@126.com</w:t>
      </w:r>
    </w:p>
    <w:p>
      <w:pPr>
        <w:rPr>
          <w:rFonts w:ascii="黑体" w:hAnsi="黑体" w:eastAsia="黑体" w:cs="黑体"/>
          <w:sz w:val="32"/>
          <w:szCs w:val="32"/>
        </w:rPr>
      </w:pPr>
      <w:bookmarkStart w:id="2" w:name="_GoBack"/>
      <w:bookmarkEnd w:id="2"/>
      <w:r>
        <w:rPr>
          <w:rFonts w:hint="eastAsia" w:ascii="黑体" w:hAnsi="黑体" w:eastAsia="黑体" w:cs="黑体"/>
          <w:sz w:val="32"/>
          <w:szCs w:val="32"/>
        </w:rPr>
        <w:t>附件14</w:t>
      </w:r>
    </w:p>
    <w:p>
      <w:pPr>
        <w:spacing w:line="640" w:lineRule="exact"/>
        <w:jc w:val="center"/>
        <w:rPr>
          <w:rFonts w:ascii="方正小标宋简体" w:hAnsi="方正小标宋简体" w:eastAsia="方正小标宋简体" w:cs="方正小标宋简体"/>
          <w:sz w:val="40"/>
          <w:szCs w:val="40"/>
        </w:rPr>
      </w:pPr>
      <w:r>
        <w:rPr>
          <w:rFonts w:ascii="方正小标宋简体" w:hAnsi="方正小标宋简体" w:eastAsia="方正小标宋简体" w:cs="方正小标宋简体"/>
          <w:sz w:val="40"/>
          <w:szCs w:val="40"/>
        </w:rPr>
        <w:t>渔业</w:t>
      </w:r>
      <w:r>
        <w:rPr>
          <w:rFonts w:hint="eastAsia" w:ascii="方正小标宋简体" w:hAnsi="方正小标宋简体" w:eastAsia="方正小标宋简体" w:cs="方正小标宋简体"/>
          <w:sz w:val="40"/>
          <w:szCs w:val="40"/>
        </w:rPr>
        <w:t>发展补助部分</w:t>
      </w:r>
      <w:r>
        <w:rPr>
          <w:rFonts w:ascii="方正小标宋简体" w:hAnsi="方正小标宋简体" w:eastAsia="方正小标宋简体" w:cs="方正小标宋简体"/>
          <w:sz w:val="40"/>
          <w:szCs w:val="40"/>
        </w:rPr>
        <w:t>项目</w:t>
      </w:r>
      <w:r>
        <w:rPr>
          <w:rFonts w:hint="eastAsia" w:ascii="方正小标宋简体" w:hAnsi="方正小标宋简体" w:eastAsia="方正小标宋简体" w:cs="方正小标宋简体"/>
          <w:sz w:val="40"/>
          <w:szCs w:val="40"/>
        </w:rPr>
        <w:t>储备要求</w:t>
      </w:r>
    </w:p>
    <w:p>
      <w:pPr>
        <w:spacing w:line="620" w:lineRule="exact"/>
        <w:ind w:firstLine="640" w:firstLineChars="200"/>
        <w:rPr>
          <w:rFonts w:ascii="黑体" w:hAnsi="黑体" w:eastAsia="黑体" w:cs="黑体"/>
          <w:color w:val="000000"/>
          <w:sz w:val="32"/>
          <w:szCs w:val="32"/>
        </w:rPr>
      </w:pPr>
      <w:r>
        <w:rPr>
          <w:rFonts w:hint="eastAsia" w:ascii="黑体" w:hAnsi="黑体" w:eastAsia="黑体" w:cs="方正小标宋简体"/>
          <w:sz w:val="32"/>
          <w:szCs w:val="32"/>
        </w:rPr>
        <w:t>一、渔业绿色循环发展试点项目</w:t>
      </w:r>
    </w:p>
    <w:p>
      <w:pPr>
        <w:spacing w:line="620" w:lineRule="exact"/>
        <w:ind w:firstLine="640" w:firstLineChars="200"/>
        <w:rPr>
          <w:rFonts w:ascii="仿宋_GB2312" w:hAnsi="仿宋_GB2312" w:eastAsia="仿宋_GB2312" w:cs="仿宋_GB2312"/>
          <w:color w:val="000000"/>
          <w:sz w:val="32"/>
          <w:szCs w:val="32"/>
        </w:rPr>
      </w:pPr>
      <w:r>
        <w:rPr>
          <w:rFonts w:hint="eastAsia" w:ascii="楷体" w:hAnsi="楷体" w:eastAsia="楷体" w:cs="楷体"/>
          <w:sz w:val="32"/>
          <w:szCs w:val="32"/>
        </w:rPr>
        <w:t>（一）支持对象。</w:t>
      </w:r>
      <w:r>
        <w:rPr>
          <w:rFonts w:hint="eastAsia" w:ascii="仿宋_GB2312" w:hAnsi="仿宋_GB2312" w:eastAsia="仿宋_GB2312" w:cs="仿宋_GB2312"/>
          <w:color w:val="000000"/>
          <w:sz w:val="32"/>
          <w:szCs w:val="32"/>
        </w:rPr>
        <w:t>国内已经市场监管部门办理市场主体登记并正常经营的养殖企业、专业合作社等新型经营主体和养殖渔民，且应符合以下条件：拟改造的集中连片池塘在当地人民政府发布的《养殖水域滩涂规划》划定的养殖区、限养区内；持有选址区域的《养殖水域滩涂规划》确权剩余有效期不少于5年。</w:t>
      </w:r>
    </w:p>
    <w:p>
      <w:pPr>
        <w:spacing w:line="620" w:lineRule="exact"/>
        <w:ind w:firstLine="640" w:firstLineChars="200"/>
        <w:rPr>
          <w:rFonts w:ascii="仿宋_GB2312" w:hAnsi="仿宋_GB2312" w:eastAsia="仿宋_GB2312" w:cs="仿宋_GB2312"/>
          <w:color w:val="000000"/>
          <w:sz w:val="32"/>
          <w:szCs w:val="32"/>
        </w:rPr>
      </w:pPr>
      <w:r>
        <w:rPr>
          <w:rFonts w:hint="eastAsia" w:ascii="楷体" w:hAnsi="楷体" w:eastAsia="楷体" w:cs="楷体"/>
          <w:sz w:val="32"/>
          <w:szCs w:val="32"/>
        </w:rPr>
        <w:t>（二）实施范围。</w:t>
      </w:r>
      <w:r>
        <w:rPr>
          <w:rFonts w:hint="eastAsia" w:ascii="仿宋_GB2312" w:hAnsi="仿宋_GB2312" w:eastAsia="仿宋_GB2312" w:cs="仿宋_GB2312"/>
          <w:color w:val="000000"/>
          <w:sz w:val="32"/>
          <w:szCs w:val="32"/>
        </w:rPr>
        <w:t>渔业绿色循环发展试点县。县级人民政府已发布养殖水域滩涂规划，高度重视水产养殖发展、有明确的产业发展意见或规划，已形成有效的组织协调机制。国家级水产健康养殖和生态养殖示范区所在县、已出台池塘养殖尾水治理规划和明确具体支持政策的县、政府和市场主体切实加大资金投入的县优先纳入试点县。</w:t>
      </w:r>
    </w:p>
    <w:p>
      <w:pPr>
        <w:spacing w:line="620" w:lineRule="exact"/>
        <w:ind w:firstLine="640" w:firstLineChars="200"/>
        <w:rPr>
          <w:rFonts w:ascii="仿宋_GB2312" w:hAnsi="仿宋_GB2312" w:eastAsia="仿宋_GB2312" w:cs="仿宋_GB2312"/>
          <w:color w:val="000000"/>
          <w:sz w:val="32"/>
          <w:szCs w:val="32"/>
        </w:rPr>
      </w:pPr>
      <w:r>
        <w:rPr>
          <w:rFonts w:hint="eastAsia" w:ascii="楷体" w:hAnsi="楷体" w:eastAsia="楷体" w:cs="楷体"/>
          <w:sz w:val="32"/>
          <w:szCs w:val="32"/>
        </w:rPr>
        <w:t>（三）建设内容。</w:t>
      </w:r>
      <w:r>
        <w:rPr>
          <w:rFonts w:hint="eastAsia" w:ascii="仿宋_GB2312" w:hAnsi="仿宋_GB2312" w:eastAsia="仿宋_GB2312" w:cs="仿宋_GB2312"/>
          <w:color w:val="000000"/>
          <w:sz w:val="32"/>
          <w:szCs w:val="32"/>
        </w:rPr>
        <w:t>试点县要整体规划设计，整体组织实施，并建立健全后期管护机制，持续稳定解决养殖尾水处理问题。发挥好试点的示范带动作用，形成一批可复制可推广的典型经验和治理模式。试点以结果为导向，各地可围绕目标任务，根据工作实际，因地制宜确定试点的具体任务。</w:t>
      </w:r>
    </w:p>
    <w:p>
      <w:pPr>
        <w:pStyle w:val="17"/>
        <w:widowControl/>
        <w:spacing w:after="0" w:line="620" w:lineRule="exact"/>
        <w:ind w:left="0" w:leftChars="0"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1.养殖池塘标准化改造。重点开展整形清淤以及护坡道路、沟渠管道、泵房泵站、管理用房等设施的养殖池塘改造相关项目。</w:t>
      </w:r>
    </w:p>
    <w:p>
      <w:pPr>
        <w:pStyle w:val="17"/>
        <w:widowControl/>
        <w:spacing w:after="0" w:line="620" w:lineRule="exact"/>
        <w:ind w:left="0" w:leftChars="0"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2.尾水达标治理。重点开展底排污、曝气增氧、生态沉淀过滤、鱼菜共生等养殖尾水治理等相关项目。</w:t>
      </w:r>
    </w:p>
    <w:p>
      <w:pPr>
        <w:pStyle w:val="17"/>
        <w:widowControl/>
        <w:spacing w:after="0" w:line="620" w:lineRule="exact"/>
        <w:ind w:left="0" w:leftChars="0"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3.水质监控和环境调控系统。支持建设水质自动监测系统、养殖水域环境监测系统、视频监控系统、增氧控制系统、精准投饲系统、远程智能控制系统等。</w:t>
      </w:r>
    </w:p>
    <w:p>
      <w:pPr>
        <w:pStyle w:val="18"/>
        <w:spacing w:line="62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4.建立管护机制。按照“建管一体”的要求，统一谋划建设、运营和管护。统筹考虑政府事权、资金来源、受益群体等因素，合理确定管护主体、压实管护责任。充分发挥市场机制作用，鼓励社会各类主体参与管护。</w:t>
      </w:r>
    </w:p>
    <w:p>
      <w:pPr>
        <w:numPr>
          <w:ilvl w:val="0"/>
          <w:numId w:val="0"/>
        </w:numPr>
        <w:spacing w:line="620" w:lineRule="exact"/>
        <w:ind w:firstLine="640" w:firstLineChars="200"/>
        <w:jc w:val="left"/>
        <w:rPr>
          <w:rFonts w:hint="eastAsia" w:ascii="楷体" w:hAnsi="楷体" w:eastAsia="楷体" w:cs="楷体"/>
          <w:sz w:val="32"/>
          <w:szCs w:val="32"/>
          <w:highlight w:val="none"/>
        </w:rPr>
      </w:pPr>
      <w:r>
        <w:rPr>
          <w:rFonts w:hint="eastAsia" w:ascii="楷体" w:hAnsi="楷体" w:eastAsia="楷体" w:cs="楷体"/>
          <w:sz w:val="32"/>
          <w:szCs w:val="32"/>
        </w:rPr>
        <w:t>（四）补助标准。</w:t>
      </w:r>
      <w:r>
        <w:rPr>
          <w:rFonts w:hint="eastAsia" w:ascii="仿宋_GB2312" w:hAnsi="仿宋_GB2312" w:eastAsia="仿宋_GB2312" w:cs="仿宋_GB2312"/>
          <w:color w:val="000000"/>
          <w:sz w:val="32"/>
          <w:szCs w:val="32"/>
          <w:highlight w:val="none"/>
          <w:lang w:val="en-US" w:eastAsia="zh-CN"/>
        </w:rPr>
        <w:t>对1-3处每处300亩以上集中连片池塘，且总改造面积1000亩以上的试点县奖补上限600万元。对</w:t>
      </w:r>
      <w:r>
        <w:rPr>
          <w:rFonts w:hint="eastAsia" w:ascii="仿宋_GB2312" w:hAnsi="仿宋_GB2312" w:eastAsia="仿宋_GB2312" w:cs="仿宋_GB2312"/>
          <w:color w:val="000000"/>
          <w:sz w:val="32"/>
          <w:szCs w:val="32"/>
        </w:rPr>
        <w:t>1处3000亩以上集中连片养殖池塘的试点县奖补上限2000万元、2-4处每处2500亩以上集中连片养殖池塘的试点县奖补上限4000万元、5-9处每处2000亩以上集中连片养殖池塘的试点县奖补上限6000万元、10处以上每处2000亩以上集中连片养殖池塘的试点县奖补上限1.2亿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highlight w:val="none"/>
          <w:lang w:val="en-US" w:eastAsia="zh-CN"/>
        </w:rPr>
        <w:t>补助总额比例不超过总体造价的60%。</w:t>
      </w:r>
    </w:p>
    <w:p>
      <w:pPr>
        <w:spacing w:line="62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（五）储备要求。</w:t>
      </w:r>
      <w:r>
        <w:rPr>
          <w:rFonts w:hint="eastAsia" w:ascii="仿宋_GB2312" w:hAnsi="仿宋_GB2312" w:eastAsia="仿宋_GB2312" w:cs="仿宋_GB2312"/>
          <w:bCs/>
          <w:sz w:val="32"/>
          <w:szCs w:val="32"/>
        </w:rPr>
        <w:t>各地要严格对照实施对象和范围等条件，积极做好宣传发动工作，抓紧开展项目需求摸底调查工作，确保摸清摸准需求底数，填写项目需求表，且</w:t>
      </w:r>
      <w:r>
        <w:rPr>
          <w:rFonts w:hint="eastAsia" w:ascii="仿宋_GB2312" w:hAnsi="仿宋_GB2312" w:eastAsia="仿宋_GB2312" w:cs="仿宋_GB2312"/>
          <w:color w:val="000000"/>
          <w:sz w:val="32"/>
          <w:szCs w:val="32"/>
        </w:rPr>
        <w:t>县级渔业主管部门要会同财政部门编制项目储备申报书，明确建设必要性、可行性、建设内容、建设期限、投资概算、水域滩涂养殖证等按本文件时间要求由市级推荐上报。县级渔业主管部门要在摸清需求底数的基础上，着手编制项目实施方案，并于5月底前完成编制并上报</w:t>
      </w:r>
      <w:r>
        <w:rPr>
          <w:rFonts w:hint="eastAsia" w:ascii="仿宋_GB2312" w:hAnsi="仿宋_GB2312" w:eastAsia="仿宋_GB2312" w:cs="仿宋_GB2312"/>
          <w:sz w:val="32"/>
          <w:szCs w:val="32"/>
        </w:rPr>
        <w:t>。</w:t>
      </w:r>
    </w:p>
    <w:p>
      <w:pPr>
        <w:spacing w:line="620" w:lineRule="exact"/>
        <w:ind w:firstLine="640" w:firstLineChars="200"/>
        <w:rPr>
          <w:rFonts w:ascii="黑体" w:hAnsi="黑体" w:eastAsia="黑体" w:cs="方正小标宋简体"/>
          <w:sz w:val="32"/>
          <w:szCs w:val="32"/>
        </w:rPr>
      </w:pPr>
      <w:r>
        <w:rPr>
          <w:rFonts w:hint="eastAsia" w:ascii="黑体" w:hAnsi="黑体" w:eastAsia="黑体" w:cs="方正小标宋简体"/>
          <w:sz w:val="32"/>
          <w:szCs w:val="32"/>
        </w:rPr>
        <w:t>二、省级渔港经济区项目</w:t>
      </w:r>
    </w:p>
    <w:p>
      <w:pPr>
        <w:spacing w:line="62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（一）支持对象。</w:t>
      </w:r>
      <w:r>
        <w:rPr>
          <w:rFonts w:hint="eastAsia" w:ascii="仿宋_GB2312" w:hAnsi="仿宋_GB2312" w:eastAsia="仿宋_GB2312" w:cs="仿宋_GB2312"/>
          <w:sz w:val="32"/>
          <w:szCs w:val="32"/>
        </w:rPr>
        <w:t>按照《山东省渔港经济区规划（2021-2025年）》，充分结合区域经济、社会、生态及渔业发展现状，以现有中心渔港或一级渔港为中心，按照县域范围，有步骤、分阶段开展渔港经济区建设，优先支持产业基础强、发展潜力大、前置条件充分的渔港经济区。</w:t>
      </w:r>
    </w:p>
    <w:p>
      <w:pPr>
        <w:spacing w:line="62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（二）建设内容。</w:t>
      </w:r>
      <w:r>
        <w:rPr>
          <w:rFonts w:hint="eastAsia" w:ascii="仿宋_GB2312" w:hAnsi="仿宋_GB2312" w:eastAsia="仿宋_GB2312" w:cs="仿宋_GB2312"/>
          <w:sz w:val="32"/>
          <w:szCs w:val="32"/>
        </w:rPr>
        <w:t>主要分为智慧渔港、平安渔港、绿色渔港、产业渔港、人文渔港五大方面。</w:t>
      </w:r>
    </w:p>
    <w:p>
      <w:pPr>
        <w:spacing w:line="62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（三）补助标准。</w:t>
      </w:r>
      <w:r>
        <w:rPr>
          <w:rFonts w:hint="eastAsia" w:ascii="仿宋_GB2312" w:hAnsi="仿宋_GB2312" w:eastAsia="仿宋_GB2312" w:cs="仿宋_GB2312"/>
          <w:sz w:val="32"/>
          <w:szCs w:val="32"/>
        </w:rPr>
        <w:t>渔港经济区内每个渔港公益性设施整治维护补助标准沿海渔港不超过2000万元、内陆渔港不超过800万元，经营性设施通过其他渠道筹资不少于公益性投资的4倍。</w:t>
      </w:r>
    </w:p>
    <w:p>
      <w:pPr>
        <w:spacing w:line="620" w:lineRule="exact"/>
        <w:ind w:firstLine="640" w:firstLineChars="200"/>
        <w:rPr>
          <w:rFonts w:ascii="仿宋_GB2312" w:hAnsi="仿宋_GB2312" w:eastAsia="仿宋_GB2312" w:cs="仿宋_GB2312"/>
          <w:sz w:val="32"/>
          <w:szCs w:val="32"/>
        </w:rPr>
      </w:pPr>
      <w:r>
        <w:rPr>
          <w:rFonts w:hint="eastAsia" w:ascii="楷体" w:hAnsi="楷体" w:eastAsia="楷体" w:cs="楷体"/>
          <w:sz w:val="32"/>
          <w:szCs w:val="32"/>
        </w:rPr>
        <w:t>（四）储备要求。</w:t>
      </w:r>
      <w:r>
        <w:rPr>
          <w:rFonts w:hint="eastAsia" w:ascii="仿宋_GB2312" w:hAnsi="仿宋_GB2312" w:eastAsia="仿宋_GB2312" w:cs="仿宋_GB2312"/>
          <w:sz w:val="32"/>
          <w:szCs w:val="32"/>
        </w:rPr>
        <w:t>县级渔业主管部门会同财政部门编制项目储备申报书，明确建设必要性、可行性、建设内容、建设期限、投资概算、海域土地环评前置手续等按本</w:t>
      </w:r>
      <w:r>
        <w:rPr>
          <w:rFonts w:hint="eastAsia" w:ascii="仿宋_GB2312" w:hAnsi="仿宋_GB2312" w:eastAsia="仿宋_GB2312" w:cs="仿宋_GB2312"/>
          <w:sz w:val="32"/>
          <w:szCs w:val="32"/>
          <w:lang w:val="en-US" w:eastAsia="zh-CN"/>
        </w:rPr>
        <w:t>通知</w:t>
      </w:r>
      <w:r>
        <w:rPr>
          <w:rFonts w:hint="eastAsia" w:ascii="仿宋_GB2312" w:hAnsi="仿宋_GB2312" w:eastAsia="仿宋_GB2312" w:cs="仿宋_GB2312"/>
          <w:sz w:val="32"/>
          <w:szCs w:val="32"/>
        </w:rPr>
        <w:t>时间要求由市级推荐上报。5月底前县级人民政府发布渔港经济区建设规划，10月底前渔业主管部门完成渔港经济区项目实施方案（达到初步设计深度）编制上报。</w:t>
      </w:r>
    </w:p>
    <w:p>
      <w:pPr>
        <w:spacing w:line="620" w:lineRule="exact"/>
        <w:ind w:firstLine="640" w:firstLineChars="200"/>
        <w:rPr>
          <w:rFonts w:ascii="方正小标宋简体" w:hAnsi="方正小标宋简体" w:eastAsia="方正小标宋简体" w:cs="方正小标宋简体"/>
          <w:sz w:val="36"/>
          <w:szCs w:val="36"/>
        </w:rPr>
      </w:pPr>
      <w:r>
        <w:rPr>
          <w:rFonts w:hint="eastAsia" w:ascii="黑体" w:hAnsi="黑体" w:eastAsia="黑体" w:cs="方正小标宋简体"/>
          <w:sz w:val="32"/>
          <w:szCs w:val="32"/>
        </w:rPr>
        <w:t>三、水产品初加工和冷藏保鲜设施设备建设项目</w:t>
      </w:r>
    </w:p>
    <w:p>
      <w:pPr>
        <w:spacing w:line="620" w:lineRule="exact"/>
        <w:ind w:firstLine="640" w:firstLineChars="200"/>
        <w:rPr>
          <w:rFonts w:ascii="Times New Roman" w:hAnsi="Times New Roman" w:eastAsia="仿宋_GB2312" w:cs="Times New Roman"/>
          <w:bCs/>
          <w:kern w:val="0"/>
          <w:sz w:val="32"/>
          <w:szCs w:val="32"/>
        </w:rPr>
      </w:pPr>
      <w:r>
        <w:rPr>
          <w:rFonts w:hint="eastAsia" w:ascii="楷体" w:hAnsi="楷体" w:eastAsia="楷体" w:cs="楷体"/>
          <w:sz w:val="32"/>
          <w:szCs w:val="32"/>
        </w:rPr>
        <w:t>（一）支持内容。</w:t>
      </w:r>
      <w:r>
        <w:rPr>
          <w:rFonts w:hint="eastAsia" w:ascii="Times New Roman" w:hAnsi="Times New Roman" w:eastAsia="仿宋_GB2312" w:cs="Times New Roman"/>
          <w:bCs/>
          <w:kern w:val="0"/>
          <w:sz w:val="32"/>
          <w:szCs w:val="32"/>
        </w:rPr>
        <w:t>重点</w:t>
      </w:r>
      <w:r>
        <w:rPr>
          <w:rFonts w:ascii="Times New Roman" w:hAnsi="Times New Roman" w:eastAsia="仿宋_GB2312" w:cs="Times New Roman"/>
          <w:bCs/>
          <w:kern w:val="0"/>
          <w:sz w:val="32"/>
          <w:szCs w:val="32"/>
        </w:rPr>
        <w:t>支持</w:t>
      </w:r>
      <w:r>
        <w:rPr>
          <w:rFonts w:hint="eastAsia" w:ascii="Times New Roman" w:hAnsi="Times New Roman" w:eastAsia="仿宋_GB2312" w:cs="Times New Roman"/>
          <w:bCs/>
          <w:kern w:val="0"/>
          <w:sz w:val="32"/>
          <w:szCs w:val="32"/>
        </w:rPr>
        <w:t>水产养殖主产县大宗淡水及海水养殖产品就地加工，对购置暂养净化、冷藏冷冻、生态环保等设施和原料处理、分级分割、灭菌包装等设备购置给予适当补助。补助资金仅对项目申报获批后新增建设内容予以补助，申报获批前建设内容不予支持。</w:t>
      </w:r>
    </w:p>
    <w:p>
      <w:pPr>
        <w:spacing w:line="620" w:lineRule="exact"/>
        <w:ind w:firstLine="640" w:firstLineChars="200"/>
        <w:rPr>
          <w:rFonts w:ascii="Times New Roman" w:hAnsi="Times New Roman" w:eastAsia="仿宋_GB2312" w:cs="Times New Roman"/>
          <w:bCs/>
          <w:color w:val="000000"/>
          <w:kern w:val="0"/>
          <w:sz w:val="32"/>
          <w:szCs w:val="32"/>
        </w:rPr>
      </w:pPr>
      <w:r>
        <w:rPr>
          <w:rFonts w:hint="eastAsia" w:ascii="楷体" w:hAnsi="楷体" w:eastAsia="楷体" w:cs="楷体"/>
          <w:sz w:val="32"/>
          <w:szCs w:val="32"/>
        </w:rPr>
        <w:t>（二）补助标准。</w:t>
      </w:r>
      <w:r>
        <w:rPr>
          <w:rFonts w:ascii="Times New Roman" w:hAnsi="Times New Roman" w:eastAsia="仿宋_GB2312" w:cs="Times New Roman"/>
          <w:bCs/>
          <w:color w:val="000000"/>
          <w:kern w:val="0"/>
          <w:sz w:val="32"/>
          <w:szCs w:val="32"/>
        </w:rPr>
        <w:t>设备补助</w:t>
      </w:r>
      <w:r>
        <w:rPr>
          <w:rFonts w:hint="eastAsia" w:ascii="Times New Roman" w:hAnsi="Times New Roman" w:eastAsia="仿宋_GB2312" w:cs="Times New Roman"/>
          <w:bCs/>
          <w:color w:val="000000"/>
          <w:kern w:val="0"/>
          <w:sz w:val="32"/>
          <w:szCs w:val="32"/>
        </w:rPr>
        <w:t>上限不超过总造价的30%，单个设备补贴上限不超过20万，每个项目具体实施单位补助总额不超过300万元。</w:t>
      </w:r>
    </w:p>
    <w:p>
      <w:pPr>
        <w:spacing w:line="620" w:lineRule="exact"/>
        <w:ind w:firstLine="640" w:firstLineChars="200"/>
        <w:rPr>
          <w:rFonts w:ascii="Times New Roman" w:hAnsi="Times New Roman" w:eastAsia="仿宋_GB2312" w:cs="Times New Roman"/>
          <w:bCs/>
          <w:kern w:val="0"/>
          <w:sz w:val="32"/>
          <w:szCs w:val="32"/>
        </w:rPr>
      </w:pPr>
      <w:r>
        <w:rPr>
          <w:rFonts w:hint="eastAsia" w:ascii="楷体" w:hAnsi="楷体" w:eastAsia="楷体" w:cs="楷体"/>
          <w:sz w:val="32"/>
          <w:szCs w:val="32"/>
        </w:rPr>
        <w:t>（三）储备条件。</w:t>
      </w:r>
      <w:r>
        <w:rPr>
          <w:rFonts w:ascii="Times New Roman" w:hAnsi="Times New Roman" w:eastAsia="仿宋_GB2312" w:cs="Times New Roman"/>
          <w:bCs/>
          <w:kern w:val="0"/>
          <w:sz w:val="32"/>
          <w:szCs w:val="32"/>
        </w:rPr>
        <w:t>以县级为单位组织申报</w:t>
      </w:r>
      <w:r>
        <w:rPr>
          <w:rFonts w:hint="eastAsia" w:ascii="Times New Roman" w:hAnsi="Times New Roman" w:eastAsia="仿宋_GB2312" w:cs="Times New Roman"/>
          <w:bCs/>
          <w:kern w:val="0"/>
          <w:sz w:val="32"/>
          <w:szCs w:val="32"/>
        </w:rPr>
        <w:t>，</w:t>
      </w:r>
      <w:r>
        <w:rPr>
          <w:rFonts w:ascii="Times New Roman" w:hAnsi="Times New Roman" w:eastAsia="仿宋_GB2312" w:cs="Times New Roman"/>
          <w:bCs/>
          <w:color w:val="000000"/>
          <w:kern w:val="0"/>
          <w:sz w:val="32"/>
          <w:szCs w:val="32"/>
        </w:rPr>
        <w:t>县级渔业主管部门</w:t>
      </w:r>
      <w:r>
        <w:rPr>
          <w:rFonts w:hint="eastAsia" w:ascii="Times New Roman" w:hAnsi="Times New Roman" w:eastAsia="仿宋_GB2312" w:cs="Times New Roman"/>
          <w:bCs/>
          <w:color w:val="000000"/>
          <w:kern w:val="0"/>
          <w:sz w:val="32"/>
          <w:szCs w:val="32"/>
        </w:rPr>
        <w:t>、财政部门组织辖区符合条件企业公开申报，择优推荐。项目实施单位须是</w:t>
      </w:r>
      <w:r>
        <w:rPr>
          <w:rFonts w:ascii="Times New Roman" w:hAnsi="Times New Roman" w:eastAsia="仿宋_GB2312" w:cs="Times New Roman"/>
          <w:bCs/>
          <w:kern w:val="0"/>
          <w:sz w:val="32"/>
          <w:szCs w:val="32"/>
        </w:rPr>
        <w:t>依法设立的具备水产品加工仓储能力的企业、合作社等</w:t>
      </w:r>
      <w:r>
        <w:rPr>
          <w:rFonts w:hint="eastAsia" w:ascii="Times New Roman" w:hAnsi="Times New Roman" w:eastAsia="仿宋_GB2312" w:cs="Times New Roman"/>
          <w:bCs/>
          <w:kern w:val="0"/>
          <w:sz w:val="32"/>
          <w:szCs w:val="32"/>
        </w:rPr>
        <w:t>；</w:t>
      </w:r>
      <w:r>
        <w:rPr>
          <w:rFonts w:ascii="Times New Roman" w:hAnsi="Times New Roman" w:eastAsia="仿宋_GB2312" w:cs="Times New Roman"/>
          <w:color w:val="000000"/>
          <w:sz w:val="32"/>
          <w:szCs w:val="32"/>
        </w:rPr>
        <w:t>具有固定生产场所，已落实加工用地指标；</w:t>
      </w:r>
      <w:r>
        <w:rPr>
          <w:rFonts w:ascii="Times New Roman" w:hAnsi="Times New Roman" w:eastAsia="仿宋_GB2312" w:cs="Times New Roman"/>
          <w:bCs/>
          <w:kern w:val="0"/>
          <w:sz w:val="32"/>
          <w:szCs w:val="32"/>
        </w:rPr>
        <w:t>符合国家、地方农产品加工业管理有关法律法规要求，食品生产企业应持有《</w:t>
      </w:r>
      <w:r>
        <w:rPr>
          <w:rFonts w:ascii="Times New Roman" w:hAnsi="Times New Roman" w:eastAsia="仿宋_GB2312" w:cs="Times New Roman"/>
          <w:color w:val="000000"/>
          <w:sz w:val="32"/>
          <w:szCs w:val="32"/>
        </w:rPr>
        <w:t>食品生产许可证》</w:t>
      </w:r>
      <w:r>
        <w:rPr>
          <w:rFonts w:ascii="Times New Roman" w:hAnsi="Times New Roman" w:eastAsia="仿宋_GB2312" w:cs="Times New Roman"/>
          <w:bCs/>
          <w:kern w:val="0"/>
          <w:sz w:val="32"/>
          <w:szCs w:val="32"/>
        </w:rPr>
        <w:t>，产品质量符合国家食品安全标准，近三年未发生质量安全事件；原料主要来自国内养殖或捕捞；</w:t>
      </w:r>
      <w:r>
        <w:rPr>
          <w:rFonts w:ascii="Times New Roman" w:hAnsi="Times New Roman" w:eastAsia="仿宋_GB2312" w:cs="Times New Roman"/>
          <w:color w:val="000000"/>
          <w:sz w:val="32"/>
          <w:szCs w:val="32"/>
        </w:rPr>
        <w:t>优先支持提升潜力大、建设条件成熟、带动能力强、科技含量高的项目建设，对</w:t>
      </w:r>
      <w:r>
        <w:rPr>
          <w:rFonts w:ascii="Times New Roman" w:hAnsi="Times New Roman" w:eastAsia="仿宋_GB2312" w:cs="Times New Roman"/>
          <w:bCs/>
          <w:kern w:val="0"/>
          <w:sz w:val="32"/>
          <w:szCs w:val="32"/>
        </w:rPr>
        <w:t>主产区就地加工、淡水产品加工、大宗产品收储加工等给予重点支持，对脱贫地区特色水产品加工、稻渔和大水面等生态产品加工等给予特殊考虑。</w:t>
      </w:r>
    </w:p>
    <w:p>
      <w:pPr>
        <w:spacing w:line="620" w:lineRule="exact"/>
        <w:ind w:firstLine="640" w:firstLineChars="200"/>
        <w:rPr>
          <w:rFonts w:ascii="仿宋_GB2312" w:eastAsia="仿宋_GB2312"/>
          <w:sz w:val="32"/>
          <w:szCs w:val="32"/>
        </w:rPr>
      </w:pPr>
      <w:r>
        <w:rPr>
          <w:rFonts w:hint="eastAsia" w:ascii="楷体" w:hAnsi="楷体" w:eastAsia="楷体" w:cs="楷体"/>
          <w:sz w:val="32"/>
          <w:szCs w:val="32"/>
        </w:rPr>
        <w:t>（四）储备要求。</w:t>
      </w:r>
      <w:r>
        <w:rPr>
          <w:rFonts w:hint="eastAsia" w:ascii="仿宋_GB2312" w:eastAsia="仿宋_GB2312"/>
          <w:sz w:val="32"/>
          <w:szCs w:val="32"/>
        </w:rPr>
        <w:t>各市要认真摸清辖区水产品加工企业基本情况，统筹谋划好辖区水产品加工能力规划和布局，合理推荐项目储备县。县级渔业主管部门可以参考2021年度省级实施方案要求，制定辖区2022年水产品初加工和冷藏保鲜设施设备建设储备项目实施方案，经市级渔业主管部门审核把关后上报。</w:t>
      </w:r>
    </w:p>
    <w:p>
      <w:pPr>
        <w:spacing w:line="620" w:lineRule="exact"/>
        <w:ind w:firstLine="640" w:firstLineChars="200"/>
      </w:pPr>
      <w:r>
        <w:rPr>
          <w:rFonts w:hint="eastAsia" w:ascii="Times New Roman" w:hAnsi="Times New Roman" w:eastAsia="仿宋_GB2312" w:cs="Times New Roman"/>
          <w:bCs/>
          <w:color w:val="000000"/>
          <w:kern w:val="0"/>
          <w:sz w:val="32"/>
          <w:szCs w:val="32"/>
        </w:rPr>
        <w:t>实施方案应包括：</w:t>
      </w:r>
      <w:r>
        <w:rPr>
          <w:rFonts w:ascii="Times New Roman" w:hAnsi="Times New Roman" w:eastAsia="仿宋_GB2312" w:cs="Times New Roman"/>
          <w:bCs/>
          <w:color w:val="000000"/>
          <w:kern w:val="0"/>
          <w:sz w:val="32"/>
          <w:szCs w:val="32"/>
        </w:rPr>
        <w:t>项目背景和建设的必要性</w:t>
      </w:r>
      <w:r>
        <w:rPr>
          <w:rFonts w:hint="eastAsia" w:ascii="Times New Roman" w:hAnsi="Times New Roman" w:eastAsia="仿宋_GB2312" w:cs="Times New Roman"/>
          <w:bCs/>
          <w:color w:val="000000"/>
          <w:kern w:val="0"/>
          <w:sz w:val="32"/>
          <w:szCs w:val="32"/>
        </w:rPr>
        <w:t>、</w:t>
      </w:r>
      <w:r>
        <w:rPr>
          <w:rFonts w:ascii="Times New Roman" w:hAnsi="Times New Roman" w:eastAsia="仿宋_GB2312" w:cs="Times New Roman"/>
          <w:bCs/>
          <w:color w:val="000000"/>
          <w:kern w:val="0"/>
          <w:sz w:val="32"/>
          <w:szCs w:val="32"/>
        </w:rPr>
        <w:t>建设内容（包括项目具体实施单位基本情况、现有设备情况、</w:t>
      </w:r>
      <w:r>
        <w:rPr>
          <w:rFonts w:hint="eastAsia" w:ascii="Times New Roman" w:hAnsi="Times New Roman" w:eastAsia="仿宋_GB2312" w:cs="Times New Roman"/>
          <w:bCs/>
          <w:color w:val="000000"/>
          <w:kern w:val="0"/>
          <w:sz w:val="32"/>
          <w:szCs w:val="32"/>
        </w:rPr>
        <w:t>拟</w:t>
      </w:r>
      <w:r>
        <w:rPr>
          <w:rFonts w:ascii="Times New Roman" w:hAnsi="Times New Roman" w:eastAsia="仿宋_GB2312" w:cs="Times New Roman"/>
          <w:bCs/>
          <w:color w:val="000000"/>
          <w:kern w:val="0"/>
          <w:sz w:val="32"/>
          <w:szCs w:val="32"/>
        </w:rPr>
        <w:t>申请补助设备情况、加工和仓储保鲜能力提升情况等）</w:t>
      </w:r>
      <w:r>
        <w:rPr>
          <w:rFonts w:hint="eastAsia" w:ascii="Times New Roman" w:hAnsi="Times New Roman" w:eastAsia="仿宋_GB2312" w:cs="Times New Roman"/>
          <w:bCs/>
          <w:color w:val="000000"/>
          <w:kern w:val="0"/>
          <w:sz w:val="32"/>
          <w:szCs w:val="32"/>
        </w:rPr>
        <w:t>、</w:t>
      </w:r>
      <w:r>
        <w:rPr>
          <w:rFonts w:ascii="Times New Roman" w:hAnsi="Times New Roman" w:eastAsia="仿宋_GB2312" w:cs="Times New Roman"/>
          <w:bCs/>
          <w:color w:val="000000"/>
          <w:kern w:val="0"/>
          <w:sz w:val="32"/>
          <w:szCs w:val="32"/>
        </w:rPr>
        <w:t>项目总概算及资金筹措</w:t>
      </w:r>
      <w:r>
        <w:rPr>
          <w:rFonts w:hint="eastAsia" w:ascii="Times New Roman" w:hAnsi="Times New Roman" w:eastAsia="仿宋_GB2312" w:cs="Times New Roman"/>
          <w:bCs/>
          <w:color w:val="000000"/>
          <w:kern w:val="0"/>
          <w:sz w:val="32"/>
          <w:szCs w:val="32"/>
        </w:rPr>
        <w:t>、项目计划</w:t>
      </w:r>
      <w:r>
        <w:rPr>
          <w:rFonts w:ascii="Times New Roman" w:hAnsi="Times New Roman" w:eastAsia="仿宋_GB2312" w:cs="Times New Roman"/>
          <w:bCs/>
          <w:color w:val="000000"/>
          <w:kern w:val="0"/>
          <w:sz w:val="32"/>
          <w:szCs w:val="32"/>
        </w:rPr>
        <w:t>实施进度</w:t>
      </w:r>
      <w:r>
        <w:rPr>
          <w:rFonts w:hint="eastAsia" w:ascii="Times New Roman" w:hAnsi="Times New Roman" w:eastAsia="仿宋_GB2312" w:cs="Times New Roman"/>
          <w:bCs/>
          <w:color w:val="000000"/>
          <w:kern w:val="0"/>
          <w:sz w:val="32"/>
          <w:szCs w:val="32"/>
        </w:rPr>
        <w:t>及运行管理措施、</w:t>
      </w:r>
      <w:r>
        <w:rPr>
          <w:rFonts w:hint="eastAsia" w:ascii="仿宋_GB2312" w:hAnsi="仿宋_GB2312" w:eastAsia="仿宋_GB2312" w:cs="仿宋_GB2312"/>
          <w:bCs/>
          <w:color w:val="000000"/>
          <w:kern w:val="0"/>
          <w:sz w:val="32"/>
          <w:szCs w:val="32"/>
        </w:rPr>
        <w:t>项目实施单位营业执照、土地权属、</w:t>
      </w:r>
      <w:r>
        <w:rPr>
          <w:rFonts w:ascii="Times New Roman" w:hAnsi="Times New Roman" w:eastAsia="仿宋_GB2312" w:cs="Times New Roman"/>
          <w:bCs/>
          <w:kern w:val="0"/>
          <w:sz w:val="32"/>
          <w:szCs w:val="32"/>
        </w:rPr>
        <w:t>《</w:t>
      </w:r>
      <w:r>
        <w:rPr>
          <w:rFonts w:ascii="Times New Roman" w:hAnsi="Times New Roman" w:eastAsia="仿宋_GB2312" w:cs="Times New Roman"/>
          <w:color w:val="000000"/>
          <w:sz w:val="32"/>
          <w:szCs w:val="32"/>
        </w:rPr>
        <w:t>食品生产许可证》</w:t>
      </w:r>
      <w:r>
        <w:rPr>
          <w:rFonts w:hint="eastAsia" w:ascii="仿宋_GB2312" w:hAnsi="仿宋_GB2312" w:eastAsia="仿宋_GB2312" w:cs="仿宋_GB2312"/>
          <w:bCs/>
          <w:color w:val="000000"/>
          <w:kern w:val="0"/>
          <w:sz w:val="32"/>
          <w:szCs w:val="32"/>
        </w:rPr>
        <w:t>等证明。</w:t>
      </w:r>
    </w:p>
    <w:p>
      <w:pPr>
        <w:adjustRightInd w:val="0"/>
        <w:snapToGrid w:val="0"/>
        <w:spacing w:line="620" w:lineRule="exact"/>
        <w:ind w:firstLine="640" w:firstLineChars="200"/>
        <w:rPr>
          <w:rFonts w:ascii="黑体" w:hAnsi="黑体" w:eastAsia="黑体" w:cs="仿宋_GB2312"/>
          <w:bCs/>
          <w:sz w:val="32"/>
          <w:szCs w:val="32"/>
        </w:rPr>
      </w:pPr>
      <w:r>
        <w:rPr>
          <w:rFonts w:hint="eastAsia" w:ascii="黑体" w:hAnsi="黑体" w:eastAsia="黑体" w:cs="仿宋_GB2312"/>
          <w:bCs/>
          <w:sz w:val="32"/>
          <w:szCs w:val="32"/>
        </w:rPr>
        <w:t>四、近海捕捞渔民减船转产</w:t>
      </w:r>
    </w:p>
    <w:p>
      <w:pPr>
        <w:adjustRightInd w:val="0"/>
        <w:snapToGrid w:val="0"/>
        <w:spacing w:line="62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参照往年要求</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填报近海捕捞渔民减船转产储备表（附表1</w:t>
      </w:r>
      <w:r>
        <w:rPr>
          <w:rFonts w:ascii="仿宋_GB2312" w:hAnsi="仿宋_GB2312" w:eastAsia="仿宋_GB2312" w:cs="仿宋_GB2312"/>
          <w:bCs/>
          <w:sz w:val="32"/>
          <w:szCs w:val="32"/>
        </w:rPr>
        <w:t>4-2</w:t>
      </w:r>
      <w:r>
        <w:rPr>
          <w:rFonts w:hint="eastAsia" w:ascii="仿宋_GB2312" w:hAnsi="仿宋_GB2312" w:eastAsia="仿宋_GB2312" w:cs="仿宋_GB2312"/>
          <w:bCs/>
          <w:sz w:val="32"/>
          <w:szCs w:val="32"/>
        </w:rPr>
        <w:t>）。</w:t>
      </w:r>
    </w:p>
    <w:p>
      <w:pPr>
        <w:adjustRightInd w:val="0"/>
        <w:snapToGrid w:val="0"/>
        <w:spacing w:line="62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联系方式：省农业农村厅渔业与渔政处 周红学</w:t>
      </w:r>
    </w:p>
    <w:p>
      <w:pPr>
        <w:adjustRightInd w:val="0"/>
        <w:snapToGrid w:val="0"/>
        <w:spacing w:line="620" w:lineRule="exact"/>
        <w:ind w:firstLine="2240" w:firstLineChars="700"/>
        <w:rPr>
          <w:rFonts w:ascii="仿宋_GB2312" w:hAnsi="仿宋_GB2312" w:eastAsia="仿宋_GB2312" w:cs="仿宋_GB2312"/>
          <w:bCs/>
          <w:sz w:val="32"/>
          <w:szCs w:val="32"/>
        </w:rPr>
      </w:pPr>
      <w:r>
        <w:rPr>
          <w:rFonts w:ascii="仿宋_GB2312" w:hAnsi="仿宋_GB2312" w:eastAsia="仿宋_GB2312" w:cs="仿宋_GB2312"/>
          <w:bCs/>
          <w:sz w:val="32"/>
          <w:szCs w:val="32"/>
        </w:rPr>
        <w:t>0531-51789279</w:t>
      </w:r>
    </w:p>
    <w:p>
      <w:pPr>
        <w:adjustRightInd w:val="0"/>
        <w:snapToGrid w:val="0"/>
        <w:spacing w:line="62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附表:</w:t>
      </w:r>
    </w:p>
    <w:p>
      <w:pPr>
        <w:adjustRightInd w:val="0"/>
        <w:snapToGrid w:val="0"/>
        <w:spacing w:line="62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1</w:t>
      </w:r>
      <w:r>
        <w:rPr>
          <w:rFonts w:ascii="仿宋_GB2312" w:hAnsi="仿宋_GB2312" w:eastAsia="仿宋_GB2312" w:cs="仿宋_GB2312"/>
          <w:bCs/>
          <w:sz w:val="32"/>
          <w:szCs w:val="32"/>
        </w:rPr>
        <w:t>4-1</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2022年度渔业绿色循环发展试点项目建设</w:t>
      </w:r>
      <w:r>
        <w:rPr>
          <w:rFonts w:hint="eastAsia" w:ascii="仿宋_GB2312" w:hAnsi="仿宋_GB2312" w:eastAsia="仿宋_GB2312" w:cs="仿宋_GB2312"/>
          <w:sz w:val="32"/>
          <w:szCs w:val="32"/>
        </w:rPr>
        <w:t>需求表</w:t>
      </w:r>
    </w:p>
    <w:p>
      <w:pPr>
        <w:adjustRightInd w:val="0"/>
        <w:snapToGrid w:val="0"/>
        <w:spacing w:line="620" w:lineRule="exact"/>
        <w:ind w:firstLine="640" w:firstLineChars="200"/>
        <w:jc w:val="left"/>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w:t>
      </w:r>
      <w:r>
        <w:rPr>
          <w:rFonts w:ascii="仿宋_GB2312" w:hAnsi="仿宋_GB2312" w:eastAsia="仿宋_GB2312" w:cs="仿宋_GB2312"/>
          <w:bCs/>
          <w:sz w:val="32"/>
          <w:szCs w:val="32"/>
        </w:rPr>
        <w:t>4-2</w:t>
      </w:r>
      <w:bookmarkStart w:id="0" w:name="_Hlk93928423"/>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近海捕捞渔民减船转产储备</w:t>
      </w:r>
      <w:bookmarkEnd w:id="0"/>
      <w:r>
        <w:rPr>
          <w:rFonts w:hint="eastAsia" w:ascii="仿宋_GB2312" w:hAnsi="仿宋_GB2312" w:eastAsia="仿宋_GB2312" w:cs="仿宋_GB2312"/>
          <w:bCs/>
          <w:sz w:val="32"/>
          <w:szCs w:val="32"/>
        </w:rPr>
        <w:t>表</w:t>
      </w:r>
    </w:p>
    <w:p>
      <w:pPr>
        <w:pStyle w:val="2"/>
        <w:sectPr>
          <w:footerReference r:id="rId4" w:type="default"/>
          <w:pgSz w:w="11906" w:h="16838"/>
          <w:pgMar w:top="1440" w:right="1800" w:bottom="1440" w:left="1800" w:header="851" w:footer="992" w:gutter="0"/>
          <w:cols w:space="425" w:num="1"/>
          <w:docGrid w:type="lines" w:linePitch="312" w:charSpace="0"/>
        </w:sectPr>
      </w:pPr>
    </w:p>
    <w:p>
      <w:pPr>
        <w:pStyle w:val="2"/>
        <w:jc w:val="both"/>
      </w:pPr>
      <w:r>
        <w:rPr>
          <w:rFonts w:hint="eastAsia" w:ascii="黑体" w:hAnsi="黑体" w:eastAsia="黑体" w:cs="黑体"/>
          <w:sz w:val="32"/>
          <w:szCs w:val="32"/>
        </w:rPr>
        <w:t>附表1</w:t>
      </w:r>
      <w:r>
        <w:rPr>
          <w:rFonts w:ascii="黑体" w:hAnsi="黑体" w:eastAsia="黑体" w:cs="黑体"/>
          <w:sz w:val="32"/>
          <w:szCs w:val="32"/>
        </w:rPr>
        <w:t>4-1</w:t>
      </w:r>
    </w:p>
    <w:p>
      <w:pPr>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2022年度渔业绿色循环发展试点项目建设需求表</w:t>
      </w:r>
    </w:p>
    <w:p>
      <w:pPr>
        <w:pStyle w:val="9"/>
      </w:pPr>
    </w:p>
    <w:tbl>
      <w:tblPr>
        <w:tblStyle w:val="11"/>
        <w:tblW w:w="130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5"/>
        <w:gridCol w:w="1220"/>
        <w:gridCol w:w="1644"/>
        <w:gridCol w:w="1644"/>
        <w:gridCol w:w="1865"/>
        <w:gridCol w:w="1382"/>
        <w:gridCol w:w="1868"/>
        <w:gridCol w:w="1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71" w:hRule="atLeast"/>
          <w:jc w:val="center"/>
        </w:trPr>
        <w:tc>
          <w:tcPr>
            <w:tcW w:w="1685" w:type="dxa"/>
            <w:vAlign w:val="center"/>
          </w:tcPr>
          <w:p>
            <w:pPr>
              <w:jc w:val="center"/>
              <w:rPr>
                <w:rFonts w:ascii="黑体" w:hAnsi="黑体" w:eastAsia="黑体" w:cs="黑体"/>
                <w:sz w:val="20"/>
                <w:szCs w:val="20"/>
              </w:rPr>
            </w:pPr>
            <w:r>
              <w:rPr>
                <w:rFonts w:hint="eastAsia" w:ascii="黑体" w:hAnsi="黑体" w:eastAsia="黑体" w:cs="黑体"/>
                <w:kern w:val="0"/>
                <w:sz w:val="24"/>
                <w:lang w:bidi="ar"/>
              </w:rPr>
              <w:t>市</w:t>
            </w:r>
          </w:p>
        </w:tc>
        <w:tc>
          <w:tcPr>
            <w:tcW w:w="1220"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序号</w:t>
            </w:r>
          </w:p>
        </w:tc>
        <w:tc>
          <w:tcPr>
            <w:tcW w:w="1644"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项目县</w:t>
            </w:r>
          </w:p>
        </w:tc>
        <w:tc>
          <w:tcPr>
            <w:tcW w:w="1644"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试点县申报池塘改造和尾水治理项目总面积（亩）</w:t>
            </w:r>
          </w:p>
        </w:tc>
        <w:tc>
          <w:tcPr>
            <w:tcW w:w="1865"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3000亩及以上单个项目选址个数（个）</w:t>
            </w:r>
          </w:p>
        </w:tc>
        <w:tc>
          <w:tcPr>
            <w:tcW w:w="1382"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300亩及以上单个项目选址个数（个）</w:t>
            </w:r>
          </w:p>
        </w:tc>
        <w:tc>
          <w:tcPr>
            <w:tcW w:w="1868"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项目总投资（万元）</w:t>
            </w:r>
          </w:p>
        </w:tc>
        <w:tc>
          <w:tcPr>
            <w:tcW w:w="1707" w:type="dxa"/>
            <w:vAlign w:val="center"/>
          </w:tcPr>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申请省级及以上财政资金</w:t>
            </w:r>
          </w:p>
          <w:p>
            <w:pPr>
              <w:adjustRightInd w:val="0"/>
              <w:snapToGrid w:val="0"/>
              <w:spacing w:line="240" w:lineRule="atLeast"/>
              <w:jc w:val="center"/>
              <w:rPr>
                <w:rFonts w:ascii="黑体" w:hAnsi="黑体" w:eastAsia="黑体" w:cs="黑体"/>
                <w:kern w:val="0"/>
                <w:sz w:val="24"/>
                <w:lang w:bidi="ar"/>
              </w:rPr>
            </w:pPr>
            <w:r>
              <w:rPr>
                <w:rFonts w:hint="eastAsia" w:ascii="黑体" w:hAnsi="黑体" w:eastAsia="黑体" w:cs="黑体"/>
                <w:kern w:val="0"/>
                <w:sz w:val="24"/>
                <w:lang w:bidi="ar"/>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jc w:val="center"/>
        </w:trPr>
        <w:tc>
          <w:tcPr>
            <w:tcW w:w="1685" w:type="dxa"/>
          </w:tcPr>
          <w:p>
            <w:pPr>
              <w:jc w:val="center"/>
              <w:rPr>
                <w:rFonts w:ascii="黑体" w:hAnsi="黑体" w:eastAsia="黑体"/>
                <w:szCs w:val="21"/>
              </w:rPr>
            </w:pPr>
          </w:p>
        </w:tc>
        <w:tc>
          <w:tcPr>
            <w:tcW w:w="1220"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865" w:type="dxa"/>
          </w:tcPr>
          <w:p>
            <w:pPr>
              <w:jc w:val="center"/>
              <w:rPr>
                <w:rFonts w:ascii="黑体" w:hAnsi="黑体" w:eastAsia="黑体"/>
                <w:szCs w:val="21"/>
              </w:rPr>
            </w:pPr>
          </w:p>
        </w:tc>
        <w:tc>
          <w:tcPr>
            <w:tcW w:w="1382" w:type="dxa"/>
          </w:tcPr>
          <w:p>
            <w:pPr>
              <w:jc w:val="center"/>
              <w:rPr>
                <w:rFonts w:ascii="黑体" w:hAnsi="黑体" w:eastAsia="黑体"/>
                <w:szCs w:val="21"/>
              </w:rPr>
            </w:pPr>
          </w:p>
        </w:tc>
        <w:tc>
          <w:tcPr>
            <w:tcW w:w="1868" w:type="dxa"/>
          </w:tcPr>
          <w:p>
            <w:pPr>
              <w:jc w:val="center"/>
              <w:rPr>
                <w:rFonts w:ascii="黑体" w:hAnsi="黑体" w:eastAsia="黑体"/>
                <w:szCs w:val="21"/>
              </w:rPr>
            </w:pPr>
          </w:p>
        </w:tc>
        <w:tc>
          <w:tcPr>
            <w:tcW w:w="1707" w:type="dxa"/>
          </w:tcPr>
          <w:p>
            <w:pPr>
              <w:jc w:val="center"/>
              <w:rPr>
                <w:rFonts w:ascii="黑体" w:hAns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jc w:val="center"/>
        </w:trPr>
        <w:tc>
          <w:tcPr>
            <w:tcW w:w="1685" w:type="dxa"/>
          </w:tcPr>
          <w:p>
            <w:pPr>
              <w:jc w:val="center"/>
              <w:rPr>
                <w:rFonts w:ascii="黑体" w:hAnsi="黑体" w:eastAsia="黑体"/>
                <w:szCs w:val="21"/>
              </w:rPr>
            </w:pPr>
          </w:p>
        </w:tc>
        <w:tc>
          <w:tcPr>
            <w:tcW w:w="1220"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865" w:type="dxa"/>
          </w:tcPr>
          <w:p>
            <w:pPr>
              <w:jc w:val="center"/>
              <w:rPr>
                <w:rFonts w:ascii="黑体" w:hAnsi="黑体" w:eastAsia="黑体"/>
                <w:szCs w:val="21"/>
              </w:rPr>
            </w:pPr>
          </w:p>
        </w:tc>
        <w:tc>
          <w:tcPr>
            <w:tcW w:w="1382" w:type="dxa"/>
          </w:tcPr>
          <w:p>
            <w:pPr>
              <w:jc w:val="center"/>
              <w:rPr>
                <w:rFonts w:ascii="黑体" w:hAnsi="黑体" w:eastAsia="黑体"/>
                <w:szCs w:val="21"/>
              </w:rPr>
            </w:pPr>
          </w:p>
        </w:tc>
        <w:tc>
          <w:tcPr>
            <w:tcW w:w="1868" w:type="dxa"/>
          </w:tcPr>
          <w:p>
            <w:pPr>
              <w:jc w:val="center"/>
              <w:rPr>
                <w:rFonts w:ascii="黑体" w:hAnsi="黑体" w:eastAsia="黑体"/>
                <w:szCs w:val="21"/>
              </w:rPr>
            </w:pPr>
          </w:p>
        </w:tc>
        <w:tc>
          <w:tcPr>
            <w:tcW w:w="1707" w:type="dxa"/>
          </w:tcPr>
          <w:p>
            <w:pPr>
              <w:jc w:val="center"/>
              <w:rPr>
                <w:rFonts w:ascii="黑体" w:hAns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 w:hRule="atLeast"/>
          <w:jc w:val="center"/>
        </w:trPr>
        <w:tc>
          <w:tcPr>
            <w:tcW w:w="1685" w:type="dxa"/>
          </w:tcPr>
          <w:p>
            <w:pPr>
              <w:jc w:val="center"/>
              <w:rPr>
                <w:rFonts w:ascii="黑体" w:hAnsi="黑体" w:eastAsia="黑体"/>
                <w:szCs w:val="21"/>
              </w:rPr>
            </w:pPr>
          </w:p>
        </w:tc>
        <w:tc>
          <w:tcPr>
            <w:tcW w:w="1220"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865" w:type="dxa"/>
          </w:tcPr>
          <w:p>
            <w:pPr>
              <w:jc w:val="center"/>
              <w:rPr>
                <w:rFonts w:ascii="黑体" w:hAnsi="黑体" w:eastAsia="黑体"/>
                <w:szCs w:val="21"/>
              </w:rPr>
            </w:pPr>
          </w:p>
        </w:tc>
        <w:tc>
          <w:tcPr>
            <w:tcW w:w="1382" w:type="dxa"/>
          </w:tcPr>
          <w:p>
            <w:pPr>
              <w:jc w:val="center"/>
              <w:rPr>
                <w:rFonts w:ascii="黑体" w:hAnsi="黑体" w:eastAsia="黑体"/>
                <w:szCs w:val="21"/>
              </w:rPr>
            </w:pPr>
          </w:p>
        </w:tc>
        <w:tc>
          <w:tcPr>
            <w:tcW w:w="1868" w:type="dxa"/>
          </w:tcPr>
          <w:p>
            <w:pPr>
              <w:jc w:val="center"/>
              <w:rPr>
                <w:rFonts w:ascii="黑体" w:hAnsi="黑体" w:eastAsia="黑体"/>
                <w:szCs w:val="21"/>
              </w:rPr>
            </w:pPr>
          </w:p>
        </w:tc>
        <w:tc>
          <w:tcPr>
            <w:tcW w:w="1707" w:type="dxa"/>
          </w:tcPr>
          <w:p>
            <w:pPr>
              <w:jc w:val="center"/>
              <w:rPr>
                <w:rFonts w:ascii="黑体" w:hAns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4" w:hRule="atLeast"/>
          <w:jc w:val="center"/>
        </w:trPr>
        <w:tc>
          <w:tcPr>
            <w:tcW w:w="1685" w:type="dxa"/>
          </w:tcPr>
          <w:p>
            <w:pPr>
              <w:jc w:val="center"/>
              <w:rPr>
                <w:rFonts w:ascii="黑体" w:hAnsi="黑体" w:eastAsia="黑体"/>
                <w:szCs w:val="21"/>
              </w:rPr>
            </w:pPr>
          </w:p>
        </w:tc>
        <w:tc>
          <w:tcPr>
            <w:tcW w:w="1220"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644" w:type="dxa"/>
          </w:tcPr>
          <w:p>
            <w:pPr>
              <w:jc w:val="center"/>
              <w:rPr>
                <w:rFonts w:ascii="黑体" w:hAnsi="黑体" w:eastAsia="黑体"/>
                <w:szCs w:val="21"/>
              </w:rPr>
            </w:pPr>
          </w:p>
        </w:tc>
        <w:tc>
          <w:tcPr>
            <w:tcW w:w="1865" w:type="dxa"/>
          </w:tcPr>
          <w:p>
            <w:pPr>
              <w:jc w:val="center"/>
              <w:rPr>
                <w:rFonts w:ascii="黑体" w:hAnsi="黑体" w:eastAsia="黑体"/>
                <w:szCs w:val="21"/>
              </w:rPr>
            </w:pPr>
          </w:p>
        </w:tc>
        <w:tc>
          <w:tcPr>
            <w:tcW w:w="1382" w:type="dxa"/>
          </w:tcPr>
          <w:p>
            <w:pPr>
              <w:jc w:val="center"/>
              <w:rPr>
                <w:rFonts w:ascii="黑体" w:hAnsi="黑体" w:eastAsia="黑体"/>
                <w:szCs w:val="21"/>
              </w:rPr>
            </w:pPr>
          </w:p>
        </w:tc>
        <w:tc>
          <w:tcPr>
            <w:tcW w:w="1868" w:type="dxa"/>
          </w:tcPr>
          <w:p>
            <w:pPr>
              <w:jc w:val="center"/>
              <w:rPr>
                <w:rFonts w:ascii="黑体" w:hAnsi="黑体" w:eastAsia="黑体"/>
                <w:szCs w:val="21"/>
              </w:rPr>
            </w:pPr>
          </w:p>
        </w:tc>
        <w:tc>
          <w:tcPr>
            <w:tcW w:w="1707" w:type="dxa"/>
          </w:tcPr>
          <w:p>
            <w:pPr>
              <w:jc w:val="center"/>
              <w:rPr>
                <w:rFonts w:ascii="黑体" w:hAnsi="黑体" w:eastAsia="黑体"/>
                <w:szCs w:val="21"/>
              </w:rPr>
            </w:pPr>
          </w:p>
        </w:tc>
      </w:tr>
    </w:tbl>
    <w:p/>
    <w:p>
      <w:pPr>
        <w:pStyle w:val="9"/>
      </w:pPr>
    </w:p>
    <w:p>
      <w:pPr>
        <w:pStyle w:val="9"/>
        <w:sectPr>
          <w:pgSz w:w="16838" w:h="11906" w:orient="landscape"/>
          <w:pgMar w:top="1803" w:right="1440" w:bottom="1803" w:left="1440" w:header="851" w:footer="992" w:gutter="0"/>
          <w:cols w:space="0" w:num="1"/>
          <w:docGrid w:type="lines" w:linePitch="319" w:charSpace="0"/>
        </w:sectPr>
      </w:pPr>
    </w:p>
    <w:p>
      <w:pPr>
        <w:rPr>
          <w:rFonts w:ascii="黑体" w:hAnsi="黑体" w:eastAsia="黑体" w:cs="方正小标宋简体"/>
          <w:sz w:val="36"/>
          <w:szCs w:val="36"/>
        </w:rPr>
      </w:pPr>
      <w:r>
        <w:rPr>
          <w:rFonts w:hint="eastAsia" w:ascii="黑体" w:hAnsi="黑体" w:eastAsia="黑体" w:cs="方正小标宋简体"/>
          <w:sz w:val="36"/>
          <w:szCs w:val="36"/>
        </w:rPr>
        <w:t>附表1</w:t>
      </w:r>
      <w:r>
        <w:rPr>
          <w:rFonts w:ascii="黑体" w:hAnsi="黑体" w:eastAsia="黑体" w:cs="方正小标宋简体"/>
          <w:sz w:val="36"/>
          <w:szCs w:val="36"/>
        </w:rPr>
        <w:t>4-2</w:t>
      </w:r>
    </w:p>
    <w:p>
      <w:pPr>
        <w:spacing w:line="620" w:lineRule="exact"/>
        <w:jc w:val="center"/>
        <w:rPr>
          <w:rFonts w:ascii="方正小标宋简体" w:hAnsi="方正小标宋简体" w:eastAsia="方正小标宋简体" w:cs="方正小标宋简体"/>
          <w:sz w:val="36"/>
          <w:szCs w:val="36"/>
        </w:rPr>
      </w:pPr>
    </w:p>
    <w:p>
      <w:pPr>
        <w:spacing w:line="620" w:lineRule="exact"/>
        <w:jc w:val="center"/>
        <w:rPr>
          <w:rFonts w:ascii="方正小标宋简体" w:hAnsi="方正小标宋简体" w:eastAsia="方正小标宋简体" w:cs="方正小标宋简体"/>
          <w:sz w:val="32"/>
          <w:szCs w:val="32"/>
        </w:rPr>
      </w:pPr>
      <w:bookmarkStart w:id="1" w:name="_Hlk93928285"/>
      <w:r>
        <w:rPr>
          <w:rFonts w:hint="eastAsia" w:ascii="方正小标宋简体" w:hAnsi="方正小标宋简体" w:eastAsia="方正小标宋简体" w:cs="方正小标宋简体"/>
          <w:sz w:val="32"/>
          <w:szCs w:val="32"/>
        </w:rPr>
        <w:t>近海捕捞渔民减船转产储备表</w:t>
      </w:r>
    </w:p>
    <w:bookmarkEnd w:id="1"/>
    <w:p>
      <w:pPr>
        <w:spacing w:line="620" w:lineRule="exact"/>
        <w:jc w:val="left"/>
        <w:rPr>
          <w:rFonts w:ascii="宋体" w:hAnsi="宋体" w:eastAsia="宋体" w:cs="宋体"/>
          <w:sz w:val="28"/>
          <w:szCs w:val="28"/>
        </w:rPr>
      </w:pPr>
      <w:r>
        <w:rPr>
          <w:rFonts w:hint="eastAsia" w:ascii="方正小标宋简体" w:hAnsi="方正小标宋简体" w:eastAsia="方正小标宋简体" w:cs="方正小标宋简体"/>
          <w:sz w:val="32"/>
          <w:szCs w:val="32"/>
        </w:rPr>
        <w:t>**市</w:t>
      </w:r>
    </w:p>
    <w:tbl>
      <w:tblPr>
        <w:tblStyle w:val="11"/>
        <w:tblW w:w="8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4"/>
        <w:gridCol w:w="2295"/>
        <w:gridCol w:w="3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center"/>
              <w:rPr>
                <w:rFonts w:ascii="宋体" w:hAnsi="宋体" w:eastAsia="宋体" w:cs="宋体"/>
                <w:b/>
                <w:bCs/>
                <w:sz w:val="32"/>
                <w:szCs w:val="32"/>
              </w:rPr>
            </w:pPr>
            <w:r>
              <w:rPr>
                <w:rFonts w:hint="eastAsia" w:ascii="宋体" w:hAnsi="宋体" w:eastAsia="宋体" w:cs="宋体"/>
                <w:b/>
                <w:bCs/>
                <w:sz w:val="32"/>
                <w:szCs w:val="32"/>
              </w:rPr>
              <w:t>县</w:t>
            </w:r>
          </w:p>
        </w:tc>
        <w:tc>
          <w:tcPr>
            <w:tcW w:w="2295" w:type="dxa"/>
          </w:tcPr>
          <w:p>
            <w:pPr>
              <w:spacing w:line="620" w:lineRule="exact"/>
              <w:jc w:val="center"/>
              <w:rPr>
                <w:rFonts w:ascii="宋体" w:hAnsi="宋体" w:eastAsia="宋体" w:cs="宋体"/>
                <w:b/>
                <w:bCs/>
                <w:sz w:val="32"/>
                <w:szCs w:val="32"/>
              </w:rPr>
            </w:pPr>
            <w:r>
              <w:rPr>
                <w:rFonts w:hint="eastAsia" w:ascii="宋体" w:hAnsi="宋体" w:eastAsia="宋体" w:cs="宋体"/>
                <w:b/>
                <w:bCs/>
                <w:sz w:val="32"/>
                <w:szCs w:val="32"/>
              </w:rPr>
              <w:t>艘数</w:t>
            </w:r>
          </w:p>
        </w:tc>
        <w:tc>
          <w:tcPr>
            <w:tcW w:w="3510" w:type="dxa"/>
          </w:tcPr>
          <w:p>
            <w:pPr>
              <w:spacing w:line="620" w:lineRule="exact"/>
              <w:jc w:val="center"/>
              <w:rPr>
                <w:rFonts w:ascii="宋体" w:hAnsi="宋体" w:eastAsia="宋体" w:cs="宋体"/>
                <w:b/>
                <w:bCs/>
                <w:sz w:val="32"/>
                <w:szCs w:val="32"/>
              </w:rPr>
            </w:pPr>
            <w:r>
              <w:rPr>
                <w:rFonts w:hint="eastAsia" w:ascii="宋体" w:hAnsi="宋体" w:eastAsia="宋体" w:cs="宋体"/>
                <w:b/>
                <w:bCs/>
                <w:sz w:val="32"/>
                <w:szCs w:val="32"/>
              </w:rPr>
              <w:t>千瓦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44" w:type="dxa"/>
          </w:tcPr>
          <w:p>
            <w:pPr>
              <w:spacing w:line="620" w:lineRule="exact"/>
              <w:jc w:val="left"/>
              <w:rPr>
                <w:rFonts w:ascii="宋体" w:hAnsi="宋体" w:eastAsia="宋体" w:cs="宋体"/>
                <w:sz w:val="32"/>
                <w:szCs w:val="32"/>
              </w:rPr>
            </w:pPr>
          </w:p>
        </w:tc>
        <w:tc>
          <w:tcPr>
            <w:tcW w:w="2295" w:type="dxa"/>
          </w:tcPr>
          <w:p>
            <w:pPr>
              <w:spacing w:line="620" w:lineRule="exact"/>
              <w:jc w:val="left"/>
              <w:rPr>
                <w:rFonts w:ascii="宋体" w:hAnsi="宋体" w:eastAsia="宋体" w:cs="宋体"/>
                <w:sz w:val="32"/>
                <w:szCs w:val="32"/>
              </w:rPr>
            </w:pPr>
          </w:p>
        </w:tc>
        <w:tc>
          <w:tcPr>
            <w:tcW w:w="3510" w:type="dxa"/>
          </w:tcPr>
          <w:p>
            <w:pPr>
              <w:spacing w:line="620" w:lineRule="exact"/>
              <w:jc w:val="left"/>
              <w:rPr>
                <w:rFonts w:ascii="宋体" w:hAnsi="宋体" w:eastAsia="宋体" w:cs="宋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049" w:type="dxa"/>
            <w:gridSpan w:val="3"/>
          </w:tcPr>
          <w:p>
            <w:pPr>
              <w:spacing w:line="620" w:lineRule="exact"/>
              <w:jc w:val="left"/>
              <w:rPr>
                <w:rFonts w:ascii="宋体" w:hAnsi="宋体" w:eastAsia="宋体" w:cs="宋体"/>
                <w:sz w:val="32"/>
                <w:szCs w:val="32"/>
              </w:rPr>
            </w:pPr>
            <w:r>
              <w:rPr>
                <w:rFonts w:hint="eastAsia" w:ascii="宋体" w:hAnsi="宋体" w:eastAsia="宋体" w:cs="宋体"/>
                <w:sz w:val="28"/>
                <w:szCs w:val="28"/>
              </w:rPr>
              <w:t>注：按照每千瓦5000元测算转产补助。</w:t>
            </w:r>
          </w:p>
        </w:tc>
      </w:tr>
    </w:tbl>
    <w:p>
      <w:pPr>
        <w:pStyle w:val="2"/>
        <w:rPr>
          <w:rFonts w:ascii="仿宋_GB2312" w:hAnsi="仿宋_GB2312" w:eastAsia="仿宋_GB2312" w:cs="仿宋_GB2312"/>
          <w:sz w:val="36"/>
          <w:szCs w:val="36"/>
        </w:rPr>
      </w:pPr>
    </w:p>
    <w:p>
      <w:pPr>
        <w:adjustRightInd w:val="0"/>
        <w:snapToGrid w:val="0"/>
        <w:spacing w:line="400" w:lineRule="exact"/>
      </w:pPr>
    </w:p>
    <w:p>
      <w:pPr>
        <w:pStyle w:val="2"/>
        <w:jc w:val="both"/>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w:panose1 w:val="020F0502020204030204"/>
    <w:charset w:val="00"/>
    <w:family w:val="swiss"/>
    <w:pitch w:val="default"/>
    <w:sig w:usb0="00000000" w:usb1="00000000" w:usb2="00000001" w:usb3="00000000" w:csb0="0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altName w:val="黑体"/>
    <w:panose1 w:val="020B0503020204020204"/>
    <w:charset w:val="86"/>
    <w:family w:val="swiss"/>
    <w:pitch w:val="default"/>
    <w:sig w:usb0="00000000" w:usb1="00000000" w:usb2="00000016" w:usb3="00000000" w:csb0="0004001F" w:csb1="00000000"/>
  </w:font>
  <w:font w:name="仿宋">
    <w:altName w:val="宋体"/>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00000287" w:usb1="00000000" w:usb2="00000000" w:usb3="00000000" w:csb0="2000019F" w:csb1="00000000"/>
  </w:font>
  <w:font w:name="楷体">
    <w:altName w:val="楷体_GB2312"/>
    <w:panose1 w:val="02010609060101010101"/>
    <w:charset w:val="86"/>
    <w:family w:val="auto"/>
    <w:pitch w:val="default"/>
    <w:sig w:usb0="00000000" w:usb1="00000000" w:usb2="00000016" w:usb3="00000000" w:csb0="00040001" w:csb1="00000000"/>
  </w:font>
  <w:font w:name="Microsoft YaHei UI">
    <w:altName w:val="宋体"/>
    <w:panose1 w:val="020B0503020204020204"/>
    <w:charset w:val="86"/>
    <w:family w:val="swiss"/>
    <w:pitch w:val="default"/>
    <w:sig w:usb0="00000000" w:usb1="00000000" w:usb2="00000016" w:usb3="00000000" w:csb0="0004001F" w:csb1="00000000"/>
  </w:font>
  <w:font w:name="华文中宋">
    <w:altName w:val="宋体"/>
    <w:panose1 w:val="02010600040101010101"/>
    <w:charset w:val="86"/>
    <w:family w:val="auto"/>
    <w:pitch w:val="default"/>
    <w:sig w:usb0="00000000" w:usb1="00000000" w:usb2="00000000" w:usb3="00000000" w:csb0="0004009F" w:csb1="DFD70000"/>
  </w:font>
  <w:font w:name="华文楷体">
    <w:altName w:val="楷体_GB2312"/>
    <w:panose1 w:val="02010600040101010101"/>
    <w:charset w:val="86"/>
    <w:family w:val="auto"/>
    <w:pitch w:val="default"/>
    <w:sig w:usb0="00000000" w:usb1="00000000" w:usb2="00000000" w:usb3="00000000" w:csb0="0004009F" w:csb1="DFD70000"/>
  </w:font>
  <w:font w:name="Lucida Sans">
    <w:panose1 w:val="020B0602030504020204"/>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73681939"/>
      <w:docPartObj>
        <w:docPartGallery w:val="autotext"/>
      </w:docPartObj>
    </w:sdtPr>
    <w:sdtContent>
      <w:p>
        <w:pPr>
          <w:pStyle w:val="6"/>
          <w:jc w:val="center"/>
        </w:pPr>
        <w:r>
          <w:fldChar w:fldCharType="begin"/>
        </w:r>
        <w:r>
          <w:instrText xml:space="preserve">PAGE   \* MERGEFORMAT</w:instrText>
        </w:r>
        <w:r>
          <w:fldChar w:fldCharType="separate"/>
        </w:r>
        <w:r>
          <w:rPr>
            <w:lang w:val="zh-CN"/>
          </w:rPr>
          <w:t>2</w:t>
        </w:r>
        <w:r>
          <w:fldChar w:fldCharType="end"/>
        </w:r>
      </w:p>
    </w:sdtContent>
  </w:sdt>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eastAsia="宋体"/>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">
              <v:fill on="f" focussize="0,0"/>
              <v:stroke on="f"/>
              <v:imagedata o:title=""/>
              <o:lock v:ext="edit" aspectratio="f"/>
              <v:textbox inset="0mm,0mm,0mm,0mm" style="mso-fit-shape-to-text:t;">
                <w:txbxContent>
                  <w:p>
                    <w:pPr>
                      <w:pStyle w:val="6"/>
                      <w:rPr>
                        <w:rFonts w:eastAsia="宋体"/>
                      </w:rP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24207429"/>
    <w:rsid w:val="00072359"/>
    <w:rsid w:val="000A4775"/>
    <w:rsid w:val="000F623E"/>
    <w:rsid w:val="0014397D"/>
    <w:rsid w:val="00186D67"/>
    <w:rsid w:val="00191859"/>
    <w:rsid w:val="001B75D8"/>
    <w:rsid w:val="001F7901"/>
    <w:rsid w:val="00213C03"/>
    <w:rsid w:val="00377F2D"/>
    <w:rsid w:val="00430D73"/>
    <w:rsid w:val="004C4782"/>
    <w:rsid w:val="004F6821"/>
    <w:rsid w:val="005625E2"/>
    <w:rsid w:val="00656453"/>
    <w:rsid w:val="00766DC6"/>
    <w:rsid w:val="00783862"/>
    <w:rsid w:val="007D07DA"/>
    <w:rsid w:val="007F7AD6"/>
    <w:rsid w:val="00872875"/>
    <w:rsid w:val="008D55FE"/>
    <w:rsid w:val="00955644"/>
    <w:rsid w:val="009A2767"/>
    <w:rsid w:val="00A56F19"/>
    <w:rsid w:val="00AF1922"/>
    <w:rsid w:val="00B6370E"/>
    <w:rsid w:val="00BA0D1C"/>
    <w:rsid w:val="00BA7CA7"/>
    <w:rsid w:val="00BB4EE8"/>
    <w:rsid w:val="00BC50BC"/>
    <w:rsid w:val="00C33D5E"/>
    <w:rsid w:val="00CD41AD"/>
    <w:rsid w:val="00D34B74"/>
    <w:rsid w:val="00E71E4F"/>
    <w:rsid w:val="00F3376F"/>
    <w:rsid w:val="00F4132A"/>
    <w:rsid w:val="016814B1"/>
    <w:rsid w:val="01E0373D"/>
    <w:rsid w:val="02BB0FAD"/>
    <w:rsid w:val="02D52349"/>
    <w:rsid w:val="037E320E"/>
    <w:rsid w:val="03E34618"/>
    <w:rsid w:val="03FA6D38"/>
    <w:rsid w:val="04C03B1F"/>
    <w:rsid w:val="0569717C"/>
    <w:rsid w:val="05776166"/>
    <w:rsid w:val="05A3376C"/>
    <w:rsid w:val="05A827C4"/>
    <w:rsid w:val="07124399"/>
    <w:rsid w:val="07465DF0"/>
    <w:rsid w:val="07B7349C"/>
    <w:rsid w:val="09175C96"/>
    <w:rsid w:val="0A622F41"/>
    <w:rsid w:val="0B150F6D"/>
    <w:rsid w:val="0B2823DD"/>
    <w:rsid w:val="0BE921EA"/>
    <w:rsid w:val="0C2D3A23"/>
    <w:rsid w:val="0D091D9A"/>
    <w:rsid w:val="0D4234FE"/>
    <w:rsid w:val="0E6D0107"/>
    <w:rsid w:val="0F9977AB"/>
    <w:rsid w:val="10B318F1"/>
    <w:rsid w:val="10D73F5D"/>
    <w:rsid w:val="116444BF"/>
    <w:rsid w:val="11F87325"/>
    <w:rsid w:val="12C12416"/>
    <w:rsid w:val="136E0824"/>
    <w:rsid w:val="13AA0173"/>
    <w:rsid w:val="144B69DF"/>
    <w:rsid w:val="145558C5"/>
    <w:rsid w:val="1457163D"/>
    <w:rsid w:val="15747FCD"/>
    <w:rsid w:val="15A63DBD"/>
    <w:rsid w:val="160B6B83"/>
    <w:rsid w:val="16201F02"/>
    <w:rsid w:val="175005C5"/>
    <w:rsid w:val="17C214C3"/>
    <w:rsid w:val="17C23271"/>
    <w:rsid w:val="17CA65CA"/>
    <w:rsid w:val="189B210B"/>
    <w:rsid w:val="18A71A41"/>
    <w:rsid w:val="19314B52"/>
    <w:rsid w:val="1A05783A"/>
    <w:rsid w:val="1C054ADF"/>
    <w:rsid w:val="1C112175"/>
    <w:rsid w:val="1C9C6C31"/>
    <w:rsid w:val="1CD203FA"/>
    <w:rsid w:val="1D012A8E"/>
    <w:rsid w:val="1F3C2315"/>
    <w:rsid w:val="1F90279E"/>
    <w:rsid w:val="1FBC2C9C"/>
    <w:rsid w:val="20623843"/>
    <w:rsid w:val="20DC1E46"/>
    <w:rsid w:val="21AE4D1D"/>
    <w:rsid w:val="222F1C82"/>
    <w:rsid w:val="2309444A"/>
    <w:rsid w:val="236C5505"/>
    <w:rsid w:val="23745900"/>
    <w:rsid w:val="238E6524"/>
    <w:rsid w:val="23955CDE"/>
    <w:rsid w:val="23C16AD3"/>
    <w:rsid w:val="24207429"/>
    <w:rsid w:val="2702368A"/>
    <w:rsid w:val="27FC457D"/>
    <w:rsid w:val="281D199F"/>
    <w:rsid w:val="2874680A"/>
    <w:rsid w:val="28F93761"/>
    <w:rsid w:val="29415584"/>
    <w:rsid w:val="29BD7D3C"/>
    <w:rsid w:val="2A7F1496"/>
    <w:rsid w:val="2B5B780D"/>
    <w:rsid w:val="2CCF6B0A"/>
    <w:rsid w:val="2D3F7FE3"/>
    <w:rsid w:val="2E171176"/>
    <w:rsid w:val="2E2C152B"/>
    <w:rsid w:val="2ED0406E"/>
    <w:rsid w:val="2F1F7F2C"/>
    <w:rsid w:val="2FDB53C0"/>
    <w:rsid w:val="3095556F"/>
    <w:rsid w:val="31327002"/>
    <w:rsid w:val="31C90724"/>
    <w:rsid w:val="31DC61A8"/>
    <w:rsid w:val="33185F94"/>
    <w:rsid w:val="340A6274"/>
    <w:rsid w:val="340D25AE"/>
    <w:rsid w:val="36897924"/>
    <w:rsid w:val="386C6CE9"/>
    <w:rsid w:val="399A35BC"/>
    <w:rsid w:val="3A5C6E13"/>
    <w:rsid w:val="3B2F16B7"/>
    <w:rsid w:val="3B5F6EA5"/>
    <w:rsid w:val="3BE75F6A"/>
    <w:rsid w:val="3C21415B"/>
    <w:rsid w:val="3D216703"/>
    <w:rsid w:val="3D29776B"/>
    <w:rsid w:val="3D7E699E"/>
    <w:rsid w:val="3D8D6ED6"/>
    <w:rsid w:val="3EF73899"/>
    <w:rsid w:val="3F237589"/>
    <w:rsid w:val="3FCF3ECE"/>
    <w:rsid w:val="40845583"/>
    <w:rsid w:val="40EA5463"/>
    <w:rsid w:val="40FA31CC"/>
    <w:rsid w:val="417B255F"/>
    <w:rsid w:val="42114C71"/>
    <w:rsid w:val="421610B5"/>
    <w:rsid w:val="423E6148"/>
    <w:rsid w:val="42862F6A"/>
    <w:rsid w:val="42D5540A"/>
    <w:rsid w:val="43794025"/>
    <w:rsid w:val="43934A48"/>
    <w:rsid w:val="44093487"/>
    <w:rsid w:val="44501A81"/>
    <w:rsid w:val="45AD2F03"/>
    <w:rsid w:val="45E87A97"/>
    <w:rsid w:val="462C3E28"/>
    <w:rsid w:val="46D149CF"/>
    <w:rsid w:val="48256D81"/>
    <w:rsid w:val="486978E1"/>
    <w:rsid w:val="48BF71D5"/>
    <w:rsid w:val="49951CE4"/>
    <w:rsid w:val="49F87D31"/>
    <w:rsid w:val="4AAD466B"/>
    <w:rsid w:val="4B1A06F3"/>
    <w:rsid w:val="4B215F25"/>
    <w:rsid w:val="4BD84D35"/>
    <w:rsid w:val="4C152B92"/>
    <w:rsid w:val="4C3362AA"/>
    <w:rsid w:val="4C8C2282"/>
    <w:rsid w:val="4CEA2347"/>
    <w:rsid w:val="4DB4266A"/>
    <w:rsid w:val="4E7520E4"/>
    <w:rsid w:val="4EF92D15"/>
    <w:rsid w:val="4F8B2FB3"/>
    <w:rsid w:val="517F7502"/>
    <w:rsid w:val="5184720E"/>
    <w:rsid w:val="51E80102"/>
    <w:rsid w:val="523A5B1F"/>
    <w:rsid w:val="52880638"/>
    <w:rsid w:val="52AE67C8"/>
    <w:rsid w:val="53BB6E33"/>
    <w:rsid w:val="53F65A75"/>
    <w:rsid w:val="54001B92"/>
    <w:rsid w:val="55680801"/>
    <w:rsid w:val="55B17EA6"/>
    <w:rsid w:val="57544F8D"/>
    <w:rsid w:val="57867EBE"/>
    <w:rsid w:val="58112E7E"/>
    <w:rsid w:val="5B7C0F56"/>
    <w:rsid w:val="5C533A65"/>
    <w:rsid w:val="5DCA5FA9"/>
    <w:rsid w:val="5DCF497D"/>
    <w:rsid w:val="5E224037"/>
    <w:rsid w:val="5E4A0E97"/>
    <w:rsid w:val="5E733018"/>
    <w:rsid w:val="5F131BD1"/>
    <w:rsid w:val="5F7B1815"/>
    <w:rsid w:val="5FEB66AA"/>
    <w:rsid w:val="60830691"/>
    <w:rsid w:val="609603C4"/>
    <w:rsid w:val="60A2320D"/>
    <w:rsid w:val="60B014BA"/>
    <w:rsid w:val="60EF312C"/>
    <w:rsid w:val="61957641"/>
    <w:rsid w:val="622814F0"/>
    <w:rsid w:val="62DB47B4"/>
    <w:rsid w:val="63807109"/>
    <w:rsid w:val="66D659BE"/>
    <w:rsid w:val="66D81516"/>
    <w:rsid w:val="67E1461B"/>
    <w:rsid w:val="696A6892"/>
    <w:rsid w:val="69A47FF6"/>
    <w:rsid w:val="6A2829D5"/>
    <w:rsid w:val="6AB529F9"/>
    <w:rsid w:val="6B841E8D"/>
    <w:rsid w:val="6C5F3CBB"/>
    <w:rsid w:val="6C880422"/>
    <w:rsid w:val="6D7B106D"/>
    <w:rsid w:val="6D7B72BF"/>
    <w:rsid w:val="6F1E15B3"/>
    <w:rsid w:val="70383246"/>
    <w:rsid w:val="705E5FD6"/>
    <w:rsid w:val="70617A7F"/>
    <w:rsid w:val="708446DD"/>
    <w:rsid w:val="717D2696"/>
    <w:rsid w:val="71943D81"/>
    <w:rsid w:val="72897D89"/>
    <w:rsid w:val="743E2DF5"/>
    <w:rsid w:val="762366D3"/>
    <w:rsid w:val="767C286D"/>
    <w:rsid w:val="77B03920"/>
    <w:rsid w:val="77D23F80"/>
    <w:rsid w:val="788F3C1F"/>
    <w:rsid w:val="79607B74"/>
    <w:rsid w:val="7B2F60CB"/>
    <w:rsid w:val="7B833E7E"/>
    <w:rsid w:val="7B94281A"/>
    <w:rsid w:val="7BE349AD"/>
    <w:rsid w:val="7C0B4A3F"/>
    <w:rsid w:val="7C225E74"/>
    <w:rsid w:val="7C36216E"/>
    <w:rsid w:val="7CB7570F"/>
    <w:rsid w:val="7DC66335"/>
    <w:rsid w:val="7E663674"/>
    <w:rsid w:val="7E97382D"/>
    <w:rsid w:val="7F4F59CD"/>
    <w:rsid w:val="F623C4EB"/>
    <w:rsid w:val="FDBE83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line="240" w:lineRule="atLeast"/>
      <w:jc w:val="center"/>
    </w:pPr>
    <w:rPr>
      <w:rFonts w:ascii="宋体" w:hAnsi="Times New Roman" w:eastAsia="宋体" w:cs="Times New Roman"/>
      <w:sz w:val="21"/>
      <w:szCs w:val="22"/>
      <w:lang w:val="en-US" w:eastAsia="zh-CN" w:bidi="ar-SA"/>
    </w:rPr>
  </w:style>
  <w:style w:type="paragraph" w:styleId="3">
    <w:name w:val="Normal Indent"/>
    <w:unhideWhenUsed/>
    <w:qFormat/>
    <w:uiPriority w:val="99"/>
    <w:pPr>
      <w:widowControl w:val="0"/>
      <w:ind w:firstLine="420"/>
      <w:jc w:val="both"/>
    </w:pPr>
    <w:rPr>
      <w:rFonts w:ascii="Times New Roman" w:hAnsi="Times New Roman" w:eastAsiaTheme="minorEastAsia" w:cstheme="minorBidi"/>
      <w:kern w:val="2"/>
      <w:sz w:val="21"/>
      <w:lang w:val="en-US" w:eastAsia="zh-CN" w:bidi="ar-SA"/>
    </w:rPr>
  </w:style>
  <w:style w:type="paragraph" w:styleId="4">
    <w:name w:val="Body Text"/>
    <w:basedOn w:val="1"/>
    <w:next w:val="1"/>
    <w:semiHidden/>
    <w:qFormat/>
    <w:uiPriority w:val="0"/>
    <w:pPr>
      <w:widowControl/>
      <w:spacing w:before="100" w:beforeAutospacing="1" w:after="120"/>
      <w:textAlignment w:val="baseline"/>
    </w:pPr>
  </w:style>
  <w:style w:type="paragraph" w:styleId="5">
    <w:name w:val="Body Text Indent"/>
    <w:next w:val="3"/>
    <w:qFormat/>
    <w:uiPriority w:val="0"/>
    <w:pPr>
      <w:widowControl w:val="0"/>
      <w:spacing w:after="120"/>
      <w:ind w:left="420" w:leftChars="200"/>
      <w:jc w:val="both"/>
    </w:pPr>
    <w:rPr>
      <w:rFonts w:eastAsia="宋体" w:asciiTheme="minorHAnsi" w:hAnsiTheme="minorHAnsi" w:cstheme="minorBidi"/>
      <w:kern w:val="2"/>
      <w:sz w:val="21"/>
      <w:szCs w:val="24"/>
      <w:lang w:val="en-US" w:eastAsia="zh-CN" w:bidi="ar-SA"/>
    </w:rPr>
  </w:style>
  <w:style w:type="paragraph" w:styleId="6">
    <w:name w:val="footer"/>
    <w:basedOn w:val="1"/>
    <w:link w:val="20"/>
    <w:qFormat/>
    <w:uiPriority w:val="99"/>
    <w:pPr>
      <w:tabs>
        <w:tab w:val="center" w:pos="4153"/>
        <w:tab w:val="right" w:pos="8306"/>
      </w:tabs>
      <w:snapToGrid w:val="0"/>
      <w:jc w:val="left"/>
    </w:pPr>
    <w:rPr>
      <w:sz w:val="18"/>
      <w:szCs w:val="18"/>
    </w:rPr>
  </w:style>
  <w:style w:type="paragraph" w:styleId="7">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qFormat/>
    <w:uiPriority w:val="0"/>
    <w:pPr>
      <w:widowControl w:val="0"/>
      <w:spacing w:before="100" w:beforeAutospacing="1" w:after="100" w:afterAutospacing="1"/>
    </w:pPr>
    <w:rPr>
      <w:rFonts w:asciiTheme="minorHAnsi" w:hAnsiTheme="minorHAnsi" w:eastAsiaTheme="minorEastAsia" w:cstheme="minorBidi"/>
      <w:sz w:val="24"/>
      <w:szCs w:val="24"/>
      <w:lang w:val="en-US" w:eastAsia="zh-CN" w:bidi="ar-SA"/>
    </w:rPr>
  </w:style>
  <w:style w:type="paragraph" w:styleId="9">
    <w:name w:val="Body Text First Indent 2"/>
    <w:qFormat/>
    <w:uiPriority w:val="0"/>
    <w:pPr>
      <w:widowControl w:val="0"/>
      <w:ind w:left="420" w:leftChars="200" w:firstLine="420"/>
      <w:jc w:val="both"/>
    </w:pPr>
    <w:rPr>
      <w:rFonts w:eastAsia="宋体" w:cs="Times New Roman" w:asciiTheme="minorHAnsi" w:hAnsiTheme="minorHAnsi"/>
      <w:kern w:val="2"/>
      <w:sz w:val="21"/>
      <w:szCs w:val="24"/>
      <w:lang w:val="en-US" w:eastAsia="zh-CN" w:bidi="ar-SA"/>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3">
    <w:name w:val="Strong"/>
    <w:qFormat/>
    <w:uiPriority w:val="0"/>
    <w:rPr>
      <w:b/>
    </w:rPr>
  </w:style>
  <w:style w:type="character" w:styleId="14">
    <w:name w:val="Hyperlink"/>
    <w:basedOn w:val="12"/>
    <w:qFormat/>
    <w:uiPriority w:val="0"/>
    <w:rPr>
      <w:color w:val="0563C1" w:themeColor="hyperlink"/>
      <w:u w:val="single"/>
      <w14:textFill>
        <w14:solidFill>
          <w14:schemeClr w14:val="hlink"/>
        </w14:solidFill>
      </w14:textFill>
    </w:rPr>
  </w:style>
  <w:style w:type="character" w:customStyle="1" w:styleId="15">
    <w:name w:val="15"/>
    <w:basedOn w:val="12"/>
    <w:qFormat/>
    <w:uiPriority w:val="0"/>
    <w:rPr>
      <w:rFonts w:hint="default" w:ascii="Calibri" w:hAnsi="Calibri"/>
    </w:rPr>
  </w:style>
  <w:style w:type="character" w:customStyle="1" w:styleId="16">
    <w:name w:val="页眉 字符"/>
    <w:basedOn w:val="12"/>
    <w:link w:val="7"/>
    <w:qFormat/>
    <w:uiPriority w:val="0"/>
    <w:rPr>
      <w:rFonts w:asciiTheme="minorHAnsi" w:hAnsiTheme="minorHAnsi" w:eastAsiaTheme="minorEastAsia" w:cstheme="minorBidi"/>
      <w:kern w:val="2"/>
      <w:sz w:val="18"/>
      <w:szCs w:val="18"/>
    </w:rPr>
  </w:style>
  <w:style w:type="paragraph" w:customStyle="1" w:styleId="17">
    <w:name w:val="UserStyle_112"/>
    <w:qFormat/>
    <w:uiPriority w:val="0"/>
    <w:pPr>
      <w:widowControl w:val="0"/>
      <w:spacing w:after="120"/>
      <w:ind w:left="420" w:leftChars="200"/>
      <w:jc w:val="both"/>
      <w:textAlignment w:val="baseline"/>
    </w:pPr>
    <w:rPr>
      <w:rFonts w:ascii="Times New Roman" w:hAnsi="Times New Roman" w:eastAsia="宋体" w:cstheme="minorBidi"/>
      <w:kern w:val="2"/>
      <w:sz w:val="21"/>
      <w:szCs w:val="24"/>
      <w:lang w:val="en-US" w:eastAsia="zh-CN" w:bidi="ar-SA"/>
    </w:rPr>
  </w:style>
  <w:style w:type="paragraph" w:customStyle="1" w:styleId="18">
    <w:name w:val="UserStyle_72"/>
    <w:qFormat/>
    <w:uiPriority w:val="0"/>
    <w:pPr>
      <w:jc w:val="both"/>
      <w:textAlignment w:val="baseline"/>
    </w:pPr>
    <w:rPr>
      <w:rFonts w:ascii="Times New Roman" w:hAnsi="Times New Roman" w:eastAsia="宋体" w:cstheme="minorBidi"/>
      <w:kern w:val="2"/>
      <w:sz w:val="21"/>
      <w:szCs w:val="24"/>
      <w:lang w:val="en-US" w:eastAsia="zh-CN" w:bidi="ar-SA"/>
    </w:rPr>
  </w:style>
  <w:style w:type="character" w:customStyle="1" w:styleId="19">
    <w:name w:val="Unresolved Mention"/>
    <w:basedOn w:val="12"/>
    <w:semiHidden/>
    <w:unhideWhenUsed/>
    <w:qFormat/>
    <w:uiPriority w:val="99"/>
    <w:rPr>
      <w:color w:val="605E5C"/>
      <w:shd w:val="clear" w:color="auto" w:fill="E1DFDD"/>
    </w:rPr>
  </w:style>
  <w:style w:type="character" w:customStyle="1" w:styleId="20">
    <w:name w:val="页脚 字符"/>
    <w:basedOn w:val="12"/>
    <w:link w:val="6"/>
    <w:qFormat/>
    <w:uiPriority w:val="99"/>
    <w:rPr>
      <w:rFonts w:asciiTheme="minorHAnsi" w:hAnsiTheme="minorHAnsi" w:eastAsiaTheme="minorEastAsia" w:cstheme="minorBidi"/>
      <w:kern w:val="2"/>
      <w:sz w:val="18"/>
      <w:szCs w:val="18"/>
    </w:rPr>
  </w:style>
  <w:style w:type="character" w:customStyle="1" w:styleId="21">
    <w:name w:val="font01"/>
    <w:basedOn w:val="12"/>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47</Pages>
  <Words>2443</Words>
  <Characters>13928</Characters>
  <Lines>116</Lines>
  <Paragraphs>32</Paragraphs>
  <TotalTime>30</TotalTime>
  <ScaleCrop>false</ScaleCrop>
  <LinksUpToDate>false</LinksUpToDate>
  <CharactersWithSpaces>16339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2022-02-07T17:12:00Z</dcterms:created>
  <dc:creator>HoHo</dc:creator>
  <cp:lastModifiedBy>Administrator</cp:lastModifiedBy>
  <cp:lastPrinted>2022-02-14T01:16:00Z</cp:lastPrinted>
  <dcterms:modified xsi:type="dcterms:W3CDTF">2022-02-15T01:31:42Z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67D5577C54EA4378BAEF090991578C38</vt:lpwstr>
  </property>
</Properties>
</file>